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to Journal of Magnetics</w:t>
      </w:r>
    </w:p>
    <w:p>
      <w:r>
        <w:rPr>
          <w:rFonts w:ascii="Liberation Serif" w:hAnsi="Liberation Serif" w:eastAsia="Times New Roman"/>
          <w:sz w:val="22"/>
        </w:rPr>
        <w:t>[SUBMISSION DATE]</w:t>
      </w:r>
    </w:p>
    <w:p>
      <w:r>
        <w:rPr>
          <w:rFonts w:ascii="Liberation Serif" w:hAnsi="Liberation Serif" w:eastAsia="Times New Roman"/>
          <w:sz w:val="22"/>
        </w:rPr>
        <w:t>Dear Editor,</w:t>
      </w:r>
    </w:p>
    <w:p>
      <w:r>
        <w:rPr>
          <w:rFonts w:ascii="Liberation Serif" w:hAnsi="Liberation Serif" w:eastAsia="Times New Roman"/>
          <w:sz w:val="22"/>
        </w:rPr>
        <w:t xml:space="preserve">I submit the research article entitled </w:t>
      </w:r>
      <w:r>
        <w:rPr>
          <w:rFonts w:ascii="Liberation Serif" w:hAnsi="Liberation Serif" w:eastAsia="Times New Roman"/>
          <w:i/>
          <w:sz w:val="22"/>
        </w:rPr>
        <w:t>Frozen Cross-Dataset Reliability of Healthy-Only PMSM Stator-Fault Detection</w:t>
      </w:r>
      <w:r>
        <w:rPr>
          <w:rFonts w:ascii="Liberation Serif" w:hAnsi="Liberation Serif" w:eastAsia="Times New Roman"/>
          <w:sz w:val="22"/>
        </w:rPr>
        <w:t xml:space="preserve"> for consideration in the </w:t>
      </w:r>
      <w:r>
        <w:rPr>
          <w:rFonts w:ascii="Liberation Serif" w:hAnsi="Liberation Serif" w:eastAsia="Times New Roman"/>
          <w:i/>
          <w:sz w:val="22"/>
        </w:rPr>
        <w:t>Journal of Magnetics</w:t>
      </w:r>
      <w:r>
        <w:rPr>
          <w:rFonts w:ascii="Liberation Serif" w:hAnsi="Liberation Serif" w:eastAsia="Times New Roman"/>
          <w:sz w:val="22"/>
        </w:rPr>
        <w:t>.</w:t>
      </w:r>
    </w:p>
    <w:p>
      <w:r>
        <w:rPr>
          <w:rFonts w:ascii="Liberation Serif" w:hAnsi="Liberation Serif" w:eastAsia="Times New Roman"/>
          <w:sz w:val="22"/>
        </w:rPr>
        <w:t>The article examines whether stator-fault alarms fitted and calibrated on healthy currents retain reliability across datasets. It evaluates current asymmetry and harmonic features under changing operating and measurement conditions, using a frozen pipeline and target-only controls.</w:t>
      </w:r>
    </w:p>
    <w:p>
      <w:r>
        <w:rPr>
          <w:rFonts w:ascii="Liberation Serif" w:hAnsi="Liberation Serif" w:eastAsia="Times New Roman"/>
          <w:sz w:val="22"/>
        </w:rPr>
        <w:t>The exploratory KAIST result was 95.71% fault-block detection with 0/42 healthy alarms. After a pre-reveal internal Git freeze, the primary Log-Euclidean detector detected 96/384 external fault blocks (25.00%), produced 1/32 healthy alarms and attained AUROC 0.6354. Its descriptive two-sided 95% Wilson upper endpoint of 15.74% exceeded the prespecified 12% health gate. The preimplemented target-only MinCovDet comparator reached 70.05% detection with 0/32 healthy alarms at the primary seed, but its gate passed for only three of five seeds. The failed primary result is retained.</w:t>
      </w:r>
    </w:p>
    <w:p>
      <w:r>
        <w:rPr>
          <w:rFonts w:ascii="Liberation Serif" w:hAnsi="Liberation Serif" w:eastAsia="Times New Roman"/>
          <w:sz w:val="22"/>
        </w:rPr>
        <w:t>All 48 external fault records came from one physical PMSM. The article reports turn-phase confounding, unequal pooled-AUROC load support, time dependence and absence of real-time evidence. The internal Git freeze was not an externally registered preregistration. A secondary parser failure is retained; its repair is post-reveal and non-confirmatory. These findings connect electromagnetic diagnostics with a concrete engineering failure: high same-family detection and late record-any alarms did not demonstrate reliable transfer.</w:t>
      </w:r>
    </w:p>
    <w:p>
      <w:r>
        <w:rPr>
          <w:rFonts w:ascii="Liberation Serif" w:hAnsi="Liberation Serif" w:eastAsia="Times New Roman"/>
          <w:sz w:val="22"/>
        </w:rPr>
        <w:t>The supplement preserves all comparators, seed variation and bounded diagnostics. The code package includes protocols, fine-grain results and data-acquisition commands. Source-augmentation contrasts describe complete configurations, including different fit-derived feature masks.</w:t>
      </w:r>
    </w:p>
    <w:p>
      <w:r>
        <w:rPr>
          <w:rFonts w:ascii="Liberation Serif" w:hAnsi="Liberation Serif" w:eastAsia="Times New Roman"/>
          <w:sz w:val="22"/>
        </w:rPr>
        <w:t>I am the sole author. This article has not been published previously and is not under consideration by another journal. The public data were used in accordance with their licenses. [AUTHOR TO CONFIRM BEFORE SUBMISSION: final manuscript approval, responsibility for all content, and any required institutional submission permission.]</w:t>
      </w:r>
    </w:p>
    <w:p>
      <w:r>
        <w:rPr>
          <w:rFonts w:ascii="Liberation Serif" w:hAnsi="Liberation Serif" w:eastAsia="Times New Roman"/>
          <w:sz w:val="22"/>
        </w:rPr>
        <w:t>This research received no funding. I declare no competing interests. [AUTHOR TO COMPLETE: acknowledgments, if any, and final approval of the AI assistance disclosure. OpenAI Codex assisted code review, evidence checks, English revision and document preparation; author review and final responsibility are required.]</w:t>
      </w:r>
    </w:p>
    <w:p>
      <w:r>
        <w:rPr>
          <w:rFonts w:ascii="Liberation Serif" w:hAnsi="Liberation Serif" w:eastAsia="Times New Roman"/>
          <w:sz w:val="22"/>
        </w:rPr>
        <w:t>Sincerely,</w:t>
      </w:r>
    </w:p>
    <w:p>
      <w:r>
        <w:rPr>
          <w:rFonts w:ascii="Liberation Serif" w:hAnsi="Liberation Serif" w:eastAsia="Times New Roman"/>
          <w:sz w:val="22"/>
        </w:rPr>
        <w:t>LI KAICHEN</w:t>
      </w:r>
    </w:p>
    <w:p>
      <w:r>
        <w:rPr>
          <w:rFonts w:ascii="Liberation Serif" w:hAnsi="Liberation Serif" w:eastAsia="Times New Roman"/>
          <w:sz w:val="22"/>
        </w:rPr>
        <w:t>Department of Artificial Intelligence Convergence Engineering, Changwon National University</w:t>
      </w:r>
    </w:p>
    <w:p>
      <w:r>
        <w:rPr>
          <w:rFonts w:ascii="Liberation Serif" w:hAnsi="Liberation Serif" w:eastAsia="Times New Roman"/>
          <w:sz w:val="22"/>
        </w:rPr>
        <w:t>20 Changwondaehak-ro, Uichang-gu, Changwon-si, Gyeongsangnam-do 51140, Republic of Korea</w:t>
      </w:r>
    </w:p>
    <w:p>
      <w:r>
        <w:rPr>
          <w:rFonts w:ascii="Liberation Serif" w:hAnsi="Liberation Serif" w:eastAsia="Times New Roman"/>
          <w:sz w:val="22"/>
        </w:rPr>
        <w:t>lkcfqy@gmail.com; +82-10-3915-7350; fax: Not available</w:t>
      </w:r>
    </w:p>
    <w:sectPr w:rsidR="00FC693F" w:rsidRPr="0006063C" w:rsidSect="00034616">
      <w:footerReference w:type="default" r:id="rId9"/>
      <w:pgSz w:w="11909" w:h="16834"/>
      <w:pgMar w:top="1152" w:right="1224" w:bottom="1152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Liberation Serif" w:hAnsi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00" w:lineRule="auto"/>
      <w:jc w:val="center"/>
      <w:outlineLvl w:val="0"/>
    </w:pPr>
    <w:rPr>
      <w:rFonts w:asciiTheme="majorHAnsi" w:eastAsiaTheme="majorEastAsia" w:hAnsiTheme="majorHAnsi" w:cstheme="majorBidi" w:ascii="Liberation Serif" w:hAnsi="Liberation Serif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Liberation Serif" w:hAnsi="Liberation Serif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00" w:lineRule="auto"/>
      <w:outlineLvl w:val="2"/>
    </w:pPr>
    <w:rPr>
      <w:rFonts w:asciiTheme="majorHAnsi" w:eastAsiaTheme="majorEastAsia" w:hAnsiTheme="majorHAnsi" w:cstheme="majorBidi" w:ascii="Liberation Serif" w:hAnsi="Liberation Serif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 w:before="0"/>
      <w:contextualSpacing/>
      <w:jc w:val="center"/>
    </w:pPr>
    <w:rPr>
      <w:rFonts w:asciiTheme="majorHAnsi" w:eastAsiaTheme="majorEastAsia" w:hAnsiTheme="majorHAnsi" w:cstheme="majorBidi" w:ascii="Liberation Serif" w:hAnsi="Liberation Serif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20"/>
      <w:contextualSpacing/>
    </w:pPr>
    <w:rPr>
      <w:rFonts w:ascii="Liberation Serif" w:hAnsi="Liberation Serif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Lines/>
      <w:spacing w:before="40" w:after="120" w:line="300" w:lineRule="auto"/>
      <w:jc w:val="left"/>
    </w:pPr>
    <w:rPr>
      <w:rFonts w:ascii="Liberation Serif" w:hAnsi="Liberation Serif"/>
      <w:color w:val="000000"/>
      <w:sz w:val="24"/>
    </w:rPr>
  </w:style>
  <w:style w:type="paragraph" w:customStyle="1" w:styleId="TableCaption">
    <w:name w:val="Table Caption"/>
    <w:pPr>
      <w:keepNext/>
      <w:spacing w:before="120" w:after="120" w:line="300" w:lineRule="auto"/>
    </w:pPr>
    <w:rPr>
      <w:rFonts w:ascii="Liberation Serif" w:hAnsi="Liberation Serif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Frozen Cross-Dataset Reliability of Healthy-Only PMSM Stator-Fault Detection</dc:title>
  <dc:subject>Journal of Magnetics author review preparation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