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Frozen Cross-Dataset Reliability of Healthy-Only PMSM Stator-Fault Detection</w:t>
      </w:r>
    </w:p>
    <w:p>
      <w:r>
        <w:rPr>
          <w:rFonts w:ascii="Liberation Serif" w:hAnsi="Liberation Serif" w:eastAsia="Times New Roman"/>
          <w:b/>
          <w:sz w:val="22"/>
        </w:rPr>
        <w:t>Author:</w:t>
      </w:r>
      <w:r>
        <w:rPr>
          <w:rFonts w:ascii="Liberation Serif" w:hAnsi="Liberation Serif" w:eastAsia="Times New Roman"/>
          <w:sz w:val="22"/>
        </w:rPr>
        <w:t xml:space="preserve"> LI KAICHEN</w:t>
      </w:r>
    </w:p>
    <w:p>
      <w:r>
        <w:rPr>
          <w:rFonts w:ascii="Liberation Serif" w:hAnsi="Liberation Serif" w:eastAsia="Times New Roman"/>
          <w:b/>
          <w:sz w:val="22"/>
        </w:rPr>
        <w:t>Affiliation:</w:t>
      </w:r>
      <w:r>
        <w:rPr>
          <w:rFonts w:ascii="Liberation Serif" w:hAnsi="Liberation Serif" w:eastAsia="Times New Roman"/>
          <w:sz w:val="22"/>
        </w:rPr>
        <w:t xml:space="preserve"> Department of Artificial Intelligence Convergence Engineering, Changwon National University, 20 Changwondaehak-ro, Uichang-gu, Changwon-si, Gyeongsangnam-do 51140, Republic of Korea</w:t>
      </w:r>
    </w:p>
    <w:p>
      <w:r>
        <w:rPr>
          <w:rFonts w:ascii="Liberation Serif" w:hAnsi="Liberation Serif" w:eastAsia="Times New Roman"/>
          <w:b/>
          <w:sz w:val="22"/>
        </w:rPr>
        <w:t>Corresponding author:</w:t>
      </w:r>
      <w:r>
        <w:rPr>
          <w:rFonts w:ascii="Liberation Serif" w:hAnsi="Liberation Serif" w:eastAsia="Times New Roman"/>
          <w:sz w:val="22"/>
        </w:rPr>
        <w:t xml:space="preserve"> LI KAICHEN; lkcfqy@gmail.com; postal address as above</w:t>
      </w:r>
    </w:p>
    <w:p>
      <w:r>
        <w:rPr>
          <w:rFonts w:ascii="Liberation Serif" w:hAnsi="Liberation Serif" w:eastAsia="Times New Roman"/>
          <w:b/>
          <w:sz w:val="22"/>
        </w:rPr>
        <w:t>Telephone:</w:t>
      </w:r>
      <w:r>
        <w:rPr>
          <w:rFonts w:ascii="Liberation Serif" w:hAnsi="Liberation Serif" w:eastAsia="Times New Roman"/>
          <w:sz w:val="22"/>
        </w:rPr>
        <w:t xml:space="preserve"> +82-10-3915-7350; </w:t>
      </w:r>
      <w:r>
        <w:rPr>
          <w:rFonts w:ascii="Liberation Serif" w:hAnsi="Liberation Serif" w:eastAsia="Times New Roman"/>
          <w:b/>
          <w:sz w:val="22"/>
        </w:rPr>
        <w:t>Fax:</w:t>
      </w:r>
      <w:r>
        <w:rPr>
          <w:rFonts w:ascii="Liberation Serif" w:hAnsi="Liberation Serif" w:eastAsia="Times New Roman"/>
          <w:sz w:val="22"/>
        </w:rPr>
        <w:t xml:space="preserve"> Not available</w:t>
      </w:r>
    </w:p>
    <w:p>
      <w:r>
        <w:rPr>
          <w:rFonts w:ascii="Liberation Serif" w:hAnsi="Liberation Serif" w:eastAsia="Times New Roman"/>
          <w:b/>
          <w:sz w:val="22"/>
        </w:rPr>
        <w:t>ORCID:</w:t>
      </w:r>
      <w:r>
        <w:rPr>
          <w:rFonts w:ascii="Liberation Serif" w:hAnsi="Liberation Serif" w:eastAsia="Times New Roman"/>
          <w:sz w:val="22"/>
        </w:rPr>
        <w:t xml:space="preserve"> https://orcid.org/0009-0008-8743-3162</w:t>
      </w:r>
    </w:p>
    <w:p>
      <w:pPr>
        <w:pStyle w:val="Heading1"/>
      </w:pPr>
      <w:r>
        <w:t>Abstract</w:t>
      </w:r>
    </w:p>
    <w:p>
      <w:r>
        <w:rPr>
          <w:rFonts w:ascii="Liberation Serif" w:hAnsi="Liberation Serif" w:eastAsia="Times New Roman"/>
          <w:sz w:val="22"/>
        </w:rPr>
        <w:t>Current-based healthy-only alarms may fail across permanent-magnet synchronous motors (PMSMs), operating conditions, and measurement domains. We evaluate eleven detectors with separated healthy fitting and calibration under a frozen external protocol. The primary Log-Euclidean detector achieved 95.71% exploratory fault-block detection with 0/42 healthy alarms on three same-family PMSMs. On one external dual-three-phase PMSM, it detected 96/384 blocks (25.00%), produced 1/32 healthy alarms, and attained AUROC 0.6354. Its descriptive two-sided 95% Wilson upper endpoint of 15.74% exceeded the preset 12% gate. Preimplemented target-only MinCovDet achieved 70.05% detection and 0/32 alarms, but passed the gate in only three of five seeds. Ordered alarms and paired estimator-family configurations show trajectory-associated drift and reduced detection under the frozen source-augmentation pipeline. These offline findings identify protocol-specific failure boundaries on one external motor, without population safety or real-time deployment guarantees.</w:t>
      </w:r>
    </w:p>
    <w:p>
      <w:r>
        <w:rPr>
          <w:rFonts w:ascii="Liberation Serif" w:hAnsi="Liberation Serif" w:eastAsia="Times New Roman"/>
          <w:b/>
          <w:sz w:val="22"/>
        </w:rPr>
        <w:t>Keywords:</w:t>
      </w:r>
      <w:r>
        <w:rPr>
          <w:rFonts w:ascii="Liberation Serif" w:hAnsi="Liberation Serif" w:eastAsia="Times New Roman"/>
          <w:sz w:val="22"/>
        </w:rPr>
        <w:t xml:space="preserve"> permanent-magnet synchronous motor; stator short circuit; cross-dataset reliability; healthy-only detection; negative transfer; alarm calibration</w:t>
      </w:r>
    </w:p>
    <w:p>
      <w:pPr>
        <w:pStyle w:val="Heading1"/>
      </w:pPr>
      <w:r>
        <w:t>1. Introduction</w:t>
      </w:r>
    </w:p>
    <w:p>
      <w:r>
        <w:rPr>
          <w:rFonts w:ascii="Liberation Serif" w:hAnsi="Liberation Serif" w:eastAsia="Times New Roman"/>
          <w:sz w:val="22"/>
        </w:rPr>
        <w:t>Stator interturn short circuits disturb winding symmetry and can damage a permanent-magnet synchronous motor (PMSM). Current-based indicators include negative-sequence components, current-vector measures, and fault-sensitive harmonics [1, 2, 3, 4]. Monitoring currents is attractive because the drive already measures them. However, a signature that separates healthy and faulty signals on one laboratory motor need not produce a reliable alarm after transfer to another motor. Healthy current distributions can differ across machines and operating conditions. The source and external datasets differ in power rating, winding topology, acquisition chain, and speed/load trajectory; this comparison does not isolate each difference. Normal operating variation can enter the same score directions as a short-circuit signature.</w:t>
      </w:r>
    </w:p>
    <w:p>
      <w:r>
        <w:rPr>
          <w:rFonts w:ascii="Liberation Serif" w:hAnsi="Liberation Serif" w:eastAsia="Times New Roman"/>
          <w:sz w:val="22"/>
        </w:rPr>
        <w:t>This distinction matters for deployment. Target fault examples may be unavailable, whereas a healthy commissioning trace is obtainable. A practical transfer detector must fit and set its threshold without target faults, and it must be compared with a detector fitted from target health alone. Adding source-machine data is useful only if it improves that non-transfer reference under the same alarm protocol. Here, healthy-only describes reference fitting, normalization, and target alarm calibration; source-domain development can use labeled source faults. Negative transfer is possible [5, 6].</w:t>
      </w:r>
    </w:p>
    <w:p>
      <w:r>
        <w:rPr>
          <w:rFonts w:ascii="Liberation Serif" w:hAnsi="Liberation Serif" w:eastAsia="Times New Roman"/>
          <w:sz w:val="22"/>
        </w:rPr>
        <w:t>Rotating-machinery research already includes cross-machine domain generalization and large multi-dataset benchmarks [7, 8, 9]. Those advances do not remove the need to distinguish fault classification from healthy-only alarm reliability. A high area under the receiver-operating-characteristic curve (AUROC) can coexist with a poor fixed threshold. Likewise, counting a record as detected after any alarm can hide failure throughout most of its operating trajectory.</w:t>
      </w:r>
    </w:p>
    <w:p>
      <w:r>
        <w:rPr>
          <w:rFonts w:ascii="Liberation Serif" w:hAnsi="Liberation Serif" w:eastAsia="Times New Roman"/>
          <w:sz w:val="22"/>
        </w:rPr>
        <w:t>The evaluation split is equally consequential. Adjacent windows from one acquisition share a motor, sensors, and operating history. Randomly assigning them to training and testing does not test a new motor or session. Machinery studies have documented large performance changes when holdout is moved from signals to acquisitions and physical parts [10]. Structured validation and explicit experimental units are needed when observations are dependent [11, 12].</w:t>
      </w:r>
    </w:p>
    <w:p>
      <w:r>
        <w:rPr>
          <w:rFonts w:ascii="Liberation Serif" w:hAnsi="Liberation Serif" w:eastAsia="Times New Roman"/>
          <w:sz w:val="22"/>
        </w:rPr>
        <w:t>We address a focused question: does healthy-only source assistance retain reliable stator-fault alarms under a frozen cross-dataset transfer? An exploratory study on three same-manufacturer PMSMs motivated a motor-balanced Log-Euclidean covariance detector. For public data acquired by an independent laboratory, we froze feature extraction, healthy fitting, thresholds, comparators, and the analysis interval before accessing external fault values. The detector that performed well internally failed externally and remains the primary method in this report. The contribution is an auditable reliability evaluation: it exposes a ranking reversal, quantifies source augmentation against target-only controls, and preserves operating-condition and replication limits. It does not claim a new universally superior algorithm.</w:t>
      </w:r>
    </w:p>
    <w:p>
      <w:pPr>
        <w:pStyle w:val="Heading1"/>
      </w:pPr>
      <w:r>
        <w:t>2. Background and evaluation rationale</w:t>
      </w:r>
    </w:p>
    <w:p>
      <w:pPr>
        <w:pStyle w:val="Heading2"/>
      </w:pPr>
      <w:r>
        <w:t>2.1. Fault signatures under changing operating conditions</w:t>
      </w:r>
    </w:p>
    <w:p>
      <w:r>
        <w:rPr>
          <w:rFonts w:ascii="Liberation Serif" w:hAnsi="Liberation Serif" w:eastAsia="Times New Roman"/>
          <w:sz w:val="22"/>
        </w:rPr>
        <w:t>An interturn fault changes current symmetry and the relation between phase currents. Sequence and current-vector indicators have been used to detect winding asymmetry [2, 3]. Fault-sensitive current harmonics have also been evaluated using order tracking under changing speed and load [4]. These are distinct indicators, whose response depends on machine configuration and closed-loop operation [1]; they do not validate the present feature set. Under nonstationary speed, spectral components move in frequency; their measured magnitude and resolution depend on the window and sampling chain. Load changes alter healthy current relationships and drive response. Physical-data models have also addressed PMSM diagnosis at rapidly varying speed [13].</w:t>
      </w:r>
    </w:p>
    <w:p>
      <w:r>
        <w:rPr>
          <w:rFonts w:ascii="Liberation Serif" w:hAnsi="Liberation Serif" w:eastAsia="Times New Roman"/>
          <w:sz w:val="22"/>
        </w:rPr>
        <w:t xml:space="preserve">A recent </w:t>
      </w:r>
      <w:r>
        <w:rPr>
          <w:rFonts w:ascii="Liberation Serif" w:hAnsi="Liberation Serif" w:eastAsia="Times New Roman"/>
          <w:i/>
          <w:sz w:val="22"/>
        </w:rPr>
        <w:t>Journal of Magnetics</w:t>
      </w:r>
      <w:r>
        <w:rPr>
          <w:rFonts w:ascii="Liberation Serif" w:hAnsi="Liberation Serif" w:eastAsia="Times New Roman"/>
          <w:sz w:val="22"/>
        </w:rPr>
        <w:t xml:space="preserve"> study compares current and stray-flux signatures using finite-element simulations of electrical and mechanical faults in a synchronous motor with wound-field excitation [14]. It illustrates the relevance of electromagnetic signals to machine diagnosis; it does not establish healthy-only PMSM transfer or validate the present cross-dataset alarm.</w:t>
      </w:r>
    </w:p>
    <w:p>
      <w:r>
        <w:rPr>
          <w:rFonts w:ascii="Liberation Serif" w:hAnsi="Liberation Serif" w:eastAsia="Times New Roman"/>
          <w:sz w:val="22"/>
        </w:rPr>
        <w:t>These physical considerations motivate normalized current features and within-target healthy alignment, but neither step guarantees operating invariance. A covariance detector can assign large precision to a direction with small variance during commissioning; a subsequent healthy speed or load change may then raise its anomaly score. This study examines that failure empirically. It does not infer the causal contribution of any single operating variable, localize fault phase, or estimate shorted-turn severity.</w:t>
      </w:r>
    </w:p>
    <w:p>
      <w:pPr>
        <w:pStyle w:val="Heading2"/>
      </w:pPr>
      <w:r>
        <w:t>2.2. Transfer, one-class references, and alarm calibration</w:t>
      </w:r>
    </w:p>
    <w:p>
      <w:r>
        <w:rPr>
          <w:rFonts w:ascii="Liberation Serif" w:hAnsi="Liberation Serif" w:eastAsia="Times New Roman"/>
          <w:sz w:val="22"/>
        </w:rPr>
        <w:t>Cross-machine generalization predates this work. Prior studies address collaborative multimachine generalization and multi-dataset fault-diagnosis benchmarking [8, 9]. Frequency-guided machinery methods also address adverse source-domain emphasis [15]. Our narrower contribution concerns a fault-blind external reveal with a target-only reference, rather than priority in transfer learning.</w:t>
      </w:r>
    </w:p>
    <w:p>
      <w:r>
        <w:rPr>
          <w:rFonts w:ascii="Liberation Serif" w:hAnsi="Liberation Serif" w:eastAsia="Times New Roman"/>
          <w:sz w:val="22"/>
        </w:rPr>
        <w:t>One-class support vector machines (OC-SVM), Isolation Forest, and Minimum Covariance Determinant (MinCovDet) are established methods [16, 17, 18]. Log-Euclidean covariance averaging likewise uses an established geometry for symmetric positive-definite matrices [19]. They provide different healthy descriptions; each still requires a threshold on an untouched healthy calibration set. Within an estimator-family pair, common input definitions, calibration, and target-health allowance aid interpretation of source augmentation. Fit-derived feature masks must also be reported separately.</w:t>
      </w:r>
    </w:p>
    <w:p>
      <w:r>
        <w:rPr>
          <w:rFonts w:ascii="Liberation Serif" w:hAnsi="Liberation Serif" w:eastAsia="Times New Roman"/>
          <w:sz w:val="22"/>
        </w:rPr>
        <w:t>Rank-based conformal calibration supplies an interpretable threshold construction, but conventional coverage results rely on exchangeability [20]. Dependence requires additional assumptions or methods [21, 22]. Conformal industrial-fleet alarms and false-alarm studies also precede this work [23, 24, 25]. Here, a block p-value is an empirical rank summary from ordered motor records. It is not a proof of 5% population risk. We report alarm counts, temporal coverage, and a predeclared descriptive health gate together.</w:t>
      </w:r>
    </w:p>
    <w:p>
      <w:pPr>
        <w:pStyle w:val="Heading1"/>
      </w:pPr>
      <w:r>
        <w:t>3. Data and frozen analysis boundary</w:t>
      </w:r>
    </w:p>
    <w:p>
      <w:pPr>
        <w:pStyle w:val="Heading2"/>
      </w:pPr>
      <w:r>
        <w:t>3.1. Exploratory KAIST data</w:t>
      </w:r>
    </w:p>
    <w:p>
      <w:r>
        <w:rPr>
          <w:rFonts w:ascii="Liberation Serif" w:hAnsi="Liberation Serif" w:eastAsia="Times New Roman"/>
          <w:sz w:val="22"/>
        </w:rPr>
        <w:t>The KAIST/Mendeley release contains 1.0, 1.5, and 3.0 kW PMSMs from one manufacturer, measured at fixed 3000 rpm and one load setting [26, 27]. Three-phase current was sampled at 100 kHz. Each motor has interturn and intercoil faults at seven nominal nonzero severity levels. Healthy records stored under the two fault families are duplicate aliases: corresponding archive members have identical uncompressed size and cyclic redundancy check, and an extracted pair also matched by SHA-256. Deduplication therefore leaves three healthy and 42 fault records.</w:t>
      </w:r>
    </w:p>
    <w:p>
      <w:r>
        <w:rPr>
          <w:rFonts w:ascii="Liberation Serif" w:hAnsi="Liberation Serif" w:eastAsia="Times New Roman"/>
          <w:sz w:val="22"/>
        </w:rPr>
        <w:t>Some fault files exceed the nominal 120 s duration. Every record is restricted to its first 120 s so that long acquisitions receive no extra weight. Each contributes 600 non-overlapping 0.2 s windows and forty 3 s blocks, each containing fifteen windows. Three leave-one-motor-out folds use two source motors and one target motor. Target healthy blocks 0-3 provide 12 s adaptation, block 4 is a guard, blocks 5-24 provide 60 s calibration, block 25 is a guard, and blocks 26-39 provide 42 s later-time health testing. Source healthy blocks 0-23 supply the reference; later source blocks support nested validation without using target faults.</w:t>
      </w:r>
    </w:p>
    <w:p>
      <w:r>
        <w:rPr>
          <w:rFonts w:ascii="Liberation Serif" w:hAnsi="Liberation Serif" w:eastAsia="Times New Roman"/>
          <w:sz w:val="22"/>
        </w:rPr>
        <w:t>The approximately 3 s healthy feature cycle motivated the primary block duration. All normalization and fitting use only the permitted healthy regions. Nevertheless, KAIST target faults were inspected during method development. Its results are exploratory even though each reported fit is target-fault blind. A leakage-resistant split cannot retrospectively restore an untouched confirmation set.</w:t>
      </w:r>
    </w:p>
    <w:p>
      <w:pPr>
        <w:pStyle w:val="Heading2"/>
      </w:pPr>
      <w:r>
        <w:t>3.2. Independent-laboratory external data</w:t>
      </w:r>
    </w:p>
    <w:p>
      <w:r>
        <w:rPr>
          <w:rFonts w:ascii="Liberation Serif" w:hAnsi="Liberation Serif" w:eastAsia="Times New Roman"/>
          <w:sz w:val="22"/>
        </w:rPr>
        <w:t>The external release contains interturn short-circuit emulation on one custom dual-three-phase PMSM [28]. The associated machine paper reports 30.16 kW nominal power, a 200 V DC link, 107 A maximum continuous current, ten pole pairs, and 8000 rpm nominal speed [29]. These are design parameters; the released 10 kHz records are acceleration sweeps rather than steady 5000 rpm tests.</w:t>
      </w:r>
    </w:p>
    <w:p>
      <w:r>
        <w:rPr>
          <w:rFonts w:ascii="Liberation Serif" w:hAnsi="Liberation Serif" w:eastAsia="Times New Roman"/>
          <w:sz w:val="22"/>
        </w:rPr>
        <w:t>An audit using only the eight healthy records fixed the common interval [12, 36) s before external fault access. It contains eight 3 s blocks per record. Across healthy files, measured speed spans approximately 174-2650 rpm in that interval, within the frozen electrical fundamental-frequency search band of 20-500 Hz. Local block IDs 0-7 correspond exactly to original-record blocks 4-11; absolute sample and time coordinates remain in the output.</w:t>
      </w:r>
    </w:p>
    <w:p>
      <w:r>
        <w:rPr>
          <w:rFonts w:ascii="Liberation Serif" w:hAnsi="Liberation Serif" w:eastAsia="Times New Roman"/>
          <w:sz w:val="22"/>
        </w:rPr>
        <w:t>Healthy roles use disjoint load files. The 0 N m file supplies four adaptation blocks from [12, 24) s. Files at 10, 20, and 30 N m supply 24 calibration blocks; files at 5, 15, 25, and 35 N m supply 32 health-test blocks. The remaining 0 N m blocks and data outside the common interval are unused. Record separation prevents shared-file fitting and testing, but does not establish independent sessions.</w:t>
      </w:r>
    </w:p>
    <w:p>
      <w:r>
        <w:rPr>
          <w:rFonts w:ascii="Liberation Serif" w:hAnsi="Liberation Serif" w:eastAsia="Times New Roman"/>
          <w:sz w:val="22"/>
        </w:rPr>
        <w:t>All 48 fault records were included: six shorted-turn conditions at eight loads from 0 to 35 N m. The grid is not crossed by phase. Turns 1, 3, 5, and 6 use phase U; turns 2 and 4 use phase V. Turn and phase effects are therefore inseparable. The records and their two three-phase subsystems belong to one physical motor; neither records nor subsystem streams increase the number of independent motor replications.</w:t>
      </w:r>
    </w:p>
    <w:p>
      <w:r>
        <w:rPr>
          <w:rFonts w:ascii="Liberation Serif" w:hAnsi="Liberation Serif" w:eastAsia="Times New Roman"/>
          <w:sz w:val="22"/>
        </w:rPr>
        <w:t>Table I summarizes the different healthy partitions. Figure 1 shows the motor and time separation used to develop the protocol. Supplementary Section S1 specifies the external system-level split and the complete feature list.</w:t>
      </w:r>
    </w:p>
    <w:p>
      <w:r>
        <w:t>[Fig. 1 near here]</w:t>
      </w:r>
    </w:p>
    <w:p>
      <w:r>
        <w:t>[Table I near here]</w:t>
      </w:r>
    </w:p>
    <w:p>
      <w:pPr>
        <w:pStyle w:val="Heading2"/>
      </w:pPr>
      <w:r>
        <w:t>3.3. Pre-reveal freeze and empirical failure rule</w:t>
      </w:r>
    </w:p>
    <w:p>
      <w:r>
        <w:rPr>
          <w:rFonts w:ascii="Liberation Serif" w:hAnsi="Liberation Serif" w:eastAsia="Times New Roman"/>
          <w:sz w:val="22"/>
        </w:rPr>
        <w:t>The external protocol, eleven detector implementations, feature parser, dependency specifications and recorded tool versions, healthy references, 24 calibration scores, thresholds, and complete reveal manifest were stored in hash-addressed Git commits before fault values were opened. Two output/statistical audit corrections made during download preceded signal access and did not change features, scoring, fitting, thresholds, or method designation. All planned files were checked against official filenames, byte counts, and MD5 digests and evaluated on the unchanged interval. None was excluded or substituted. This was an internal prospective repository freeze, not an externally registered preregistration. The historical protocol and subsequent execution log are retained separately.</w:t>
      </w:r>
    </w:p>
    <w:p>
      <w:r>
        <w:rPr>
          <w:rFonts w:ascii="Liberation Serif" w:hAnsi="Liberation Serif" w:eastAsia="Times New Roman"/>
          <w:sz w:val="22"/>
        </w:rPr>
        <w:t>The predeclared H1 health gate requires the pooled upper endpoint of a descriptive two-sided 95% Wilson score interval to be no greater than 12%, and a maximum per-motor or per-test-load empirical false-alarm rate no greater than 15%. This is an engineering evidence gate, not a motor-population safety theorem. A gate failure cannot justify threshold changes or removal of fault results. Log-Euclidean covariance remains the frozen primary method regardless of comparator performance after reveal.</w:t>
      </w:r>
    </w:p>
    <w:p>
      <w:pPr>
        <w:pStyle w:val="Heading1"/>
      </w:pPr>
      <w:r>
        <w:t>4. Healthy-only models and evaluation</w:t>
      </w:r>
    </w:p>
    <w:p>
      <w:pPr>
        <w:pStyle w:val="Heading2"/>
      </w:pPr>
      <w:r>
        <w:t>4.1. Fixed current representation and covariance score</w:t>
      </w:r>
    </w:p>
    <w:p>
      <w:r>
        <w:rPr>
          <w:rFonts w:ascii="Liberation Serif" w:hAnsi="Liberation Serif" w:eastAsia="Times New Roman"/>
          <w:sz w:val="22"/>
        </w:rPr>
        <w:t xml:space="preserve">Each 0.2 s window yields current-shape statistics, phase RMS ratios, Clarke-vector dispersion, sequence ratios, normalized harmonics, sideband ratios, total harmonic distortion, and spectral entropy. Supplementary Section S1.2 gives the exact spectral, sequence, and scaling definitions. The frozen 27-feature arm, historically named </w:t>
      </w:r>
      <w:r>
        <w:rPr>
          <w:rFonts w:ascii="Liberation Serif" w:hAnsi="Liberation Serif" w:eastAsia="Times New Roman"/>
          <w:i/>
          <w:sz w:val="22"/>
        </w:rPr>
        <w:t>scale-free</w:t>
      </w:r>
      <w:r>
        <w:rPr>
          <w:rFonts w:ascii="Liberation Serif" w:hAnsi="Liberation Serif" w:eastAsia="Times New Roman"/>
          <w:sz w:val="22"/>
        </w:rPr>
        <w:t>, excludes absolute RMS, zero-sequence RMS, fundamental amplitude, and mean Clarke radius. It retains electrical fundamental frequency, so the representation is not wholly dimensionless or speed invariant. Its inclusion is preserved in the frozen analysis; post-reveal diagnostics cannot be used to remove it from the primary score.</w:t>
      </w:r>
    </w:p>
    <w:p>
      <w:r>
        <w:rPr>
          <w:rFonts w:ascii="Liberation Serif" w:hAnsi="Liberation Serif" w:eastAsia="Times New Roman"/>
          <w:sz w:val="22"/>
        </w:rPr>
        <w:t xml:space="preserve">For healthy reference samples from entity </w:t>
      </w:r>
      <w:r>
        <w:rPr>
          <w:rFonts w:ascii="DejaVu Math TeX Gyre" w:hAnsi="DejaVu Math TeX Gyre" w:eastAsia="Cambria Math"/>
          <w:i/>
          <w:sz w:val="22"/>
        </w:rPr>
        <w:t>m</w:t>
      </w:r>
      <w:r>
        <w:rPr>
          <w:rFonts w:ascii="Liberation Serif" w:hAnsi="Liberation Serif" w:eastAsia="Times New Roman"/>
          <w:sz w:val="22"/>
        </w:rPr>
        <w:t xml:space="preserve">, coordinate-wise median </w:t>
      </w:r>
      <w:r>
        <w:rPr>
          <w:rFonts w:ascii="DejaVu Math TeX Gyre" w:hAnsi="DejaVu Math TeX Gyre" w:eastAsia="Cambria Math"/>
          <w:i/>
          <w:sz w:val="22"/>
        </w:rPr>
        <w:t>cₘ</w:t>
      </w:r>
      <w:r>
        <w:rPr>
          <w:rFonts w:ascii="Liberation Serif" w:hAnsi="Liberation Serif" w:eastAsia="Times New Roman"/>
          <w:sz w:val="22"/>
        </w:rPr>
        <w:t xml:space="preserve"> and robust scale </w:t>
      </w:r>
      <w:r>
        <w:rPr>
          <w:rFonts w:ascii="DejaVu Math TeX Gyre" w:hAnsi="DejaVu Math TeX Gyre" w:eastAsia="Cambria Math"/>
          <w:i/>
          <w:sz w:val="22"/>
        </w:rPr>
        <w:t>rₘ</w:t>
      </w:r>
      <w:r>
        <w:rPr>
          <w:rFonts w:ascii="Liberation Serif" w:hAnsi="Liberation Serif" w:eastAsia="Times New Roman"/>
          <w:sz w:val="22"/>
        </w:rPr>
        <w:t xml:space="preserve"> define</w:t>
      </w:r>
    </w:p>
    <w:p>
      <w:pPr>
        <w:keepLines/>
        <w:jc w:val="center"/>
      </w:pPr>
      <m:oMathPara>
        <m:oMath>
          <m:sSub>
            <m:e>
              <m:acc>
                <m:accPr>
                  <m:chr m:val="̃"/>
                </m:accPr>
                <m:e>
                  <m:r>
                    <m:rPr>
                      <m:sty m:val="i"/>
                    </m:rPr>
                    <m:t>x</m:t>
                  </m:r>
                </m:e>
              </m:acc>
            </m:e>
            <m:sub>
              <m:r>
                <m:rPr>
                  <m:sty m:val="i"/>
                </m:rPr>
                <m:t>m,i</m:t>
              </m:r>
            </m:sub>
          </m:sSub>
          <m:r>
            <m:rPr>
              <m:sty m:val="p"/>
            </m:rPr>
            <m:t> = (</m:t>
          </m:r>
          <m:sSub>
            <m:e>
              <m:r>
                <m:rPr>
                  <m:sty m:val="i"/>
                </m:rPr>
                <m:t>x</m:t>
              </m:r>
            </m:e>
            <m:sub>
              <m:r>
                <m:rPr>
                  <m:sty m:val="i"/>
                </m:rPr>
                <m:t>m,i</m:t>
              </m:r>
            </m:sub>
          </m:sSub>
          <m:r>
            <m:rPr>
              <m:sty m:val="p"/>
            </m:rPr>
            <m:t> − </m:t>
          </m:r>
          <m:sSub>
            <m:e>
              <m:r>
                <m:rPr>
                  <m:sty m:val="i"/>
                </m:rPr>
                <m:t>c</m:t>
              </m:r>
            </m:e>
            <m:sub>
              <m:r>
                <m:rPr>
                  <m:sty m:val="i"/>
                </m:rPr>
                <m:t>m</m:t>
              </m:r>
            </m:sub>
          </m:sSub>
          <m:r>
            <m:rPr>
              <m:sty m:val="p"/>
            </m:rPr>
            <m:t>) ⊘ </m:t>
          </m:r>
          <m:sSub>
            <m:e>
              <m:r>
                <m:rPr>
                  <m:sty m:val="i"/>
                </m:rPr>
                <m:t>r</m:t>
              </m:r>
            </m:e>
            <m:sub>
              <m:r>
                <m:rPr>
                  <m:sty m:val="i"/>
                </m:rPr>
                <m:t>m</m:t>
              </m:r>
            </m:sub>
          </m:sSub>
        </m:oMath>
      </m:oMathPara>
      <w:r>
        <w:t xml:space="preserve">     (1)</w:t>
      </w:r>
    </w:p>
    <w:p>
      <w:r>
        <w:rPr>
          <w:rFonts w:ascii="Liberation Serif" w:hAnsi="Liberation Serif" w:eastAsia="Times New Roman"/>
          <w:sz w:val="22"/>
        </w:rPr>
        <w:t xml:space="preserve">Only source reference or target adaptation samples enter these statistics. Let </w:t>
      </w:r>
      <w:r>
        <w:rPr>
          <w:rFonts w:ascii="DejaVu Math TeX Gyre" w:hAnsi="DejaVu Math TeX Gyre" w:eastAsia="Cambria Math"/>
          <w:i/>
          <w:sz w:val="22"/>
        </w:rPr>
        <w:t>Sₘ</w:t>
      </w:r>
      <w:r>
        <w:rPr>
          <w:rFonts w:ascii="Liberation Serif" w:hAnsi="Liberation Serif" w:eastAsia="Times New Roman"/>
          <w:sz w:val="22"/>
        </w:rPr>
        <w:t xml:space="preserve"> denote their sample covariance. The primary relative ridge is</w:t>
      </w:r>
    </w:p>
    <w:p>
      <w:pPr>
        <w:keepLines/>
        <w:jc w:val="center"/>
      </w:pPr>
      <m:oMathPara>
        <m:oMath>
          <m:sSup>
            <m:e>
              <m:sSub>
                <m:e>
                  <m:r>
                    <m:rPr>
                      <m:sty m:val="i"/>
                    </m:rPr>
                    <m:t>S</m:t>
                  </m:r>
                </m:e>
                <m:sub>
                  <m:r>
                    <m:rPr>
                      <m:sty m:val="i"/>
                    </m:rPr>
                    <m:t>m</m:t>
                  </m:r>
                </m:sub>
              </m:sSub>
            </m:e>
            <m:sup>
              <m:r>
                <m:rPr>
                  <m:sty m:val="i"/>
                </m:rPr>
                <m:t>(λ)</m:t>
              </m:r>
            </m:sup>
          </m:sSup>
          <m:r>
            <m:rPr>
              <m:sty m:val="p"/>
            </m:rPr>
            <m:t> = </m:t>
          </m:r>
          <m:sSub>
            <m:e>
              <m:r>
                <m:rPr>
                  <m:sty m:val="i"/>
                </m:rPr>
                <m:t>S</m:t>
              </m:r>
            </m:e>
            <m:sub>
              <m:r>
                <m:rPr>
                  <m:sty m:val="i"/>
                </m:rPr>
                <m:t>m</m:t>
              </m:r>
            </m:sub>
          </m:sSub>
          <m:r>
            <m:rPr>
              <m:sty m:val="p"/>
            </m:rPr>
            <m:t> + </m:t>
          </m:r>
          <m:r>
            <m:rPr>
              <m:sty m:val="i"/>
            </m:rPr>
            <m:t>λ</m:t>
          </m:r>
          <m:f>
            <m:num>
              <m:r>
                <m:rPr>
                  <m:sty m:val="p"/>
                </m:rPr>
                <m:t>tr(</m:t>
              </m:r>
              <m:sSub>
                <m:e>
                  <m:r>
                    <m:rPr>
                      <m:sty m:val="i"/>
                    </m:rPr>
                    <m:t>S</m:t>
                  </m:r>
                </m:e>
                <m:sub>
                  <m:r>
                    <m:rPr>
                      <m:sty m:val="i"/>
                    </m:rPr>
                    <m:t>m</m:t>
                  </m:r>
                </m:sub>
              </m:sSub>
              <m:r>
                <m:rPr>
                  <m:sty m:val="p"/>
                </m:rPr>
                <m:t>)</m:t>
              </m:r>
            </m:num>
            <m:den>
              <m:r>
                <m:rPr>
                  <m:sty m:val="i"/>
                </m:rPr>
                <m:t>d</m:t>
              </m:r>
            </m:den>
          </m:f>
          <m:r>
            <m:rPr>
              <m:sty m:val="i"/>
            </m:rPr>
            <m:t>I</m:t>
          </m:r>
        </m:oMath>
      </m:oMathPara>
      <w:r>
        <w:t xml:space="preserve">     (2)</w:t>
      </w:r>
    </w:p>
    <w:p>
      <w:r>
        <w:rPr>
          <w:rFonts w:ascii="Liberation Serif" w:hAnsi="Liberation Serif" w:eastAsia="Times New Roman"/>
          <w:sz w:val="22"/>
        </w:rPr>
        <w:t xml:space="preserve">Development was not fully unsupervised. The ridge fraction </w:t>
      </w:r>
      <w:r>
        <w:rPr>
          <w:rFonts w:ascii="DejaVu Math TeX Gyre" w:hAnsi="DejaVu Math TeX Gyre" w:eastAsia="Cambria Math"/>
          <w:i/>
          <w:sz w:val="22"/>
        </w:rPr>
        <w:t>λ=0.01</w:t>
      </w:r>
      <w:r>
        <w:rPr>
          <w:rFonts w:ascii="Liberation Serif" w:hAnsi="Liberation Serif" w:eastAsia="Times New Roman"/>
          <w:sz w:val="22"/>
        </w:rPr>
        <w:t xml:space="preserve"> was selected from </w:t>
      </w:r>
      <w:r>
        <w:rPr>
          <w:rFonts w:ascii="DejaVu Math TeX Gyre" w:hAnsi="DejaVu Math TeX Gyre" w:eastAsia="Cambria Math"/>
          <w:i/>
          <w:sz w:val="22"/>
        </w:rPr>
        <w:t>10⁻⁴,10⁻³,10⁻²,10⁻¹</w:t>
      </w:r>
      <w:r>
        <w:rPr>
          <w:rFonts w:ascii="Liberation Serif" w:hAnsi="Liberation Serif" w:eastAsia="Times New Roman"/>
          <w:sz w:val="22"/>
        </w:rPr>
        <w:t xml:space="preserve"> by nested pseudo-target validation on source motors, using their labeled faults and held-out healthy blocks. The objective was mean source fault-block detection minus twice the mean source healthy false-alarm rate; the outer target motor was excluded from each selection. All three KAIST outer folds selected 0.01, which was frozen before external fault access. This source-label use does not alter the exploratory status of KAIST. Equal-entity Log-Euclidean averaging gives</w:t>
      </w:r>
    </w:p>
    <w:p>
      <w:pPr>
        <w:keepLines/>
        <w:jc w:val="center"/>
      </w:pPr>
      <m:oMathPara>
        <m:oMath>
          <m:sSub>
            <m:e>
              <m:r>
                <m:rPr>
                  <m:sty m:val="i"/>
                </m:rPr>
                <m:t>Σ</m:t>
              </m:r>
            </m:e>
            <m:sub>
              <m:r>
                <m:rPr>
                  <m:sty m:val="p"/>
                </m:rPr>
                <m:t>LE</m:t>
              </m:r>
            </m:sub>
          </m:sSub>
          <m:r>
            <m:rPr>
              <m:sty m:val="p"/>
            </m:rPr>
            <m:t> = exp[</m:t>
          </m:r>
          <m:f>
            <m:num>
              <m:r>
                <m:rPr>
                  <m:sty m:val="i"/>
                </m:rPr>
                <m:t>1</m:t>
              </m:r>
            </m:num>
            <m:den>
              <m:r>
                <m:rPr>
                  <m:sty m:val="i"/>
                </m:rPr>
                <m:t>M</m:t>
              </m:r>
            </m:den>
          </m:f>
          <m:nary>
            <m:naryPr>
              <m:chr m:val="∑"/>
              <m:limLoc m:val="undOvr"/>
            </m:naryPr>
            <m:sub>
              <m:r>
                <m:rPr>
                  <m:sty m:val="i"/>
                </m:rPr>
                <m:t>m=1</m:t>
              </m:r>
            </m:sub>
            <m:sup>
              <m:r>
                <m:rPr>
                  <m:sty m:val="i"/>
                </m:rPr>
                <m:t>M</m:t>
              </m:r>
            </m:sup>
            <m:e>
              <m:r>
                <m:rPr>
                  <m:sty m:val="p"/>
                </m:rPr>
                <m:t>log(</m:t>
              </m:r>
              <m:sSup>
                <m:e>
                  <m:sSub>
                    <m:e>
                      <m:r>
                        <m:rPr>
                          <m:sty m:val="i"/>
                        </m:rPr>
                        <m:t>S</m:t>
                      </m:r>
                    </m:e>
                    <m:sub>
                      <m:r>
                        <m:rPr>
                          <m:sty m:val="i"/>
                        </m:rPr>
                        <m:t>m</m:t>
                      </m:r>
                    </m:sub>
                  </m:sSub>
                </m:e>
                <m:sup>
                  <m:r>
                    <m:rPr>
                      <m:sty m:val="i"/>
                    </m:rPr>
                    <m:t>(λ)</m:t>
                  </m:r>
                </m:sup>
              </m:sSup>
              <m:r>
                <m:rPr>
                  <m:sty m:val="p"/>
                </m:rPr>
                <m:t>)</m:t>
              </m:r>
            </m:e>
          </m:nary>
          <m:r>
            <m:rPr>
              <m:sty m:val="p"/>
            </m:rPr>
            <m:t>]</m:t>
          </m:r>
        </m:oMath>
      </m:oMathPara>
      <w:r>
        <w:t xml:space="preserve">     (3)</w:t>
      </w:r>
    </w:p>
    <w:p>
      <w:r>
        <w:rPr>
          <w:rFonts w:ascii="Liberation Serif" w:hAnsi="Liberation Serif" w:eastAsia="Times New Roman"/>
          <w:sz w:val="22"/>
        </w:rPr>
        <w:t>The target-standardized anomaly score is</w:t>
      </w:r>
    </w:p>
    <w:p>
      <w:pPr>
        <w:keepLines/>
        <w:jc w:val="center"/>
      </w:pPr>
      <m:oMathPara>
        <m:oMath>
          <m:r>
            <m:rPr>
              <m:sty m:val="i"/>
            </m:rPr>
            <m:t>s(x)</m:t>
          </m:r>
          <m:r>
            <m:rPr>
              <m:sty m:val="p"/>
            </m:rPr>
            <m:t> = </m:t>
          </m:r>
          <m:sSup>
            <m:e>
              <m:acc>
                <m:accPr>
                  <m:chr m:val="̃"/>
                </m:accPr>
                <m:e>
                  <m:r>
                    <m:rPr>
                      <m:sty m:val="i"/>
                    </m:rPr>
                    <m:t>x</m:t>
                  </m:r>
                </m:e>
              </m:acc>
            </m:e>
            <m:sup>
              <m:r>
                <m:rPr>
                  <m:sty m:val="i"/>
                </m:rPr>
                <m:t>T</m:t>
              </m:r>
            </m:sup>
          </m:sSup>
          <m:sSup>
            <m:e>
              <m:sSub>
                <m:e>
                  <m:r>
                    <m:rPr>
                      <m:sty m:val="i"/>
                    </m:rPr>
                    <m:t>Σ</m:t>
                  </m:r>
                </m:e>
                <m:sub>
                  <m:r>
                    <m:rPr>
                      <m:sty m:val="p"/>
                    </m:rPr>
                    <m:t>LE</m:t>
                  </m:r>
                </m:sub>
              </m:sSub>
            </m:e>
            <m:sup>
              <m:r>
                <m:rPr>
                  <m:sty m:val="i"/>
                </m:rPr>
                <m:t>†</m:t>
              </m:r>
            </m:sup>
          </m:sSup>
          <m:acc>
            <m:accPr>
              <m:chr m:val="̃"/>
            </m:accPr>
            <m:e>
              <m:r>
                <m:rPr>
                  <m:sty m:val="i"/>
                </m:rPr>
                <m:t>x</m:t>
              </m:r>
            </m:e>
          </m:acc>
        </m:oMath>
      </m:oMathPara>
      <w:r>
        <w:t xml:space="preserve">     (4)</w:t>
      </w:r>
    </w:p>
    <w:p>
      <w:r>
        <w:rPr>
          <w:rFonts w:ascii="Liberation Serif" w:hAnsi="Liberation Serif" w:eastAsia="Times New Roman"/>
          <w:sz w:val="22"/>
        </w:rPr>
        <w:t>Two KAIST sources and the target each contribute one covariance internally. Externally, all three KAIST healthy sources and one target subsystem contribute equally. Each external subsystem receives its own target median, scale, and covariance. The system window score is the maximum of the two subsystem scores; the system block score is the maximum over its fifteen windows. One calibration is applied to this combined score. The subsystems are not separately alarmed at 5%.</w:t>
      </w:r>
    </w:p>
    <w:p>
      <w:pPr>
        <w:pStyle w:val="Heading2"/>
      </w:pPr>
      <w:r>
        <w:t>4.2. Comparators and fair source assistance</w:t>
      </w:r>
    </w:p>
    <w:p>
      <w:r>
        <w:rPr>
          <w:rFonts w:ascii="Liberation Serif" w:hAnsi="Liberation Serif" w:eastAsia="Times New Roman"/>
          <w:sz w:val="22"/>
        </w:rPr>
        <w:t>The other covariance references are target Ledoit-Wolf, regularized target sample, source-only, and arithmetic entity-balanced covariance. One-class comparators pair target-only and source-plus-target versions of OC-SVM, Isolation Forest, and MinCovDet. Every method starts from the same 27 input features and shares the block maximum, target calibration set, and alarm level. Target-only one-class fitting uses four adaptation blocks. Source-assisted one-class fitting uses four complete healthy blocks from each source and target, with source blocks selected at fixed evenly spaced positions within the allowed reference. Thus a long source record cannot dominate merely by supplying more windows.</w:t>
      </w:r>
    </w:p>
    <w:p>
      <w:r>
        <w:rPr>
          <w:rFonts w:ascii="Liberation Serif" w:hAnsi="Liberation Serif" w:eastAsia="Times New Roman"/>
          <w:sz w:val="22"/>
        </w:rPr>
        <w:t xml:space="preserve">OC-SVM uses an RBF kernel, gamma="scale", and nu=0.05. Isolation Forest uses 500 trees; its built-in contamination cutoff is not the operating alarm threshold. The preset </w:t>
      </w:r>
      <w:r>
        <w:rPr>
          <w:rFonts w:ascii="Liberation Serif" w:hAnsi="Liberation Serif" w:eastAsia="Courier New"/>
          <w:sz w:val="22"/>
        </w:rPr>
        <w:t>max_samples="auto"</w:t>
      </w:r>
      <w:r>
        <w:rPr>
          <w:rFonts w:ascii="Liberation Serif" w:hAnsi="Liberation Serif" w:eastAsia="Times New Roman"/>
          <w:sz w:val="22"/>
        </w:rPr>
        <w:t xml:space="preserve"> uses 60 versus 240 rows for the paired Isolation Forests; OC-SVM's </w:t>
      </w:r>
      <w:r>
        <w:rPr>
          <w:rFonts w:ascii="Liberation Serif" w:hAnsi="Liberation Serif" w:eastAsia="Courier New"/>
          <w:sz w:val="22"/>
        </w:rPr>
        <w:t>gamma="scale"</w:t>
      </w:r>
      <w:r>
        <w:rPr>
          <w:rFonts w:ascii="Liberation Serif" w:hAnsi="Liberation Serif" w:eastAsia="Times New Roman"/>
          <w:sz w:val="22"/>
        </w:rPr>
        <w:t xml:space="preserve"> also depends on its healthy fitting data. MinCovDet removes invariant or algebraically redundant coordinates by rank-revealing QR using healthy fitting rows only. In each external subsystem, target-only MinCovDet retained 26 features from 60 fitting rows, excluding </w:t>
      </w:r>
      <w:r>
        <w:rPr>
          <w:rFonts w:ascii="Liberation Serif" w:hAnsi="Liberation Serif" w:eastAsia="Courier New"/>
          <w:sz w:val="22"/>
        </w:rPr>
        <w:t>rms_ratio_c</w:t>
      </w:r>
      <w:r>
        <w:rPr>
          <w:rFonts w:ascii="Liberation Serif" w:hAnsi="Liberation Serif" w:eastAsia="Times New Roman"/>
          <w:sz w:val="22"/>
        </w:rPr>
        <w:t>; source-plus-target fitting retained all 27 from 240 rows. These masks were not equalized after reveal. Hyperparameters and the primary stochastic seed 20260820 were fixed before external reveal. The five-seed list fixed for exploratory KAIST baselines was reused in a post-reveal external stability audit, with no best-seed selection. MinCovDet is a preimplemented comparator rather than a replacement primary method. The label “Proposed” in retained artwork and archived tables denotes the frozen Log-Euclidean method.</w:t>
      </w:r>
    </w:p>
    <w:p>
      <w:pPr>
        <w:pStyle w:val="Heading2"/>
      </w:pPr>
      <w:r>
        <w:t>4.3. Calibration, outcomes, and conditional uncertainty</w:t>
      </w:r>
    </w:p>
    <w:p>
      <w:r>
        <w:rPr>
          <w:rFonts w:ascii="Liberation Serif" w:hAnsi="Liberation Serif" w:eastAsia="Times New Roman"/>
          <w:sz w:val="22"/>
        </w:rPr>
        <w:t xml:space="preserve">For block score </w:t>
      </w:r>
      <w:r>
        <w:rPr>
          <w:rFonts w:ascii="DejaVu Math TeX Gyre" w:hAnsi="DejaVu Math TeX Gyre" w:eastAsia="Cambria Math"/>
          <w:i/>
          <w:sz w:val="22"/>
        </w:rPr>
        <w:t>A</w:t>
      </w:r>
      <w:r>
        <w:rPr>
          <w:rFonts w:ascii="DejaVu Math TeX Gyre" w:hAnsi="DejaVu Math TeX Gyre"/>
          <w:i/>
          <w:sz w:val="22"/>
          <w:vertAlign w:val="subscript"/>
        </w:rPr>
        <w:t>b</w:t>
      </w:r>
      <w:r>
        <w:rPr>
          <w:rFonts w:ascii="DejaVu Math TeX Gyre" w:hAnsi="DejaVu Math TeX Gyre"/>
          <w:i/>
          <w:sz w:val="22"/>
        </w:rPr>
      </w:r>
      <w:r>
        <w:rPr>
          <w:rFonts w:ascii="Liberation Serif" w:hAnsi="Liberation Serif" w:eastAsia="Times New Roman"/>
          <w:sz w:val="22"/>
        </w:rPr>
        <w:t xml:space="preserve"> and </w:t>
      </w:r>
      <w:r>
        <w:rPr>
          <w:rFonts w:ascii="DejaVu Math TeX Gyre" w:hAnsi="DejaVu Math TeX Gyre" w:eastAsia="Cambria Math"/>
          <w:i/>
          <w:sz w:val="22"/>
        </w:rPr>
        <w:t>n</w:t>
      </w:r>
      <w:r>
        <w:rPr>
          <w:rFonts w:ascii="Liberation Serif" w:hAnsi="Liberation Serif" w:eastAsia="Times New Roman"/>
          <w:sz w:val="22"/>
        </w:rPr>
        <w:t xml:space="preserve"> healthy calibration scores,</w:t>
      </w:r>
    </w:p>
    <w:p>
      <w:pPr>
        <w:keepLines/>
        <w:jc w:val="center"/>
      </w:pPr>
      <m:oMathPara>
        <m:oMath>
          <m:sSub>
            <m:e>
              <m:r>
                <m:rPr>
                  <m:sty m:val="i"/>
                </m:rPr>
                <m:t>p</m:t>
              </m:r>
            </m:e>
            <m:sub>
              <m:r>
                <m:rPr>
                  <m:sty m:val="i"/>
                </m:rPr>
                <m:t>b</m:t>
              </m:r>
            </m:sub>
          </m:sSub>
          <m:r>
            <m:rPr>
              <m:sty m:val="p"/>
            </m:rPr>
            <m:t> = </m:t>
          </m:r>
          <m:f>
            <m:num>
              <m:r>
                <m:rPr>
                  <m:sty m:val="p"/>
                </m:rPr>
                <m:t>1 + </m:t>
              </m:r>
              <m:nary>
                <m:naryPr>
                  <m:chr m:val="∑"/>
                  <m:limLoc m:val="undOvr"/>
                </m:naryPr>
                <m:sub>
                  <m:r>
                    <m:rPr>
                      <m:sty m:val="i"/>
                    </m:rPr>
                    <m:t>j=1</m:t>
                  </m:r>
                </m:sub>
                <m:sup>
                  <m:r>
                    <m:rPr>
                      <m:sty m:val="i"/>
                    </m:rPr>
                    <m:t>n</m:t>
                  </m:r>
                </m:sup>
                <m:e>
                  <m:r>
                    <m:rPr>
                      <m:sty m:val="p"/>
                    </m:rPr>
                    <m:t>1(</m:t>
                  </m:r>
                  <m:sSub>
                    <m:e>
                      <m:r>
                        <m:rPr>
                          <m:sty m:val="i"/>
                        </m:rPr>
                        <m:t>A</m:t>
                      </m:r>
                    </m:e>
                    <m:sub>
                      <m:r>
                        <m:rPr>
                          <m:sty m:val="i"/>
                        </m:rPr>
                        <m:t>j</m:t>
                      </m:r>
                    </m:sub>
                  </m:sSub>
                  <m:r>
                    <m:rPr>
                      <m:sty m:val="p"/>
                    </m:rPr>
                    <m:t> ≥ </m:t>
                  </m:r>
                  <m:sSub>
                    <m:e>
                      <m:r>
                        <m:rPr>
                          <m:sty m:val="i"/>
                        </m:rPr>
                        <m:t>A</m:t>
                      </m:r>
                    </m:e>
                    <m:sub>
                      <m:r>
                        <m:rPr>
                          <m:sty m:val="i"/>
                        </m:rPr>
                        <m:t>b</m:t>
                      </m:r>
                    </m:sub>
                  </m:sSub>
                  <m:r>
                    <m:rPr>
                      <m:sty m:val="p"/>
                    </m:rPr>
                    <m:t>)</m:t>
                  </m:r>
                </m:e>
              </m:nary>
            </m:num>
            <m:den>
              <m:r>
                <m:rPr>
                  <m:sty m:val="i"/>
                </m:rPr>
                <m:t>n</m:t>
              </m:r>
              <m:r>
                <m:rPr>
                  <m:sty m:val="p"/>
                </m:rPr>
                <m:t> + 1</m:t>
              </m:r>
            </m:den>
          </m:f>
        </m:oMath>
      </m:oMathPara>
      <w:r>
        <w:t xml:space="preserve">     (5)</w:t>
      </w:r>
    </w:p>
    <w:p>
      <w:r>
        <w:rPr>
          <w:rFonts w:ascii="Liberation Serif" w:hAnsi="Liberation Serif" w:eastAsia="Times New Roman"/>
          <w:sz w:val="22"/>
        </w:rPr>
        <w:t xml:space="preserve">An alarm occurs when </w:t>
      </w:r>
      <w:r>
        <w:rPr>
          <w:rFonts w:ascii="DejaVu Math TeX Gyre" w:hAnsi="DejaVu Math TeX Gyre" w:eastAsia="Cambria Math"/>
          <w:i/>
          <w:sz w:val="22"/>
        </w:rPr>
        <w:t>p</w:t>
      </w:r>
      <w:r>
        <w:rPr>
          <w:rFonts w:ascii="DejaVu Math TeX Gyre" w:hAnsi="DejaVu Math TeX Gyre"/>
          <w:i/>
          <w:sz w:val="22"/>
          <w:vertAlign w:val="subscript"/>
        </w:rPr>
        <w:t>b</w:t>
      </w:r>
      <w:r>
        <w:rPr>
          <w:rFonts w:ascii="DejaVu Math TeX Gyre" w:hAnsi="DejaVu Math TeX Gyre"/>
          <w:i/>
          <w:sz w:val="22"/>
        </w:rPr>
        <w:t>≤0.05</w:t>
      </w:r>
      <w:r>
        <w:rPr>
          <w:rFonts w:ascii="Liberation Serif" w:hAnsi="Liberation Serif" w:eastAsia="Times New Roman"/>
          <w:sz w:val="22"/>
        </w:rPr>
        <w:t>. There are 20 calibration blocks internally and 24 externally. At least 19 units are required to attain a p-value of 0.05, so four adaptation blocks cannot also be called a 5% calibration set. Both implemented thresholds are calibration maxima at this alarm level: a score must strictly exceed the calibration maximum. A tie with that maximum is not alarmed. Blocks share acquisition history and, externally, an ordered acceleration trajectory. Neither exchangeability nor a sufficient mixing condition has been established. P-values and Wilson intervals are therefore descriptive under the observed dependence.</w:t>
      </w:r>
    </w:p>
    <w:p>
      <w:r>
        <w:rPr>
          <w:rFonts w:ascii="Liberation Serif" w:hAnsi="Liberation Serif" w:eastAsia="Times New Roman"/>
          <w:sz w:val="22"/>
        </w:rPr>
        <w:t>Fault detection is the mean alarm fraction per complete record, averaged equally within motors for KAIST and across external records. Equal external record length also makes it equal to 96/384 for the primary method. We report raw healthy counts, worst-motor performance, AUROC, and the H1 decision. KAIST AUROC is a mean across folds. External pooled AUROC compares fault blocks at eight loads with health blocks at four held-out loads; it is not load matched.</w:t>
      </w:r>
    </w:p>
    <w:p>
      <w:r>
        <w:rPr>
          <w:rFonts w:ascii="Liberation Serif" w:hAnsi="Liberation Serif" w:eastAsia="Times New Roman"/>
          <w:sz w:val="22"/>
        </w:rPr>
        <w:t>Paired differences resample complete records in 10,000 bootstrap draws: within motor internally and within the six fixed turn-phase strata externally. External 2.5th-97.5th percentile intervals are descriptive record-weighting sensitivities, not calibrated population confidence intervals. They do not estimate between-motor variation. Post-reveal paired comparisons additionally apply Holm correction within their stated comparison families; percentile intervals remain unadjusted. Neither coverage nor inferential p-value validity has been established under this dependence. No window or block is treated as an independent physical repetition.</w:t>
      </w:r>
    </w:p>
    <w:p>
      <w:pPr>
        <w:pStyle w:val="Heading1"/>
      </w:pPr>
      <w:r>
        <w:t>5. Results</w:t>
      </w:r>
    </w:p>
    <w:p>
      <w:pPr>
        <w:pStyle w:val="Heading2"/>
      </w:pPr>
      <w:r>
        <w:t>5.1. Exploratory same-family performance</w:t>
      </w:r>
    </w:p>
    <w:p>
      <w:r>
        <w:rPr>
          <w:rFonts w:ascii="Liberation Serif" w:hAnsi="Liberation Serif" w:eastAsia="Times New Roman"/>
          <w:sz w:val="22"/>
        </w:rPr>
        <w:t>The primary detector produced 0/42 later-time healthy alarms, with a descriptive Wilson upper bound of 8.38%. It detected 1608/1680 fault blocks: 100.00%, 90.00%, and 97.14% for the 1.0, 1.5, and 3.0 kW targets, respectively, averaging 95.71%. Table II and Fig. 2 show that this is competitive within the source family, but does not establish broad algorithmic superiority.</w:t>
      </w:r>
    </w:p>
    <w:p>
      <w:r>
        <w:t>[Fig. 2 near here]</w:t>
      </w:r>
    </w:p>
    <w:p>
      <w:r>
        <w:t>[Table II near here]</w:t>
      </w:r>
    </w:p>
    <w:p>
      <w:r>
        <w:rPr>
          <w:rFonts w:ascii="Liberation Serif" w:hAnsi="Liberation Serif" w:eastAsia="Times New Roman"/>
          <w:sz w:val="22"/>
        </w:rPr>
        <w:t>Target-only MinCovDet detected 89.82% internally. The primary was not the highest- detection method overall: source+target Isolation Forest achieved 96.07% with 0/42 healthy alarms, and target-only Isolation Forest achieved 97.56% with 1/42. The latter's Wilson upper endpoint of 12.32% narrowly exceeded H1. Complete paired intervals and covariance contrasts are retained in Supplementary Section S10.</w:t>
      </w:r>
    </w:p>
    <w:p>
      <w:r>
        <w:rPr>
          <w:rFonts w:ascii="Liberation Serif" w:hAnsi="Liberation Serif" w:eastAsia="Times New Roman"/>
          <w:sz w:val="22"/>
        </w:rPr>
        <w:t>The exploratory development hypotheses also had failures. Low nominal severities had a ceiling effect rather than a demonstrated improvement; anomaly scores were not monotone in severity. Shorter adaptation or alternative aggregation sometimes increased detection, but fault outcomes cannot select those settings. Supplementary Section S10 retains these results and the original 12 s/3 s maximum setting.</w:t>
      </w:r>
    </w:p>
    <w:p>
      <w:pPr>
        <w:pStyle w:val="Heading2"/>
      </w:pPr>
      <w:r>
        <w:t>5.2. Frozen external failure and ranking reversal</w:t>
      </w:r>
    </w:p>
    <w:p>
      <w:r>
        <w:rPr>
          <w:rFonts w:ascii="Liberation Serif" w:hAnsi="Liberation Serif" w:eastAsia="Times New Roman"/>
          <w:sz w:val="22"/>
        </w:rPr>
        <w:t>All 48 planned external fault records passed the fixed parser and interval checks, with no exclusions. The primary detector retained its locked health outcome: 1/32 alarms (3.125%). The maximum held-out-load false-alarm rate was 1/8 (12.5%), but the pooled descriptive Wilson upper bound was 15.74%, above the 12% H1 limit. The gate therefore failed; this health failure was recorded before fault reveal. The reveal subsequently assessed fault detection. The available health evidence did not satisfy the preset criterion; it does not prove that a population false-alarm rate exceeds 5%.</w:t>
      </w:r>
    </w:p>
    <w:p>
      <w:r>
        <w:rPr>
          <w:rFonts w:ascii="Liberation Serif" w:hAnsi="Liberation Serif" w:eastAsia="Times New Roman"/>
          <w:sz w:val="22"/>
        </w:rPr>
        <w:t>The detector alarmed on 96/384 fault blocks, giving 25.00% detection (descriptive turn-stratified record-bootstrap interval [21.09, 29.43]%) and pooled AUROC 0.6354. Target-only MinCovDet, an existing frozen comparator, alarmed on 269/384 blocks: 70.05% ([65.36, 75.26]%), with 0/32 healthy alarms and AUROC 0.9268. Its paired advantage over the primary was 45.05 percentage points ([40.62, 49.48]). MinCovDet was the sole method to pass H1 at the prespecified seed. Table III and Fig. 3 display the complete comparison, including unsuccessful controls.</w:t>
      </w:r>
    </w:p>
    <w:p>
      <w:r>
        <w:t>[Fig. 3 near here]</w:t>
      </w:r>
    </w:p>
    <w:p>
      <w:r>
        <w:t>[Table III near here]</w:t>
      </w:r>
    </w:p>
    <w:p>
      <w:r>
        <w:rPr>
          <w:rFonts w:ascii="Liberation Serif" w:hAnsi="Liberation Serif" w:eastAsia="Times New Roman"/>
          <w:sz w:val="22"/>
        </w:rPr>
        <w:t>The Log-Euclidean and target-only MinCovDet ordering reversed from exploratory KAIST (95.71% versus 89.82%) to external data (25.00% versus 70.05%). This is a protocol-specific pairwise reversal, not an overall-best claim.</w:t>
      </w:r>
    </w:p>
    <w:p>
      <w:r>
        <w:rPr>
          <w:rFonts w:ascii="Liberation Serif" w:hAnsi="Liberation Serif" w:eastAsia="Times New Roman"/>
          <w:sz w:val="22"/>
        </w:rPr>
        <w:t>Across the five previously fixed KAIST seeds, target-only MinCovDet remained above the other audited stochastic variants, but detection varied from 65.36% to 77.08%, healthy alarms from 0 to 2/32, and only three seeds passed H1. That mechanical post-reveal sensitivity does not authorize replacing the primary or choosing a better seed. The point result is conditional on its seed as well as its motor.</w:t>
      </w:r>
    </w:p>
    <w:p>
      <w:pPr>
        <w:pStyle w:val="Heading2"/>
      </w:pPr>
      <w:r>
        <w:t>5.3. Operating trajectory and source augmentation</w:t>
      </w:r>
    </w:p>
    <w:p>
      <w:r>
        <w:rPr>
          <w:rFonts w:ascii="Liberation Serif" w:hAnsi="Liberation Serif" w:eastAsia="Times New Roman"/>
          <w:sz w:val="22"/>
        </w:rPr>
        <w:t>Post-reveal diagnostics retained frozen predictions and thresholds. The primary detector raised no alarm on any fault record in blocks 0-2 and alarmed on all 48 records in block 7. Its only health alarm was also in block 7. Median healthy speed rose from approximately 218 to 2214 rpm across the local block sequence. Consequently, the 48/48 record-any result masks weak coverage through earlier operating points (Fig. 4). The faults were already present during these acceleration records, so this is early-trajectory coverage rather than fault-onset latency.</w:t>
      </w:r>
    </w:p>
    <w:p>
      <w:r>
        <w:t>[Fig. 4 near here]</w:t>
      </w:r>
    </w:p>
    <w:p>
      <w:r>
        <w:rPr>
          <w:rFonts w:ascii="Liberation Serif" w:hAnsi="Liberation Serif" w:eastAsia="Times New Roman"/>
          <w:sz w:val="22"/>
        </w:rPr>
        <w:t>In the first four blocks, detection was 2.60% and 10.42% of records had any alarm; in the first seven, these were 14.29% and 52.08%. The median first alarm was block 6, approximately 1643 rpm using the matching healthy record as a speed proxy. Target MinCovDet detected 54.69% of the first four blocks and first alarmed at median block 1. The proxy does not substitute for measured fault-record speed.</w:t>
      </w:r>
    </w:p>
    <w:p>
      <w:r>
        <w:rPr>
          <w:rFonts w:ascii="Liberation Serif" w:hAnsi="Liberation Serif" w:eastAsia="Times New Roman"/>
          <w:sz w:val="22"/>
        </w:rPr>
        <w:t>Block position and the primary score had Spearman associations of 0.8361 in held-out health and 0.8212 in faults. The equal-weight mean of block-position-specific AUROCs was 0.8047, compared with pooled AUROC 0.6354. Matching position does not fix the unequal load support or make a new independent evaluation, but it indicates that some fault-ranking information survives beneath the trajectory-associated score change. These associations cannot establish speed as the sole cause.</w:t>
      </w:r>
    </w:p>
    <w:p>
      <w:r>
        <w:rPr>
          <w:rFonts w:ascii="Liberation Serif" w:hAnsi="Liberation Serif" w:eastAsia="Times New Roman"/>
          <w:sz w:val="22"/>
        </w:rPr>
        <w:t>Load-resolved detection declined from 56.25% at 0 N m to 12.50% at 35 N m (Fig. 5). Detection across the fixed turn-phase conditions ranged from 15.63% to 32.81% without a monotone trend. Phase and turns cannot be separated, so this is not a severity-effect estimate.</w:t>
      </w:r>
    </w:p>
    <w:p>
      <w:r>
        <w:t>[Fig. 5 near here]</w:t>
      </w:r>
    </w:p>
    <w:p>
      <w:r>
        <w:rPr>
          <w:rFonts w:ascii="Liberation Serif" w:hAnsi="Liberation Serif" w:eastAsia="Times New Roman"/>
          <w:sz w:val="22"/>
        </w:rPr>
        <w:t>The paired MinCovDet configurations belong to the same estimator family. Target-only MinCovDet exceeded source+target MinCovDet by 39.84 percentage points ([35.42, 44.27]); their detection was 70.05% versus 30.21%. Target-only Isolation Forest also exceeded its source-assisted counterpart, whereas OC-SVM tied in mean detection. The MinCovDet pair differs in fitting rows and the resulting 26/27-feature masks, so its gap describes the frozen augmentation pipeline as a whole, not an isolated causal effect of source information. The observed reductions are conditional negative transfer under these complete configurations. The primary Log-Euclidean configuration still exceeded the source-covariance reference by 12.24 points ([8.33, 16.41]), but that contrast also changes matrix aggregation and regularization and cannot isolate the effect of source inclusion. Complete paired contrasts are in Supplementary Section S3.</w:t>
      </w:r>
    </w:p>
    <w:p>
      <w:pPr>
        <w:pStyle w:val="Heading2"/>
      </w:pPr>
      <w:r>
        <w:t>5.4. Bounded diagnostics and secondary compatibility failure</w:t>
      </w:r>
    </w:p>
    <w:p>
      <w:r>
        <w:rPr>
          <w:rFonts w:ascii="Liberation Serif" w:hAnsi="Liberation Serif" w:eastAsia="Times New Roman"/>
          <w:sz w:val="22"/>
        </w:rPr>
        <w:t xml:space="preserve">A post-reveal geometry audit reconstructed all 448 frozen primary block scores with maximum absolute discrepancy </w:t>
      </w:r>
      <w:r>
        <w:rPr>
          <w:rFonts w:ascii="DejaVu Math TeX Gyre" w:hAnsi="DejaVu Math TeX Gyre" w:eastAsia="Cambria Math"/>
          <w:i/>
          <w:sz w:val="22"/>
        </w:rPr>
        <w:t>3.64×10⁻¹²</w:t>
      </w:r>
      <w:r>
        <w:rPr>
          <w:rFonts w:ascii="Liberation Serif" w:hAnsi="Liberation Serif" w:eastAsia="Times New Roman"/>
          <w:sz w:val="22"/>
        </w:rPr>
        <w:t xml:space="preserve">. For target-standardized coordinates </w:t>
      </w:r>
      <w:r>
        <w:rPr>
          <w:rFonts w:ascii="DejaVu Math TeX Gyre" w:hAnsi="DejaVu Math TeX Gyre" w:eastAsia="Cambria Math"/>
          <w:i/>
          <w:sz w:val="22"/>
        </w:rPr>
        <w:t>z=x̃</w:t>
      </w:r>
      <w:r>
        <w:rPr>
          <w:rFonts w:ascii="Liberation Serif" w:hAnsi="Liberation Serif" w:eastAsia="Times New Roman"/>
          <w:sz w:val="22"/>
        </w:rPr>
        <w:t xml:space="preserve"> and precision matrix </w:t>
      </w:r>
      <w:r>
        <w:rPr>
          <w:rFonts w:ascii="DejaVu Math TeX Gyre" w:hAnsi="DejaVu Math TeX Gyre" w:eastAsia="Cambria Math"/>
          <w:i/>
          <w:sz w:val="22"/>
        </w:rPr>
        <w:t>P</w:t>
      </w:r>
      <w:r>
        <w:rPr>
          <w:rFonts w:ascii="Liberation Serif" w:hAnsi="Liberation Serif" w:eastAsia="Times New Roman"/>
          <w:sz w:val="22"/>
        </w:rPr>
        <w:t xml:space="preserve">, the allocation </w:t>
      </w:r>
      <w:r>
        <w:rPr>
          <w:rFonts w:ascii="DejaVu Math TeX Gyre" w:hAnsi="DejaVu Math TeX Gyre" w:eastAsia="Cambria Math"/>
          <w:i/>
          <w:sz w:val="22"/>
        </w:rPr>
        <w:t>cⱼ=zⱼ(Pz)ⱼ</w:t>
      </w:r>
      <w:r>
        <w:rPr>
          <w:rFonts w:ascii="Liberation Serif" w:hAnsi="Liberation Serif" w:eastAsia="Times New Roman"/>
          <w:sz w:val="22"/>
        </w:rPr>
        <w:t xml:space="preserve"> sums to </w:t>
      </w:r>
      <w:r>
        <w:rPr>
          <w:rFonts w:ascii="DejaVu Math TeX Gyre" w:hAnsi="DejaVu Math TeX Gyre" w:eastAsia="Cambria Math"/>
          <w:i/>
          <w:sz w:val="22"/>
        </w:rPr>
        <w:t>zᵀ Pz</w:t>
      </w:r>
      <w:r>
        <w:rPr>
          <w:rFonts w:ascii="Liberation Serif" w:hAnsi="Liberation Serif" w:eastAsia="Times New Roman"/>
          <w:sz w:val="22"/>
        </w:rPr>
        <w:t xml:space="preserve"> and shares cross-terms symmetrically. Electrical fundamental frequency had pooled single-feature AUROC 0.5038 on common load support, yet accounted for 18.07% of absolute fault-score allocation and 38.54% of health allocation. Third-harmonic mean and maximum ratios each had direction-free AUROC above 0.925 but together less than 0.6% fault allocation (Fig. 6). The AUROCs pool subsystem-block means over four common loads; allocation shares average winning windows over system blocks and all eight fault loads. Direction is selected post-reveal as max(AUROC, 1-AUROC). These distinct summaries motivate a hypothesis of locked-reference misalignment; they are not a feature ablation or causal importance measure. Low allocation does not prove irrelevance to the decision.</w:t>
      </w:r>
    </w:p>
    <w:p>
      <w:r>
        <w:t>[Fig. 6 near here]</w:t>
      </w:r>
    </w:p>
    <w:p>
      <w:r>
        <w:rPr>
          <w:rFonts w:ascii="Liberation Serif" w:hAnsi="Liberation Serif" w:eastAsia="Times New Roman"/>
          <w:sz w:val="22"/>
        </w:rPr>
        <w:t>A separate post-reveal sampling-rate control antialias-filtered and resampled KAIST sources to 10 kHz while retaining other settings. External primary detection changed from 25.00% to 24.74%, AUROC from 0.6354 to 0.6331, and health alarms remained 1/32. It did not rescue transfer under this pipeline. These diagnostics characterize existing failure evidence; they do not redesign the primary detector.</w:t>
      </w:r>
    </w:p>
    <w:p>
      <w:r>
        <w:rPr>
          <w:rFonts w:ascii="Liberation Serif" w:hAnsi="Liberation Serif" w:eastAsia="Times New Roman"/>
          <w:sz w:val="22"/>
        </w:rPr>
        <w:t>A prospectively frozen secondary transient audit attempted 21 public records from 200 W and 20 kW motors [30]. The frozen parser accepted 0/21 because it required explicit time arrays whereas the MATLAB objects stored uniform time implicitly. No detector score was produced. This compatibility failure remains the primary outcome. An opt-in post-reveal repair made 12/12 200 W and 4/9 20 kW records compatible; the latter failed the preset 80% motor gate. A single-200-W-motor sensitivity then yielded 0/60 first-second fault-window alarms for every detector and 0/120 through 2 s. Primary health alarms were 8/176 and target-MinCovDet health alarms 9/176. This post-reveal, non-confirmatory result provides descriptive evidence only. Its predefined alpha-beta-derived representation and window-level calibration differ from the primary evaluation; it does not establish a general detector failure. Full details are in Supplementary Section S9.</w:t>
      </w:r>
    </w:p>
    <w:p>
      <w:pPr>
        <w:pStyle w:val="Heading1"/>
      </w:pPr>
      <w:r>
        <w:t>6. Discussion</w:t>
      </w:r>
    </w:p>
    <w:p>
      <w:r>
        <w:rPr>
          <w:rFonts w:ascii="Liberation Serif" w:hAnsi="Liberation Serif" w:eastAsia="Times New Roman"/>
          <w:sz w:val="22"/>
        </w:rPr>
        <w:t>The external experiment changes the engineering interpretation of the internal result. Healthy covariance transfer appeared effective among three related motors, yet its frozen alarm failed when winding topology, acquisition chain, load, and speed trajectory changed together. The observed target-only advantage shows why a source-assisted detector needs a non-transfer reference under the same target-health budget and threshold rule. High same-family detection is insufficient evidence for cross-motor deployment.</w:t>
      </w:r>
    </w:p>
    <w:p>
      <w:r>
        <w:rPr>
          <w:rFonts w:ascii="Liberation Serif" w:hAnsi="Liberation Serif" w:eastAsia="Times New Roman"/>
          <w:sz w:val="22"/>
        </w:rPr>
        <w:t>Reporting failure adds information beyond a lower average score. Ordered alarms show that record-any detection can be inflated by late trajectory alarms. Load stratification shows where coverage is weakest. The frozen-geometry allocation is consistent with operating-reference misalignment, although individual feature discrimination and absolute allocation use different units and supports. Matching nominal source sampling rate did not recover performance under this extractor; other acquisition-chain differences remain unresolved. These observations motivate diagnostic checks for future evaluations: inspect held-out health as well as faults, evaluate early operating segments, compare same-estimator target-only fitting, and report every unsupported condition.</w:t>
      </w:r>
    </w:p>
    <w:p>
      <w:r>
        <w:rPr>
          <w:rFonts w:ascii="Liberation Serif" w:hAnsi="Liberation Serif" w:eastAsia="Times New Roman"/>
          <w:sz w:val="22"/>
        </w:rPr>
        <w:t>These checks do not establish a remedy. Conditioning a healthy reference on speed and load is physically motivated, but any feature removal, revised covariance, threshold, or condition-aware model selected using the revealed faults would be exploratory here. Confirming a remedy requires a new untouched motor or laboratory test. Any subsequent adaptation is a separate exploratory development and cannot rewrite the frozen external result. Additional algorithms, repeated seed searches, and repeated analysis of the same machine cannot supply missing independent motor replication.</w:t>
      </w:r>
    </w:p>
    <w:p>
      <w:r>
        <w:rPr>
          <w:rFonts w:ascii="Liberation Serif" w:hAnsi="Liberation Serif" w:eastAsia="Times New Roman"/>
          <w:sz w:val="22"/>
        </w:rPr>
        <w:t>Calibration also has two distinct resource requirements. Twelve seconds of target health can fit a reference, whereas a resolvable nominal 5% rank alarm requires at least 19 calibration units. Twenty or twenty-four ordered blocks meet that arithmetic condition but do not establish statistical independence. Independent healthy sessions and operating-envelope coverage are needed before a motor- or session-level false-alarm claim can be assessed. Zero observed alarms, including the favorable MinCovDet seed, cannot be interpreted as zero deployment risk.</w:t>
      </w:r>
    </w:p>
    <w:p>
      <w:r>
        <w:rPr>
          <w:rFonts w:ascii="Liberation Serif" w:hAnsi="Liberation Serif" w:eastAsia="Times New Roman"/>
          <w:sz w:val="22"/>
        </w:rPr>
        <w:t>The main scientific limitations are the small number of physical motors and the compound external shift. KAIST has one unique healthy acquisition per motor and was reused during development. The external dataset has one motor, similar acceleration records, and no demonstrated independent sessions. Its turn count is confounded with phase, and its pooled AUROC has unequal health/fault load support. Time, speed, temperature, controller, topology, and sensor effects are not independently manipulated. Bootstrap and Wilson quantities therefore summarize recorded conditions rather than a PMSM population. The faults are laboratory emulations rather than natural field degradation. The secondary transient parser failed before scoring and the repaired sensitivity concerns only one motor.</w:t>
      </w:r>
    </w:p>
    <w:p>
      <w:r>
        <w:rPr>
          <w:rFonts w:ascii="Liberation Serif" w:hAnsi="Liberation Serif" w:eastAsia="Times New Roman"/>
          <w:sz w:val="22"/>
        </w:rPr>
        <w:t>All analyses were offline. Feature-extraction latency, memory use, and embedded numerical stability were not benchmarked. A 0.2 s window and a 3 s block specify analysis resolution, not demonstrated real-time feasibility. The available evidence also supports neither severity estimation, prognosis, nor a safety guarantee.</w:t>
      </w:r>
    </w:p>
    <w:p>
      <w:pPr>
        <w:pStyle w:val="Heading1"/>
      </w:pPr>
      <w:r>
        <w:t>7. Conclusion</w:t>
      </w:r>
    </w:p>
    <w:p>
      <w:r>
        <w:rPr>
          <w:rFonts w:ascii="Liberation Serif" w:hAnsi="Liberation Serif" w:eastAsia="Times New Roman"/>
          <w:sz w:val="22"/>
        </w:rPr>
        <w:t>A frozen healthy-only PMSM detector declined from 95.71% exploratory same-family detection to 25.00% on an external motor and failed its preset health-evidence gate. A preimplemented target-only MinCovDet comparator reached 70.05%, while its five-seed gate instability limits the favorable operating point. Trajectory-associated alarm drift and estimator-family source controls expose a protocol-specific failure boundary; the MinCovDet pair also differs in fit-derived feature masks. The useful result is this reproducible ranking reversal on one external motor, with the original primary failure preserved. Broader reliability requires new independent motor and healthy-session evidence, not retuning on the revealed faults.</w:t>
      </w:r>
    </w:p>
    <w:p>
      <w:pPr>
        <w:pStyle w:val="Heading1"/>
      </w:pPr>
      <w:r>
        <w:t>Acknowledgments and funding</w:t>
      </w:r>
    </w:p>
    <w:p>
      <w:r>
        <w:rPr>
          <w:rFonts w:ascii="Liberation Serif" w:hAnsi="Liberation Serif" w:eastAsia="Times New Roman"/>
          <w:sz w:val="22"/>
        </w:rPr>
        <w:t>This research received no funding.</w:t>
      </w:r>
    </w:p>
    <w:p>
      <w:r>
        <w:rPr>
          <w:rFonts w:ascii="Liberation Serif" w:hAnsi="Liberation Serif" w:eastAsia="Times New Roman"/>
          <w:sz w:val="22"/>
        </w:rPr>
        <w:t>[AUTHOR INPUT REQUIRED: confirm acknowledgments, if any.]</w:t>
      </w:r>
    </w:p>
    <w:p>
      <w:pPr>
        <w:pStyle w:val="Heading1"/>
      </w:pPr>
      <w:r>
        <w:t>Statements and declarations</w:t>
      </w:r>
    </w:p>
    <w:p>
      <w:r>
        <w:rPr>
          <w:rFonts w:ascii="Liberation Serif" w:hAnsi="Liberation Serif" w:eastAsia="Times New Roman"/>
          <w:b/>
          <w:sz w:val="22"/>
        </w:rPr>
        <w:t>Competing interests:</w:t>
      </w:r>
      <w:r>
        <w:rPr>
          <w:rFonts w:ascii="Liberation Serif" w:hAnsi="Liberation Serif" w:eastAsia="Times New Roman"/>
          <w:sz w:val="22"/>
        </w:rPr>
        <w:t xml:space="preserve"> The author declares no competing interests.</w:t>
      </w:r>
    </w:p>
    <w:p>
      <w:r>
        <w:rPr>
          <w:rFonts w:ascii="Liberation Serif" w:hAnsi="Liberation Serif" w:eastAsia="Times New Roman"/>
          <w:b/>
          <w:sz w:val="22"/>
        </w:rPr>
        <w:t>Author contributions:</w:t>
      </w:r>
      <w:r>
        <w:rPr>
          <w:rFonts w:ascii="Liberation Serif" w:hAnsi="Liberation Serif" w:eastAsia="Times New Roman"/>
          <w:sz w:val="22"/>
        </w:rPr>
        <w:t xml:space="preserve"> LI KAICHEN performed all research and manuscript work. [AUTHOR INPUT REQUIRED: review any additional journal or institutional authorship requirements.]</w:t>
      </w:r>
    </w:p>
    <w:p>
      <w:r>
        <w:rPr>
          <w:rFonts w:ascii="Liberation Serif" w:hAnsi="Liberation Serif" w:eastAsia="Times New Roman"/>
          <w:b/>
          <w:sz w:val="22"/>
        </w:rPr>
        <w:t>Ethics:</w:t>
      </w:r>
      <w:r>
        <w:rPr>
          <w:rFonts w:ascii="Liberation Serif" w:hAnsi="Liberation Serif" w:eastAsia="Times New Roman"/>
          <w:sz w:val="22"/>
        </w:rPr>
        <w:t xml:space="preserve"> This analysis uses public experimental machine-current data and involves no human participants, animals, or personal data. [AUTHOR INPUT REQUIRED: verify any applicable institutional requirements before finalizing the ethics statement.]</w:t>
      </w:r>
    </w:p>
    <w:p>
      <w:r>
        <w:rPr>
          <w:rFonts w:ascii="Liberation Serif" w:hAnsi="Liberation Serif" w:eastAsia="Times New Roman"/>
          <w:b/>
          <w:sz w:val="22"/>
        </w:rPr>
        <w:t>Generative AI assistance:</w:t>
      </w:r>
      <w:r>
        <w:rPr>
          <w:rFonts w:ascii="Liberation Serif" w:hAnsi="Liberation Serif" w:eastAsia="Times New Roman"/>
          <w:sz w:val="22"/>
        </w:rPr>
        <w:t xml:space="preserve"> A language-model-based assistant was used under the author's direction for code maintenance, consistency checks, document preparation, and English drafting and editing. Numerical results were computed from the cited datasets and checked against saved outputs. [AUTHOR INPUT REQUIRED: review the scope of this disclosure, verify all text and references, and approve the final manuscript. Author approval has not been asserted in this preparation draft.]</w:t>
      </w:r>
    </w:p>
    <w:p>
      <w:pPr>
        <w:pStyle w:val="Heading1"/>
      </w:pPr>
      <w:r>
        <w:t>Data and code availability</w:t>
      </w:r>
    </w:p>
    <w:p>
      <w:r>
        <w:rPr>
          <w:rFonts w:ascii="Liberation Serif" w:hAnsi="Liberation Serif" w:eastAsia="Times New Roman"/>
          <w:sz w:val="22"/>
        </w:rPr>
        <w:t>The KAIST/Mendeley dataset, external dual-three-phase dataset, and secondary transient dataset are public under CC BY 4.0 [27, 28, 30]. The accompanying reproducibility package contains checksummed data-access instructions, feature extraction, detector evaluation, complete-record statistics, selected derived evidence, protocols, and automated checks. Raw archives are obtained from their original repositories and are not redistributed in the code package. Supplementary material preserves complete comparisons, failed hypotheses, post-reveal diagnostics, compatibility outcomes, and the hash registry. [AUTHOR INPUT REQUIRED: confirm the journal-approved route for hosting or uploading code and supplementary files; no public release is claimed.]</w:t>
      </w:r>
    </w:p>
    <w:p>
      <w:pPr>
        <w:pStyle w:val="Heading1"/>
      </w:pPr>
      <w:r>
        <w:t>References</w:t>
      </w:r>
    </w:p>
    <w:p>
      <w:pPr>
        <w:keepLines/>
        <w:ind w:left="360" w:hanging="360"/>
      </w:pPr>
      <w:r>
        <w:t>[1] M. Zafarani, E. Bostanci, Y. Qi, T. Goktas, B. Akin, Interturn Short-Circuit Faults in Permanent Magnet Synchronous Machines: An Extended Review and Comprehensive Analysis, IEEE J. Emerg. Sel. Topics Power Electron. 6, 2173-2191 (2018). doi:10.1109/JESTPE.2018.2811538</w:t>
      </w:r>
    </w:p>
    <w:p>
      <w:pPr>
        <w:keepLines/>
        <w:ind w:left="360" w:hanging="360"/>
      </w:pPr>
      <w:r>
        <w:t>[2] H. Jeong, S. Moon, S. W. Kim, An Early Stage Interturn Fault Diagnosis of PMSMs by Using Negative-Sequence Components, IEEE Trans. Ind. Electron. 64, 5701-5708 (2017). doi:10.1109/TIE.2017.2677355</w:t>
      </w:r>
    </w:p>
    <w:p>
      <w:pPr>
        <w:keepLines/>
        <w:ind w:left="360" w:hanging="360"/>
      </w:pPr>
      <w:r>
        <w:t>[3] D. Li, M. Zhu, Y. Zhao, S. Lin, Detection and Location of Inter-Turn Short-Circuit in a PMSM Based on Square of Negative Sequence Current Vector Modulus, IEICE Electron. Express 21, 20240550 (2024). doi:10.1587/elex.21.20240550</w:t>
      </w:r>
    </w:p>
    <w:p>
      <w:pPr>
        <w:keepLines/>
        <w:ind w:left="360" w:hanging="360"/>
      </w:pPr>
      <w:r>
        <w:t>[4] J. C. Urresty, J. R. Riba, L. Romeral, Diagnosis of Interturn Faults in PMSMs Operating Under Nonstationary Conditions by Applying Order Tracking Filtering, IEEE Trans. Power Electron. 28, 507-515 (2013). doi:10.1109/TPEL.2012.2198077</w:t>
      </w:r>
    </w:p>
    <w:p>
      <w:pPr>
        <w:keepLines/>
        <w:ind w:left="360" w:hanging="360"/>
      </w:pPr>
      <w:r>
        <w:t>[5] Z. Wang, Z. Dai, B. Póczos, J. Carbonell, Characterizing and Avoiding Negative Transfer, 2019 IEEE/CVF Conference on Computer Vision and Pattern Recognition (CVPR) (2019). doi:10.1109/CVPR.2019.01155</w:t>
      </w:r>
    </w:p>
    <w:p>
      <w:pPr>
        <w:keepLines/>
        <w:ind w:left="360" w:hanging="360"/>
      </w:pPr>
      <w:r>
        <w:t>[6] P. Kumar MP, Z. X. Tu, H. C. Chen, K. C. Chen, Mitigating Negative Transfer Learning in Source Free-Unsupervised Domain Adaptation for Rotating Machinery Fault Diagnosis, IEEE Trans. Instrum. Meas. 73, 1-16 (2024). doi:10.1109/TIM.2024.3476610</w:t>
      </w:r>
    </w:p>
    <w:p>
      <w:pPr>
        <w:keepLines/>
        <w:ind w:left="360" w:hanging="360"/>
      </w:pPr>
      <w:r>
        <w:t>[7] X. Li, W. Zhang, H. Ma, Z. Luo, X. Li, Domain Generalization in Rotating Machinery Fault Diagnostics Using Deep Neural Networks, Neurocomputing 403, 409-420 (2020). doi:10.1016/j.neucom.2020.05.014</w:t>
      </w:r>
    </w:p>
    <w:p>
      <w:pPr>
        <w:keepLines/>
        <w:ind w:left="360" w:hanging="360"/>
      </w:pPr>
      <w:r>
        <w:t>[8] J. Li, Y. Wang, Y. Zi, H. Zhang, C. Li, Causal Consistency Network: A Collaborative Multimachine Generalization Method for Bearing Fault Diagnosis, IEEE Trans. Ind. Inform. 19, 5915-5924 (2023). doi:10.1109/TII.2022.3174711</w:t>
      </w:r>
    </w:p>
    <w:p>
      <w:pPr>
        <w:keepLines/>
        <w:ind w:left="360" w:hanging="360"/>
      </w:pPr>
      <w:r>
        <w:t>[9] C. Zhao, E. Zio, W. Shen, Domain Generalization for Cross-Domain Fault Diagnosis: An Application-Oriented Perspective and a Benchmark Study, Reliab. Eng. Syst. Saf. 245, 109964 (2024). doi:10.1016/j.ress.2024.109964</w:t>
      </w:r>
    </w:p>
    <w:p>
      <w:pPr>
        <w:keepLines/>
        <w:ind w:left="360" w:hanging="360"/>
      </w:pPr>
      <w:r>
        <w:t>[10] L. Wheat, M. V. von Mohrenschildt, S. Habibi, D. Al-Ani, Impact of Data Leakage in Vibration Signals Used for Bearing Fault Diagnosis, IEEE Access 12, 169879-169895 (2024). doi:10.1109/ACCESS.2024.3497716</w:t>
      </w:r>
    </w:p>
    <w:p>
      <w:pPr>
        <w:keepLines/>
        <w:ind w:left="360" w:hanging="360"/>
      </w:pPr>
      <w:r>
        <w:t>[11] D. R. Roberts, V. Bahn, S. Ciuti, M. S. Boyce, J. Elith, G. Guillera-Arroita, S. Hauenstein, J. J. Lahoz-Monfort, B. Schröder, W. Thuiller, D. I. Warton, B. A. Wintle, F. Hartig, C. F. Dormann, Cross-Validation Strategies for Data with Temporal, Spatial, Hierarchical, or Phylogenetic Structure, Ecography 40, 913-929 (2017). doi:10.1111/ecog.02881</w:t>
      </w:r>
    </w:p>
    <w:p>
      <w:pPr>
        <w:keepLines/>
        <w:ind w:left="360" w:hanging="360"/>
      </w:pPr>
      <w:r>
        <w:t>[12] S. H. Hurlbert, Pseudoreplication and the Design of Ecological Field Experiments, Ecol. Monogr. 54, 187-211 (1984). doi:10.2307/1942661</w:t>
      </w:r>
    </w:p>
    <w:p>
      <w:pPr>
        <w:keepLines/>
        <w:ind w:left="360" w:hanging="360"/>
      </w:pPr>
      <w:r>
        <w:t>[13] M. Li, Y. Geng, W. Wang, M. Tu, X. Wu, Permanent Magnet Synchronous Motor Inter-Turn Short Circuit Diagnosis Based on Physical-Data Dual Model Under Oil-Drilling Environment, Eng. Appl. Artif. Intell. 132, 107938 (2024). doi:10.1016/j.engappai.2024.107938</w:t>
      </w:r>
    </w:p>
    <w:p>
      <w:pPr>
        <w:keepLines/>
        <w:ind w:left="360" w:hanging="360"/>
      </w:pPr>
      <w:r>
        <w:t>[14] J. Park, P. N. Harmony, J. Baek, Electromagnetic Signal Analysis for Electrical and Mechanical Fault Diagnosis in Synchronous Motor, J. Magn. 30, 596-605 (2025). doi:10.4283/JMAG.2025.30.4.596</w:t>
      </w:r>
    </w:p>
    <w:p>
      <w:pPr>
        <w:keepLines/>
        <w:ind w:left="360" w:hanging="360"/>
      </w:pPr>
      <w:r>
        <w:t>[15] X. Liu, F. Liu, X. Geng, L. Fan, M. Jiang, F. Zhang, Frequency Domain Guided Latent Diffusion Model for Domain Generalization in Cross-Machine Fault Diagnosis, Measurement 249, 116989 (2025). doi:10.1016/j.measurement.2025.116989</w:t>
      </w:r>
    </w:p>
    <w:p>
      <w:pPr>
        <w:keepLines/>
        <w:ind w:left="360" w:hanging="360"/>
      </w:pPr>
      <w:r>
        <w:t>[16] B. Schölkopf, J. C. Platt, J. Shawe-Taylor, A. J. Smola, R. C. Williamson, Estimating the Support of a High-Dimensional Distribution, Neural Comput. 13, 1443-1471 (2001). doi:10.1162/089976601750264965</w:t>
      </w:r>
    </w:p>
    <w:p>
      <w:pPr>
        <w:keepLines/>
        <w:ind w:left="360" w:hanging="360"/>
      </w:pPr>
      <w:r>
        <w:t>[17] F. T. Liu, K. M. Ting, Z. H. Zhou, Isolation Forest, 2008 Eighth IEEE International Conference on Data Mining, 413-422 (2008). doi:10.1109/ICDM.2008.17</w:t>
      </w:r>
    </w:p>
    <w:p>
      <w:pPr>
        <w:keepLines/>
        <w:ind w:left="360" w:hanging="360"/>
      </w:pPr>
      <w:r>
        <w:t>[18] P. J. Rousseeuw, K. Van Driessen, A Fast Algorithm for the Minimum Covariance Determinant Estimator, Technometrics 41, 212-223 (1999). doi:10.1080/00401706.1999.10485670</w:t>
      </w:r>
    </w:p>
    <w:p>
      <w:pPr>
        <w:keepLines/>
        <w:ind w:left="360" w:hanging="360"/>
      </w:pPr>
      <w:r>
        <w:t>[19] V. Arsigny, P. Fillard, X. Pennec, N. Ayache, Log-Euclidean Metrics for Fast and Simple Calculus on Diffusion Tensors, Magn. Reson. Med. 56, 411-421 (2006). doi:10.1002/mrm.20965</w:t>
      </w:r>
    </w:p>
    <w:p>
      <w:pPr>
        <w:keepLines/>
        <w:ind w:left="360" w:hanging="360"/>
      </w:pPr>
      <w:r>
        <w:t>[20] A. N. Angelopoulos, S. Bates, Conformal Prediction: A Gentle Introduction, Found. Trends Mach. Learn. 16, 494-591 (2023). doi:10.1561/2200000101</w:t>
      </w:r>
    </w:p>
    <w:p>
      <w:pPr>
        <w:keepLines/>
        <w:ind w:left="360" w:hanging="360"/>
      </w:pPr>
      <w:r>
        <w:t>[21] V. Chernozhukov, K. Wüthrich, Y. Zhu, Exact and Robust Conformal Inference Methods for Predictive Machine Learning with Dependent Data, Proceedings of the 31st Conference on Learning Theory 75, 732-749 (2018). https://proceedings.mlr.press/v75/chernozhukov18a.html</w:t>
      </w:r>
    </w:p>
    <w:p>
      <w:pPr>
        <w:keepLines/>
        <w:ind w:left="360" w:hanging="360"/>
      </w:pPr>
      <w:r>
        <w:t>[22] R. F. Barber, A. Pananjady, Predictive Inference for Time Series: Why Is Split Conformal Effective Despite Temporal Dependence?, Proceedings of the 37th International Conference on Algorithmic Learning Theory 313, 1-24 (2026). https://proceedings.mlr.press/v313/barber26a.html</w:t>
      </w:r>
    </w:p>
    <w:p>
      <w:pPr>
        <w:keepLines/>
        <w:ind w:left="360" w:hanging="360"/>
      </w:pPr>
      <w:r>
        <w:t>[23] S. Farouq, S. Byttner, M. R. Bouguelia, H. Gadd, Mondrian Conformal Anomaly Detection for Fault Sequence Identification in Heterogeneous Fleets, Neurocomputing 462, 591-606 (2021). doi:10.1016/j.neucom.2021.08.016</w:t>
      </w:r>
    </w:p>
    <w:p>
      <w:pPr>
        <w:keepLines/>
        <w:ind w:left="360" w:hanging="360"/>
      </w:pPr>
      <w:r>
        <w:t>[24] S. Farouq, S. Byttner, M. R. Bouguelia, H. Gadd, A Conformal Anomaly Detection Based Industrial Fleet Monitoring Framework: A Case Study in District Heating, Expert Syst. Appl. 201, 116864 (2022). doi:10.1016/j.eswa.2022.116864</w:t>
      </w:r>
    </w:p>
    <w:p>
      <w:pPr>
        <w:keepLines/>
        <w:ind w:left="360" w:hanging="360"/>
      </w:pPr>
      <w:r>
        <w:t>[25] A. R. Diallo, L. Homri, J. Y. Dantan, Reducing False Alarms in Fault Detection: A Comparative Analysis Between Conformal Prediction and Classical Methods Applied to PCA and Autoencoders, J. Process Control 152, 103495 (2025). doi:10.1016/j.jprocont.2025.103495</w:t>
      </w:r>
    </w:p>
    <w:p>
      <w:pPr>
        <w:keepLines/>
        <w:ind w:left="360" w:hanging="360"/>
      </w:pPr>
      <w:r>
        <w:t>[26] W. Jung, S. H. Yun, Y. S. Lim, S. Cheong, Y. H. Park, Vibration and Current Dataset of Three-Phase Permanent Magnet Synchronous Motors with Stator Faults, Data Brief 47, 108952 (2023). doi:10.1016/j.dib.2023.108952</w:t>
      </w:r>
    </w:p>
    <w:p>
      <w:pPr>
        <w:keepLines/>
        <w:ind w:left="360" w:hanging="360"/>
      </w:pPr>
      <w:r>
        <w:t>[27] W. Jung, S. Yun, Y. S. Lim, S. Cheong, Y. H. Park, Vibration and Current Dataset of Three-Phase Permanent Magnet Synchronous Motors with Stator Faults, Mendeley Data (2022). doi:10.17632/rgn5brrgrn.5</w:t>
      </w:r>
    </w:p>
    <w:p>
      <w:pPr>
        <w:keepLines/>
        <w:ind w:left="360" w:hanging="360"/>
      </w:pPr>
      <w:r>
        <w:t>[28] M. Kozovsky, Measurement of Interturn Short-Circuits Emulation on Dual Three-Phase PMS Motor, Zenodo (2024). doi:10.5281/zenodo.13889418</w:t>
      </w:r>
    </w:p>
    <w:p>
      <w:pPr>
        <w:keepLines/>
        <w:ind w:left="360" w:hanging="360"/>
      </w:pPr>
      <w:r>
        <w:t>[29] M. Kozovský, L. Buchta, P. Blaha, Interturn Short Circuit Modelling in Dual Three-Phase PMSM, IECON 2022 -- 48th Annual Conference of the IEEE Industrial Electronics Society, 1-6 (2022). doi:10.1109/IECON49645.2022.9968364</w:t>
      </w:r>
    </w:p>
    <w:p>
      <w:pPr>
        <w:keepLines/>
        <w:ind w:left="360" w:hanging="360"/>
      </w:pPr>
      <w:r>
        <w:t>[30] L. Zezula, M. Kozovsky, P. Blaha, Diagnostics of Interturn Short Circuits in PMSMs With Online Fault Indicators Estimation -- Dataset, Zenodo (2024). doi:10.5281/zenodo.15631383</w:t>
      </w:r>
    </w:p>
    <w:p>
      <w:pPr>
        <w:pStyle w:val="Heading1"/>
        <w:pageBreakBefore/>
      </w:pPr>
      <w:r>
        <w:t>Figure captions</w:t>
      </w:r>
    </w:p>
    <w:p>
      <w:r>
        <w:t>Fig. 1. Exploratory motor holdout, chronological target-health roles, and Log-Euclidean scoring flow. The same 0.2 s windows and 3 s block maximum are retained externally, where target-health roles instead use separate load records (Table I). Blocks and windows remain dependent within records.</w:t>
      </w:r>
    </w:p>
    <w:p>
      <w:r>
        <w:t>Fig. 2. Exploratory KAIST covariance comparison: per-motor fault detection and healthy false-alarm intervals. Three physical motors are held out in turn, with 14 later-time health blocks per motor. Wilson intervals are descriptive; the target faults were inspected during development.</w:t>
      </w:r>
    </w:p>
    <w:p>
      <w:r>
        <w:t>Fig. 3. Complete frozen external comparison on one dual-three-phase motor. Detection intervals resample 48 complete fault records within fixed turn--phase strata (384 ordered blocks). Health intervals summarize four held-out load records (32 blocks). H1 limits are 12% for the pooled Wilson upper bound and 15% for the maximum-load empirical false-alarm rate. The solid highlighted bar identifies the observed comparator leader; the hatched bar identifies the unchanged frozen primary. Neither interval represents independent motor replication.</w:t>
      </w:r>
    </w:p>
    <w:p>
      <w:r>
        <w:t>Fig. 4. Post-reveal primary-score and alarm trajectories over eight ordered 3 s external blocks, using unchanged scores and thresholds. Score medians and interquartile ranges summarize 48 fault and four held-out healthy records per position. Approximate healthy speed rises with position; both axes are associated operating descriptions rather than evidence of an isolated causal speed effect.</w:t>
      </w:r>
    </w:p>
    <w:p>
      <w:r>
        <w:t>Fig. 5. Frozen primary alarm fractions across six fixed turn--phase conditions and eight loads. Each cell describes one physical record containing eight ordered blocks; 12.5% means one alarmed block. Turns 1/3/5/6 use phase U and turns 2/4 phase V, preventing separate turn and phase inference. The grid belongs to one motor.</w:t>
      </w:r>
    </w:p>
    <w:p>
      <w:r>
        <w:t>Fig. 6. Post-reveal feature discrimination and score allocation. Direction-free AUROC, max(AUROC, 1−AUROC), pools 64 healthy and 384 fault subsystem-block means at four common loads. Matched dz separately pairs load, subsystem, and block, reusing health six times. Absolute allocations average winning-window fractions from 32 healthy and 384 fault system blocks, with all eight fault loads. Different units and supports preclude an ablation interpretation; no feature or threshold changed. Allocation is coordinate dependent and non-causal.</w:t>
      </w:r>
    </w:p>
    <w:p>
      <w:pPr>
        <w:pStyle w:val="Heading1"/>
        <w:pageBreakBefore/>
      </w:pPr>
      <w:r>
        <w:t>Table I</w:t>
      </w:r>
    </w:p>
    <w:p>
      <w:r>
        <w:t>Data and healthy roles in the primary two-dataset evaluation. Blocks and subsystems are derived observations, not independent physical motors.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707"/>
        <w:gridCol w:w="3334"/>
        <w:gridCol w:w="3419"/>
      </w:tblGrid>
      <w:tr>
        <w:trPr>
          <w:tblHeader w:val="true"/>
          <w:cantSplit/>
        </w:trPr>
        <w:tc>
          <w:tcPr>
            <w:tcW w:type="dxa" w:w="2707"/>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Item</w:t>
            </w:r>
          </w:p>
        </w:tc>
        <w:tc>
          <w:tcPr>
            <w:tcW w:type="dxa" w:w="333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Exploratory KAIST</w:t>
            </w:r>
          </w:p>
        </w:tc>
        <w:tc>
          <w:tcPr>
            <w:tcW w:type="dxa" w:w="341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Frozen external evaluation</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Physical motors</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Three: 1.0, 1.5, 3.0 kW</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One: 30.16 kW dual-three-phase</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Unique records</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 healthy; 42 fault</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 healthy; 48 fault</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Current sampling</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 kHz</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 kHz</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Analyzed interval</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First 120 s</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 36) s</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adaptation</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 blocks; 12 s per target</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N m; 4 blocks; 12 s</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Calibration</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 blocks per target</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10/20/30 N m; 24 system blocks</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Health test</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 blocks per target; 42 total</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5/15/25/35 N m; 32 system blocks</w:t>
            </w:r>
          </w:p>
        </w:tc>
      </w:tr>
      <w:tr>
        <w:trPr>
          <w:cantSplit/>
        </w:trPr>
        <w:tc>
          <w:tcPr>
            <w:tcW w:type="dxa" w:w="27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Fault endpoint</w:t>
            </w:r>
          </w:p>
        </w:tc>
        <w:tc>
          <w:tcPr>
            <w:tcW w:type="dxa" w:w="33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42 records; 1680 blocks</w:t>
            </w:r>
          </w:p>
        </w:tc>
        <w:tc>
          <w:tcPr>
            <w:tcW w:type="dxa" w:w="3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 records; 384 system blocks</w:t>
            </w:r>
          </w:p>
        </w:tc>
      </w:tr>
    </w:tbl>
    <w:p>
      <w:pPr>
        <w:spacing w:after="40"/>
      </w:pPr>
    </w:p>
    <w:p>
      <w:pPr>
        <w:pStyle w:val="Heading1"/>
        <w:pageBreakBefore/>
      </w:pPr>
      <w:r>
        <w:t>Table II</w:t>
      </w:r>
    </w:p>
    <w:p>
      <w:r>
        <w:t>Exploratory KAIST comparison at the common block alarm level. Mean detection weights the three target motors equally; health counts pool 14 blocks per motor. Paired comparisons and sensitivity details are in Supplementary Section S10.</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754"/>
        <w:gridCol w:w="2135"/>
        <w:gridCol w:w="2135"/>
        <w:gridCol w:w="2436"/>
      </w:tblGrid>
      <w:tr>
        <w:trPr>
          <w:tblHeader w:val="true"/>
          <w:cantSplit/>
        </w:trPr>
        <w:tc>
          <w:tcPr>
            <w:tcW w:type="dxa" w:w="2754"/>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213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Healthy alarms</w:t>
            </w:r>
          </w:p>
        </w:tc>
        <w:tc>
          <w:tcPr>
            <w:tcW w:type="dxa" w:w="213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detection</w:t>
            </w:r>
          </w:p>
        </w:tc>
        <w:tc>
          <w:tcPr>
            <w:tcW w:type="dxa" w:w="243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Worst-motor detection</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90.30%</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82.14%</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93.87%</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86.79%</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Source-only covariance</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89.11%</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70.18%</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Arithmetic entity covariance</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95.48%</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87.86%</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sz w:val="18"/>
              </w:rPr>
              <w:t>Primary Log-Euclidean</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95.71%</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90.00%</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89.70%</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82.68%</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91.25%</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82.86%</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97.56%</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95.36%</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96.07%</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90.71%</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89.82%</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84.11%</w:t>
            </w:r>
          </w:p>
        </w:tc>
      </w:tr>
      <w:tr>
        <w:trPr>
          <w:cantSplit/>
        </w:trPr>
        <w:tc>
          <w:tcPr>
            <w:tcW w:type="dxa" w:w="275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13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92.32%</w:t>
            </w:r>
          </w:p>
        </w:tc>
        <w:tc>
          <w:tcPr>
            <w:tcW w:type="dxa" w:w="24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87.32%</w:t>
            </w:r>
          </w:p>
        </w:tc>
      </w:tr>
    </w:tbl>
    <w:p>
      <w:pPr>
        <w:spacing w:after="40"/>
      </w:pPr>
    </w:p>
    <w:p>
      <w:pPr>
        <w:pStyle w:val="Heading1"/>
        <w:pageBreakBefore/>
      </w:pPr>
      <w:r>
        <w:t>Table III</w:t>
      </w:r>
    </w:p>
    <w:p>
      <w:r>
        <w:t>Frozen external comparison on one physical motor. Fault detection is the equal-record mean across 48 records; AUROC is pooled under unequal load support. H1 uses descriptive health bounds and load-specific rates, not independent motor replication. Interval and threshold details are in Supplementary Section S2.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496"/>
        <w:gridCol w:w="1959"/>
        <w:gridCol w:w="1999"/>
        <w:gridCol w:w="1558"/>
        <w:gridCol w:w="1448"/>
      </w:tblGrid>
      <w:tr>
        <w:trPr>
          <w:tblHeader w:val="true"/>
          <w:cantSplit/>
        </w:trPr>
        <w:tc>
          <w:tcPr>
            <w:tcW w:type="dxa" w:w="2496"/>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95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Healthy alarms</w:t>
            </w:r>
          </w:p>
        </w:tc>
        <w:tc>
          <w:tcPr>
            <w:tcW w:type="dxa" w:w="199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Fault detection</w:t>
            </w:r>
          </w:p>
        </w:tc>
        <w:tc>
          <w:tcPr>
            <w:tcW w:type="dxa" w:w="155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AUROC</w:t>
            </w:r>
          </w:p>
        </w:tc>
        <w:tc>
          <w:tcPr>
            <w:tcW w:type="dxa" w:w="144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H1</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0.7675</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0.8757</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Source-only covariance</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0.5747</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Arithmetic entity covariance</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0.6972</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sz w:val="18"/>
              </w:rPr>
              <w:t>Primary Log-Euclidean</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25.00%</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0.6354</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0.7209</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0.6876</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0.8670</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0.8245</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0.9268</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Pass</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9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w:t>
            </w:r>
          </w:p>
        </w:tc>
        <w:tc>
          <w:tcPr>
            <w:tcW w:type="dxa" w:w="199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0.7013</w:t>
            </w:r>
          </w:p>
        </w:tc>
        <w:tc>
          <w:tcPr>
            <w:tcW w:type="dxa" w:w="144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r>
    </w:tbl>
    <w:p>
      <w:pPr>
        <w:spacing w:after="40"/>
      </w:pPr>
    </w:p>
    <w:p>
      <w:pPr>
        <w:pStyle w:val="Heading1"/>
        <w:pageBreakBefore/>
      </w:pPr>
      <w:r>
        <w:t>Fig. 1</w:t>
      </w:r>
    </w:p>
    <w:p>
      <w:pPr>
        <w:keepNext/>
        <w:spacing w:before="80" w:after="0"/>
        <w:jc w:val="center"/>
      </w:pPr>
      <w:r>
        <w:drawing>
          <wp:inline xmlns:a="http://schemas.openxmlformats.org/drawingml/2006/main" xmlns:pic="http://schemas.openxmlformats.org/drawingml/2006/picture">
            <wp:extent cx="5669280" cy="2906517"/>
            <wp:docPr id="1" name="Picture 1" descr="Exploratory motor holdout, chronological target-health roles, and Log-Euclidean scoring flow. The same 0.2 s windows and 3 s block maximum are retained externally, where target-health roles instead use separate load records (Table I). Blocks and windows remain dependent within records."/>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669280" cy="2906517"/>
                    </a:xfrm>
                    <a:prstGeom prst="rect"/>
                  </pic:spPr>
                </pic:pic>
              </a:graphicData>
            </a:graphic>
          </wp:inline>
        </w:drawing>
      </w:r>
    </w:p>
    <w:p>
      <w:pPr>
        <w:pStyle w:val="Heading1"/>
        <w:pageBreakBefore/>
      </w:pPr>
      <w:r>
        <w:t>Fig. 2</w:t>
      </w:r>
    </w:p>
    <w:p>
      <w:pPr>
        <w:keepNext/>
        <w:spacing w:before="80" w:after="0"/>
        <w:jc w:val="center"/>
      </w:pPr>
      <w:r>
        <w:drawing>
          <wp:inline xmlns:a="http://schemas.openxmlformats.org/drawingml/2006/main" xmlns:pic="http://schemas.openxmlformats.org/drawingml/2006/picture">
            <wp:extent cx="5669280" cy="2236035"/>
            <wp:docPr id="2" name="Picture 2" descr="Exploratory KAIST covariance comparison: per-motor fault detection and healthy false-alarm intervals. Three physical motors are held out in turn, with 14 later-time health blocks per motor. Wilson intervals are descriptive; the target faults were inspected during development."/>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669280" cy="2236035"/>
                    </a:xfrm>
                    <a:prstGeom prst="rect"/>
                  </pic:spPr>
                </pic:pic>
              </a:graphicData>
            </a:graphic>
          </wp:inline>
        </w:drawing>
      </w:r>
    </w:p>
    <w:p>
      <w:pPr>
        <w:pStyle w:val="Heading1"/>
        <w:pageBreakBefore/>
      </w:pPr>
      <w:r>
        <w:t>Fig. 3</w:t>
      </w:r>
    </w:p>
    <w:p>
      <w:pPr>
        <w:keepNext/>
        <w:spacing w:before="80" w:after="0"/>
        <w:jc w:val="center"/>
      </w:pPr>
      <w:r>
        <w:drawing>
          <wp:inline xmlns:a="http://schemas.openxmlformats.org/drawingml/2006/main" xmlns:pic="http://schemas.openxmlformats.org/drawingml/2006/picture">
            <wp:extent cx="5669280" cy="2841248"/>
            <wp:docPr id="3" name="Picture 3" descr="Complete frozen external comparison on one dual-three-phase motor. Detection intervals resample 48 complete fault records within fixed turn--phase strata (384 ordered blocks). Health intervals summarize four held-out load records (32 blocks). H1 limits are 12% for the pooled Wilson upper bound and 15% for the maximum-load empirical false-alarm rate. The solid highlighted bar identifies the observed comparator leader; the hatched bar identifies the unchanged frozen primary. Neither interval represents independent motor replication."/>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669280" cy="2841248"/>
                    </a:xfrm>
                    <a:prstGeom prst="rect"/>
                  </pic:spPr>
                </pic:pic>
              </a:graphicData>
            </a:graphic>
          </wp:inline>
        </w:drawing>
      </w:r>
    </w:p>
    <w:p>
      <w:pPr>
        <w:pStyle w:val="Heading1"/>
        <w:pageBreakBefore/>
      </w:pPr>
      <w:r>
        <w:t>Fig. 4</w:t>
      </w:r>
    </w:p>
    <w:p>
      <w:pPr>
        <w:keepNext/>
        <w:spacing w:before="80" w:after="0"/>
        <w:jc w:val="center"/>
      </w:pPr>
      <w:r>
        <w:drawing>
          <wp:inline xmlns:a="http://schemas.openxmlformats.org/drawingml/2006/main" xmlns:pic="http://schemas.openxmlformats.org/drawingml/2006/picture">
            <wp:extent cx="5669280" cy="3770841"/>
            <wp:docPr id="4" name="Picture 4" descr="Post-reveal primary-score and alarm trajectories over eight ordered 3 s external blocks, using unchanged scores and thresholds. Score medians and interquartile ranges summarize 48 fault and four held-out healthy records per position. Approximate healthy speed rises with position; both axes are associated operating descriptions rather than evidence of an isolated causal speed effect."/>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669280" cy="3770841"/>
                    </a:xfrm>
                    <a:prstGeom prst="rect"/>
                  </pic:spPr>
                </pic:pic>
              </a:graphicData>
            </a:graphic>
          </wp:inline>
        </w:drawing>
      </w:r>
    </w:p>
    <w:p>
      <w:pPr>
        <w:pStyle w:val="Heading1"/>
        <w:pageBreakBefore/>
      </w:pPr>
      <w:r>
        <w:t>Fig. 5</w:t>
      </w:r>
    </w:p>
    <w:p>
      <w:pPr>
        <w:keepNext/>
        <w:spacing w:before="80" w:after="0"/>
        <w:jc w:val="center"/>
      </w:pPr>
      <w:r>
        <w:drawing>
          <wp:inline xmlns:a="http://schemas.openxmlformats.org/drawingml/2006/main" xmlns:pic="http://schemas.openxmlformats.org/drawingml/2006/picture">
            <wp:extent cx="5669280" cy="2692361"/>
            <wp:docPr id="5" name="Picture 5" descr="Frozen primary alarm fractions across six fixed turn--phase conditions and eight loads. Each cell describes one physical record containing eight ordered blocks; 12.5% means one alarmed block. Turns 1/3/5/6 use phase U and turns 2/4 phase V, preventing separate turn and phase inference. The grid belongs to one motor."/>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669280" cy="2692361"/>
                    </a:xfrm>
                    <a:prstGeom prst="rect"/>
                  </pic:spPr>
                </pic:pic>
              </a:graphicData>
            </a:graphic>
          </wp:inline>
        </w:drawing>
      </w:r>
    </w:p>
    <w:p>
      <w:pPr>
        <w:pStyle w:val="Heading1"/>
        <w:pageBreakBefore/>
      </w:pPr>
      <w:r>
        <w:t>Fig. 6</w:t>
      </w:r>
    </w:p>
    <w:p>
      <w:pPr>
        <w:keepNext/>
        <w:spacing w:before="80" w:after="0"/>
        <w:jc w:val="center"/>
      </w:pPr>
      <w:r>
        <w:drawing>
          <wp:inline xmlns:a="http://schemas.openxmlformats.org/drawingml/2006/main" xmlns:pic="http://schemas.openxmlformats.org/drawingml/2006/picture">
            <wp:extent cx="5669280" cy="2701235"/>
            <wp:docPr id="6" name="Picture 6" descr="Post-reveal feature discrimination and score allocation. Direction-free AUROC, max(AUROC, 1−AUROC), pools 64 healthy and 384 fault subsystem-block means at four common loads. Matched dz separately pairs load, subsystem, and block, reusing health six times. Absolute allocations average winning-window fractions from 32 healthy and 384 fault system blocks, with all eight fault loads. Different units and supports preclude an ablation interpretation; no feature or threshold changed. Allocation is coordinate dependent and non-causal."/>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669280" cy="2701235"/>
                    </a:xfrm>
                    <a:prstGeom prst="rect"/>
                  </pic:spPr>
                </pic:pic>
              </a:graphicData>
            </a:graphic>
          </wp:inline>
        </w:drawing>
      </w:r>
    </w:p>
    <w:sectPr w:rsidR="00FC693F" w:rsidRPr="0006063C" w:rsidSect="00034616">
      <w:footerReference w:type="default" r:id="rId9"/>
      <w:pgSz w:w="11909" w:h="16834"/>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80" w:lineRule="auto"/>
      <w:jc w:val="left"/>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Liberation Serif" w:hAnsi="Liberation Serif"/>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ascii="Liberation Serif" w:hAnsi="Liberation Serif"/>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480" w:lineRule="auto"/>
      <w:outlineLvl w:val="2"/>
    </w:pPr>
    <w:rPr>
      <w:rFonts w:asciiTheme="majorHAnsi" w:eastAsiaTheme="majorEastAsia" w:hAnsiTheme="majorHAnsi" w:cstheme="majorBidi" w:ascii="Liberation Serif" w:hAnsi="Liberation Serif"/>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480" w:lineRule="auto" w:before="0"/>
      <w:contextualSpacing/>
      <w:jc w:val="center"/>
    </w:pPr>
    <w:rPr>
      <w:rFonts w:asciiTheme="majorHAnsi" w:eastAsiaTheme="majorEastAsia" w:hAnsiTheme="majorHAnsi" w:cstheme="majorBidi" w:ascii="Liberation Serif" w:hAnsi="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120"/>
      <w:contextualSpacing/>
    </w:pPr>
    <w:rPr>
      <w:rFonts w:ascii="Liberation Serif" w:hAnsi="Liberation Serif"/>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20" w:line="480" w:lineRule="auto"/>
      <w:jc w:val="left"/>
    </w:pPr>
    <w:rPr>
      <w:rFonts w:ascii="Liberation Serif" w:hAnsi="Liberation Serif"/>
      <w:color w:val="000000"/>
      <w:sz w:val="24"/>
    </w:rPr>
  </w:style>
  <w:style w:type="paragraph" w:customStyle="1" w:styleId="TableCaption">
    <w:name w:val="Table Caption"/>
    <w:pPr>
      <w:keepNext/>
      <w:spacing w:before="120" w:after="120" w:line="480" w:lineRule="auto"/>
    </w:pPr>
    <w:rPr>
      <w:rFonts w:ascii="Liberation Serif" w:hAnsi="Liberation Serif"/>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Cross-Dataset Reliability of Healthy-Only PMSM Stator-Fault Detection</dc:title>
  <dc:subject>Journal of Magnetics author review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