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Supplementary Material for Frozen Cross-Dataset Reliability of Healthy-Only PMSM Stator-Fault Detection</w:t>
      </w:r>
    </w:p>
    <w:p>
      <w:r>
        <w:rPr>
          <w:rFonts w:ascii="Liberation Serif" w:hAnsi="Liberation Serif" w:eastAsia="Times New Roman"/>
          <w:b/>
          <w:sz w:val="22"/>
        </w:rPr>
        <w:t>Author:</w:t>
      </w:r>
      <w:r>
        <w:rPr>
          <w:rFonts w:ascii="Liberation Serif" w:hAnsi="Liberation Serif" w:eastAsia="Times New Roman"/>
          <w:sz w:val="22"/>
        </w:rPr>
        <w:t xml:space="preserve"> LI KAICHEN, Department of Artificial Intelligence Convergence Engineering, Changwon National University</w:t>
      </w:r>
    </w:p>
    <w:p>
      <w:pPr>
        <w:pStyle w:val="Heading1"/>
      </w:pPr>
      <w:r>
        <w:t>S0. Status, analysis purposes, and provenance</w:t>
      </w:r>
    </w:p>
    <w:p>
      <w:r>
        <w:rPr>
          <w:rFonts w:ascii="Liberation Serif" w:hAnsi="Liberation Serif" w:eastAsia="Times New Roman"/>
          <w:sz w:val="22"/>
        </w:rPr>
        <w:t>This supplement separates the original pre-reveal decisions from later diagnostics. The historical Chinese protocols retain their original titles and hypotheses; the English reporting does not reinterpret their internal Git freeze as an external preregistration. The frozen primary Log-Euclidean score, external interval, health roles, thresholds, record inclusion, and primary seed are unchanged.</w:t>
      </w:r>
    </w:p>
    <w:tbl>
      <w:tblPr>
        <w:tblStyle w:val="TableGrid"/>
        <w:tblW w:type="dxa" w:w="9460"/>
        <w:jc w:val="left"/>
        <w:tblLook w:firstColumn="1" w:firstRow="1" w:lastColumn="0" w:lastRow="0" w:noHBand="0" w:noVBand="1" w:val="04A0"/>
        <w:tblLayout w:type="fixed"/>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3272"/>
        <w:gridCol w:w="3093"/>
        <w:gridCol w:w="3095"/>
      </w:tblGrid>
      <w:tr>
        <w:trPr>
          <w:tblHeader w:val="true"/>
          <w:cantSplit/>
        </w:trPr>
        <w:tc>
          <w:tcPr>
            <w:tcW w:type="dxa" w:w="3272"/>
            <w:tcMar>
              <w:top w:w="80" w:type="dxa"/>
              <w:start w:w="120" w:type="dxa"/>
              <w:bottom w:w="80" w:type="dxa"/>
              <w:end w:w="120" w:type="dxa"/>
            </w:tcMar>
            <w:vAlign w:val="center"/>
            <w:shd w:fill="E7E6E6"/>
          </w:tcPr>
          <w:p>
            <w:pPr>
              <w:spacing w:before="0" w:after="0" w:line="276" w:lineRule="auto"/>
              <w:jc w:val="left"/>
            </w:pPr>
            <w:r>
              <w:rPr>
                <w:rFonts w:ascii="Liberation Serif" w:hAnsi="Liberation Serif" w:eastAsia="Times New Roman"/>
                <w:b/>
                <w:sz w:val="18"/>
              </w:rPr>
              <w:t>Evidence component</w:t>
            </w:r>
          </w:p>
        </w:tc>
        <w:tc>
          <w:tcPr>
            <w:tcW w:type="dxa" w:w="3093"/>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Status</w:t>
            </w:r>
          </w:p>
        </w:tc>
        <w:tc>
          <w:tcPr>
            <w:tcW w:type="dxa" w:w="3095"/>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Permitted inference</w:t>
            </w:r>
          </w:p>
        </w:tc>
      </w:tr>
      <w:tr>
        <w:trPr>
          <w:cantSplit/>
        </w:trPr>
        <w:tc>
          <w:tcPr>
            <w:tcW w:type="dxa" w:w="3272"/>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KAIST three-motor comparison and sensitivities</w:t>
            </w:r>
          </w:p>
        </w:tc>
        <w:tc>
          <w:tcPr>
            <w:tcW w:type="dxa" w:w="3093"/>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Exploratory; target faults inspected during development</w:t>
            </w:r>
          </w:p>
        </w:tc>
        <w:tc>
          <w:tcPr>
            <w:tcW w:type="dxa" w:w="3095"/>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Conditional same-family comparison; no untouched confirmation</w:t>
            </w:r>
          </w:p>
        </w:tc>
      </w:tr>
      <w:tr>
        <w:trPr>
          <w:cantSplit/>
        </w:trPr>
        <w:tc>
          <w:tcPr>
            <w:tcW w:type="dxa" w:w="3272"/>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External primary scoring and ten preimplemented comparators</w:t>
            </w:r>
          </w:p>
        </w:tc>
        <w:tc>
          <w:tcPr>
            <w:tcW w:type="dxa" w:w="3093"/>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Frozen before external fault-value access</w:t>
            </w:r>
          </w:p>
        </w:tc>
        <w:tc>
          <w:tcPr>
            <w:tcW w:type="dxa" w:w="3095"/>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Complete pre-reveal comparison on one external motor</w:t>
            </w:r>
          </w:p>
        </w:tc>
      </w:tr>
      <w:tr>
        <w:trPr>
          <w:cantSplit/>
        </w:trPr>
        <w:tc>
          <w:tcPr>
            <w:tcW w:type="dxa" w:w="3272"/>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External paired contrasts, horizon cuts, block-position AUROC, and first alarms</w:t>
            </w:r>
          </w:p>
        </w:tc>
        <w:tc>
          <w:tcPr>
            <w:tcW w:type="dxa" w:w="3093"/>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Post-reveal diagnostics of saved scores</w:t>
            </w:r>
          </w:p>
        </w:tc>
        <w:tc>
          <w:tcPr>
            <w:tcW w:type="dxa" w:w="3095"/>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Conditional explanation of ranking and trajectory coverage</w:t>
            </w:r>
          </w:p>
        </w:tc>
      </w:tr>
      <w:tr>
        <w:trPr>
          <w:cantSplit/>
        </w:trPr>
        <w:tc>
          <w:tcPr>
            <w:tcW w:type="dxa" w:w="3272"/>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Five-seed stochastic refits</w:t>
            </w:r>
          </w:p>
        </w:tc>
        <w:tc>
          <w:tcPr>
            <w:tcW w:type="dxa" w:w="3093"/>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Post-reveal audit using previously fixed seeds and healthy-only fits</w:t>
            </w:r>
          </w:p>
        </w:tc>
        <w:tc>
          <w:tcPr>
            <w:tcW w:type="dxa" w:w="3095"/>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Stability range; no best-seed selection or revised primary</w:t>
            </w:r>
          </w:p>
        </w:tc>
      </w:tr>
      <w:tr>
        <w:trPr>
          <w:cantSplit/>
        </w:trPr>
        <w:tc>
          <w:tcPr>
            <w:tcW w:type="dxa" w:w="3272"/>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Feature geometry reconstruction</w:t>
            </w:r>
          </w:p>
        </w:tc>
        <w:tc>
          <w:tcPr>
            <w:tcW w:type="dxa" w:w="3093"/>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Post-reveal, analysis-only</w:t>
            </w:r>
          </w:p>
        </w:tc>
        <w:tc>
          <w:tcPr>
            <w:tcW w:type="dxa" w:w="3095"/>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Exact reconstruction and descriptive contribution allocation</w:t>
            </w:r>
          </w:p>
        </w:tc>
      </w:tr>
      <w:tr>
        <w:trPr>
          <w:cantSplit/>
        </w:trPr>
        <w:tc>
          <w:tcPr>
            <w:tcW w:type="dxa" w:w="3272"/>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KAIST 100-to-10 kHz sampling control</w:t>
            </w:r>
          </w:p>
        </w:tc>
        <w:tc>
          <w:tcPr>
            <w:tcW w:type="dxa" w:w="3093"/>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Post-reveal sensitivity</w:t>
            </w:r>
          </w:p>
        </w:tc>
        <w:tc>
          <w:tcPr>
            <w:tcW w:type="dxa" w:w="3095"/>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Result under one changed source sampling arm; no primary replacement</w:t>
            </w:r>
          </w:p>
        </w:tc>
      </w:tr>
      <w:tr>
        <w:trPr>
          <w:cantSplit/>
        </w:trPr>
        <w:tc>
          <w:tcPr>
            <w:tcW w:type="dxa" w:w="3272"/>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Secondary transient parser</w:t>
            </w:r>
          </w:p>
        </w:tc>
        <w:tc>
          <w:tcPr>
            <w:tcW w:type="dxa" w:w="3093"/>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Prospectively frozen compatibility audit; accepted 0/21</w:t>
            </w:r>
          </w:p>
        </w:tc>
        <w:tc>
          <w:tcPr>
            <w:tcW w:type="dxa" w:w="3095"/>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Parser failure; no detector comparison at primary reveal</w:t>
            </w:r>
          </w:p>
        </w:tc>
      </w:tr>
      <w:tr>
        <w:trPr>
          <w:cantSplit/>
        </w:trPr>
        <w:tc>
          <w:tcPr>
            <w:tcW w:type="dxa" w:w="3272"/>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Repaired 200 W transient analysis</w:t>
            </w:r>
          </w:p>
        </w:tc>
        <w:tc>
          <w:tcPr>
            <w:tcW w:type="dxa" w:w="3093"/>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Post-reveal, one physical motor, non-confirmatory</w:t>
            </w:r>
          </w:p>
        </w:tc>
        <w:tc>
          <w:tcPr>
            <w:tcW w:type="dxa" w:w="3095"/>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Descriptive cross-record sensitivity only</w:t>
            </w:r>
          </w:p>
        </w:tc>
      </w:tr>
    </w:tbl>
    <w:p>
      <w:pPr>
        <w:spacing w:after="40"/>
      </w:pPr>
    </w:p>
    <w:p>
      <w:r>
        <w:rPr>
          <w:rFonts w:ascii="Liberation Serif" w:hAnsi="Liberation Serif" w:eastAsia="Times New Roman"/>
          <w:sz w:val="22"/>
        </w:rPr>
        <w:t>The secondary transient dataset has no independent healthy-only records. Its frozen parser failure and repaired single-motor analysis supply no usable confirmatory cross-motor replication. The two subsystems of the primary external motor are also not independent motors. All results are offline; latency, memory, and embedded stability were not measured. No analysis here establishes a safety guarantee.</w:t>
      </w:r>
    </w:p>
    <w:p>
      <w:r>
        <w:rPr>
          <w:rFonts w:ascii="Liberation Serif" w:hAnsi="Liberation Serif" w:eastAsia="Times New Roman"/>
          <w:sz w:val="22"/>
        </w:rPr>
        <w:t>The current submission-package audit verifies saved numerical outputs in the specified Conda environment, which contains scikit-learn 1.9.1. The original external output metadata records scikit-learn 1.9.0; a complete historical environment lock was not located. Dependency specifications and recorded tool versions support provenance, but do not establish a byte-identical historical runtime. Saved-result evidence verification is therefore distinguished from any current-environment stochastic refit. The original scores and primary seed remain unchanged; the reproducibility guide records this version boundary.</w:t>
      </w:r>
    </w:p>
    <w:p>
      <w:r>
        <w:rPr>
          <w:rFonts w:ascii="Liberation Serif" w:hAnsi="Liberation Serif" w:eastAsia="Times New Roman"/>
          <w:sz w:val="22"/>
        </w:rPr>
        <w:t>The following purposes explain why the already completed post-reveal diagnostics are retained. They are reporting rationales, not newly claimed pre-reveal hypotheses. No additional diagnostic in this reporting revision uses external labels to alter fitting, features, inclusion, time support, seed choice, or alarm thresholds.</w:t>
      </w:r>
    </w:p>
    <w:tbl>
      <w:tblPr>
        <w:tblStyle w:val="TableGrid"/>
        <w:tblW w:type="dxa" w:w="9460"/>
        <w:jc w:val="left"/>
        <w:tblLook w:firstColumn="1" w:firstRow="1" w:lastColumn="0" w:lastRow="0" w:noHBand="0" w:noVBand="1" w:val="04A0"/>
        <w:tblLayout w:type="fixed"/>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2692"/>
        <w:gridCol w:w="3336"/>
        <w:gridCol w:w="3432"/>
      </w:tblGrid>
      <w:tr>
        <w:trPr>
          <w:tblHeader w:val="true"/>
          <w:cantSplit/>
        </w:trPr>
        <w:tc>
          <w:tcPr>
            <w:tcW w:type="dxa" w:w="2692"/>
            <w:tcMar>
              <w:top w:w="80" w:type="dxa"/>
              <w:start w:w="120" w:type="dxa"/>
              <w:bottom w:w="80" w:type="dxa"/>
              <w:end w:w="120" w:type="dxa"/>
            </w:tcMar>
            <w:vAlign w:val="center"/>
            <w:shd w:fill="E7E6E6"/>
          </w:tcPr>
          <w:p>
            <w:pPr>
              <w:spacing w:before="0" w:after="0" w:line="276" w:lineRule="auto"/>
              <w:jc w:val="left"/>
            </w:pPr>
            <w:r>
              <w:rPr>
                <w:rFonts w:ascii="Liberation Serif" w:hAnsi="Liberation Serif" w:eastAsia="Times New Roman"/>
                <w:b/>
                <w:sz w:val="18"/>
              </w:rPr>
              <w:t>Diagnostic purpose</w:t>
            </w:r>
          </w:p>
        </w:tc>
        <w:tc>
          <w:tcPr>
            <w:tcW w:type="dxa" w:w="3336"/>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Diagnostic and data boundary</w:t>
            </w:r>
          </w:p>
        </w:tc>
        <w:tc>
          <w:tcPr>
            <w:tcW w:type="dxa" w:w="3432"/>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Interpretation rule</w:t>
            </w:r>
          </w:p>
        </w:tc>
      </w:tr>
      <w:tr>
        <w:trPr>
          <w:cantSplit/>
        </w:trPr>
        <w:tc>
          <w:tcPr>
            <w:tcW w:type="dxa" w:w="2692"/>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Does 100% record-any detection hide late alarms?</w:t>
            </w:r>
          </w:p>
        </w:tc>
        <w:tc>
          <w:tcPr>
            <w:tcW w:type="dxa" w:w="333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Fixed-prefix counts and first alarms from saved external prediction rows</w:t>
            </w:r>
          </w:p>
        </w:tc>
        <w:tc>
          <w:tcPr>
            <w:tcW w:type="dxa" w:w="343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Report all prefix denominators and preserve full-interval primary; early trajectory is not fault-onset latency</w:t>
            </w:r>
          </w:p>
        </w:tc>
      </w:tr>
      <w:tr>
        <w:trPr>
          <w:cantSplit/>
        </w:trPr>
        <w:tc>
          <w:tcPr>
            <w:tcW w:type="dxa" w:w="2692"/>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Does source health help relative to target health?</w:t>
            </w:r>
          </w:p>
        </w:tc>
        <w:tc>
          <w:tcPr>
            <w:tcW w:type="dxa" w:w="333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Estimator-family paired record differences using saved outputs; fit-derived masks disclosed</w:t>
            </w:r>
          </w:p>
        </w:tc>
        <w:tc>
          <w:tcPr>
            <w:tcW w:type="dxa" w:w="343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Attribute the observed contrast to this source-augmentation protocol; covariance-estimator contrasts are qualified</w:t>
            </w:r>
          </w:p>
        </w:tc>
      </w:tr>
      <w:tr>
        <w:trPr>
          <w:cantSplit/>
        </w:trPr>
        <w:tc>
          <w:tcPr>
            <w:tcW w:type="dxa" w:w="2692"/>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Is the best comparator's seed stable?</w:t>
            </w:r>
          </w:p>
        </w:tc>
        <w:tc>
          <w:tcPr>
            <w:tcW w:type="dxa" w:w="333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Five fixed healthy-only stochastic fits, same calibration rule, all seed results</w:t>
            </w:r>
          </w:p>
        </w:tc>
        <w:tc>
          <w:tcPr>
            <w:tcW w:type="dxa" w:w="343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Report range and gate pass count; never select a seed after fault inspection</w:t>
            </w:r>
          </w:p>
        </w:tc>
      </w:tr>
      <w:tr>
        <w:trPr>
          <w:cantSplit/>
        </w:trPr>
        <w:tc>
          <w:tcPr>
            <w:tcW w:type="dxa" w:w="2692"/>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Is operating position associated with score?</w:t>
            </w:r>
          </w:p>
        </w:tc>
        <w:tc>
          <w:tcPr>
            <w:tcW w:type="dxa" w:w="333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Saved block scores with healthy speed proxies; no score refit</w:t>
            </w:r>
          </w:p>
        </w:tc>
        <w:tc>
          <w:tcPr>
            <w:tcW w:type="dxa" w:w="343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Association only; block/time/speed and unmeasured factors co-vary</w:t>
            </w:r>
          </w:p>
        </w:tc>
      </w:tr>
      <w:tr>
        <w:trPr>
          <w:cantSplit/>
        </w:trPr>
        <w:tc>
          <w:tcPr>
            <w:tcW w:type="dxa" w:w="2692"/>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Does the frozen geometry emphasize useful fault directions?</w:t>
            </w:r>
          </w:p>
        </w:tc>
        <w:tc>
          <w:tcPr>
            <w:tcW w:type="dxa" w:w="333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Hash-locked covariance reconstruction plus common-support pooled feature summaries and matched differences</w:t>
            </w:r>
          </w:p>
        </w:tc>
        <w:tc>
          <w:tcPr>
            <w:tcW w:type="dxa" w:w="343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Contribution decomposition is descriptive and non-unique, not a causal feature-selection rule</w:t>
            </w:r>
          </w:p>
        </w:tc>
      </w:tr>
      <w:tr>
        <w:trPr>
          <w:cantSplit/>
        </w:trPr>
        <w:tc>
          <w:tcPr>
            <w:tcW w:type="dxa" w:w="2692"/>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Can sampling mismatch alone rescue transfer?</w:t>
            </w:r>
          </w:p>
        </w:tc>
        <w:tc>
          <w:tcPr>
            <w:tcW w:type="dxa" w:w="333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Antialiased 10 kHz source arm with otherwise unchanged settings</w:t>
            </w:r>
          </w:p>
        </w:tc>
        <w:tc>
          <w:tcPr>
            <w:tcW w:type="dxa" w:w="343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Preserve original result; a null rescue narrows one explanation under this pipeline</w:t>
            </w:r>
          </w:p>
        </w:tc>
      </w:tr>
      <w:tr>
        <w:trPr>
          <w:cantSplit/>
        </w:trPr>
        <w:tc>
          <w:tcPr>
            <w:tcW w:type="dxa" w:w="2692"/>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Can a repaired transient parser count as confirmation?</w:t>
            </w:r>
          </w:p>
        </w:tc>
        <w:tc>
          <w:tcPr>
            <w:tcW w:type="dxa" w:w="333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Separate opt-in repair directory; unchanged signal/onset contract</w:t>
            </w:r>
          </w:p>
        </w:tc>
        <w:tc>
          <w:tcPr>
            <w:tcW w:type="dxa" w:w="343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Retain primary 0/21 failure and motor-level incompatibility; label repaired analysis post-reveal</w:t>
            </w:r>
          </w:p>
        </w:tc>
      </w:tr>
    </w:tbl>
    <w:p>
      <w:pPr>
        <w:spacing w:after="40"/>
      </w:pPr>
    </w:p>
    <w:p>
      <w:r>
        <w:rPr>
          <w:rFonts w:ascii="Liberation Serif" w:hAnsi="Liberation Serif" w:eastAsia="Times New Roman"/>
          <w:sz w:val="22"/>
        </w:rPr>
        <w:t>Original sources are Mendeley Data 10.17632/rgn5brrgrn.5, Zenodo 10.5281/zenodo.13889418, and Zenodo 10.5281/zenodo.15631383; all carry CC BY 4.0 [1, 2, 3]. The associated external machine description is [4]. Raw data are obtained from those repositories; this supplement and the code bundle provide derived outputs and reconstruction instructions rather than redistributing raw archives.</w:t>
      </w:r>
    </w:p>
    <w:p>
      <w:pPr>
        <w:pStyle w:val="Heading1"/>
      </w:pPr>
      <w:r>
        <w:t>Technical summary</w:t>
      </w:r>
    </w:p>
    <w:p>
      <w:r>
        <w:rPr>
          <w:rFonts w:ascii="Liberation Serif" w:hAnsi="Liberation Serif" w:eastAsia="Times New Roman"/>
          <w:sz w:val="22"/>
        </w:rPr>
        <w:t>The complete frozen external comparison favors Target MinCovDet, not Proposed: Target MinCovDet detected 70.05% of 384 fault blocks with 0/32 held-out healthy false alarms, whereas Proposed detected 25.00% with 1/32 false alarms. Conditional complete-record comparisons show reduced detection under the frozen source-augmentation pipelines, including MinCovDet configurations with different fit-derived masks, except that target-only and source+target OC-SVM tied in mean detection. The apparent performance increase late in each record is coupled to the shared acceleration ramp. Five-seed, feature-geometry, and 100 kHz-to-10 kHz sensitivity analyses did not change the frozen primary result. All external intervals and post-reveal comparisons remain conditional on a single physical motor. The secondary 21-record transient audit did not supply confirmatory evidence: the frozen parser accepted 0/21 records, the repaired 20 kW arm failed its compatibility gate, and all methods had zero first-second detection in the repaired 200 W sensitivity.</w:t>
      </w:r>
    </w:p>
    <w:p>
      <w:pPr>
        <w:pStyle w:val="Heading1"/>
      </w:pPr>
      <w:r>
        <w:t>S1. Data, experimental units, and locked splits</w:t>
      </w:r>
    </w:p>
    <w:p>
      <w:r>
        <w:rPr>
          <w:rFonts w:ascii="Liberation Serif" w:hAnsi="Liberation Serif" w:eastAsia="Times New Roman"/>
          <w:sz w:val="22"/>
        </w:rPr>
        <w:t xml:space="preserve">The </w:t>
      </w:r>
      <w:r>
        <w:rPr>
          <w:rFonts w:ascii="Liberation Serif" w:hAnsi="Liberation Serif" w:eastAsia="Times New Roman"/>
          <w:b/>
          <w:sz w:val="22"/>
        </w:rPr>
        <w:t>physical motor</w:t>
      </w:r>
      <w:r>
        <w:rPr>
          <w:rFonts w:ascii="Liberation Serif" w:hAnsi="Liberation Serif" w:eastAsia="Times New Roman"/>
          <w:sz w:val="22"/>
        </w:rPr>
        <w:t xml:space="preserve"> is the generalization unit, the </w:t>
      </w:r>
      <w:r>
        <w:rPr>
          <w:rFonts w:ascii="Liberation Serif" w:hAnsi="Liberation Serif" w:eastAsia="Times New Roman"/>
          <w:b/>
          <w:sz w:val="22"/>
        </w:rPr>
        <w:t>MAT/TDMS record</w:t>
      </w:r>
      <w:r>
        <w:rPr>
          <w:rFonts w:ascii="Liberation Serif" w:hAnsi="Liberation Serif" w:eastAsia="Times New Roman"/>
          <w:sz w:val="22"/>
        </w:rPr>
        <w:t xml:space="preserve"> is the condition-level resampling unit, the 3 s </w:t>
      </w:r>
      <w:r>
        <w:rPr>
          <w:rFonts w:ascii="Liberation Serif" w:hAnsi="Liberation Serif" w:eastAsia="Times New Roman"/>
          <w:b/>
          <w:sz w:val="22"/>
        </w:rPr>
        <w:t>block</w:t>
      </w:r>
      <w:r>
        <w:rPr>
          <w:rFonts w:ascii="Liberation Serif" w:hAnsi="Liberation Serif" w:eastAsia="Times New Roman"/>
          <w:sz w:val="22"/>
        </w:rPr>
        <w:t xml:space="preserve"> is the alarm unit, and the 0.2 s window is the feature-extraction unit. Repeated windows and ordered blocks from one record are not independent replications. The external dataset contains only one physical motor; its 48 fault records are operating-condition records, not 48 motors.</w:t>
      </w:r>
    </w:p>
    <w:tbl>
      <w:tblPr>
        <w:tblStyle w:val="TableGrid"/>
        <w:tblW w:type="dxa" w:w="9460"/>
        <w:jc w:val="left"/>
        <w:tblLook w:firstColumn="1" w:firstRow="1" w:lastColumn="0" w:lastRow="0" w:noHBand="0" w:noVBand="1" w:val="04A0"/>
        <w:tblLayout w:type="fixed"/>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558"/>
        <w:gridCol w:w="1419"/>
        <w:gridCol w:w="1478"/>
        <w:gridCol w:w="1545"/>
        <w:gridCol w:w="1449"/>
        <w:gridCol w:w="2011"/>
      </w:tblGrid>
      <w:tr>
        <w:trPr>
          <w:tblHeader w:val="true"/>
          <w:cantSplit/>
        </w:trPr>
        <w:tc>
          <w:tcPr>
            <w:tcW w:type="dxa" w:w="1558"/>
            <w:tcMar>
              <w:top w:w="80" w:type="dxa"/>
              <w:start w:w="120" w:type="dxa"/>
              <w:bottom w:w="80" w:type="dxa"/>
              <w:end w:w="120" w:type="dxa"/>
            </w:tcMar>
            <w:vAlign w:val="center"/>
            <w:shd w:fill="E7E6E6"/>
          </w:tcPr>
          <w:p>
            <w:pPr>
              <w:keepNext/>
              <w:spacing w:before="0" w:after="0" w:line="276" w:lineRule="auto"/>
              <w:jc w:val="left"/>
            </w:pPr>
            <w:r>
              <w:rPr>
                <w:rFonts w:ascii="Liberation Serif" w:hAnsi="Liberation Serif" w:eastAsia="Times New Roman"/>
                <w:b/>
                <w:sz w:val="18"/>
              </w:rPr>
              <w:t>Dataset</w:t>
            </w:r>
          </w:p>
        </w:tc>
        <w:tc>
          <w:tcPr>
            <w:tcW w:type="dxa" w:w="1419"/>
            <w:tcMar>
              <w:top w:w="80" w:type="dxa"/>
              <w:start w:w="120" w:type="dxa"/>
              <w:bottom w:w="80" w:type="dxa"/>
              <w:end w:w="120" w:type="dxa"/>
            </w:tcMar>
            <w:vAlign w:val="center"/>
            <w:shd w:fill="E7E6E6"/>
          </w:tcPr>
          <w:p>
            <w:pPr>
              <w:keepNext/>
              <w:spacing w:before="0" w:after="0" w:line="276" w:lineRule="auto"/>
              <w:jc w:val="center"/>
            </w:pPr>
            <w:r>
              <w:rPr>
                <w:rFonts w:ascii="Liberation Serif" w:hAnsi="Liberation Serif" w:eastAsia="Times New Roman"/>
                <w:b/>
                <w:sz w:val="18"/>
              </w:rPr>
              <w:t>Physical motors</w:t>
            </w:r>
          </w:p>
        </w:tc>
        <w:tc>
          <w:tcPr>
            <w:tcW w:type="dxa" w:w="1478"/>
            <w:tcMar>
              <w:top w:w="80" w:type="dxa"/>
              <w:start w:w="120" w:type="dxa"/>
              <w:bottom w:w="80" w:type="dxa"/>
              <w:end w:w="120" w:type="dxa"/>
            </w:tcMar>
            <w:vAlign w:val="center"/>
            <w:shd w:fill="E7E6E6"/>
          </w:tcPr>
          <w:p>
            <w:pPr>
              <w:keepNext/>
              <w:spacing w:before="0" w:after="0" w:line="276" w:lineRule="auto"/>
              <w:jc w:val="center"/>
            </w:pPr>
            <w:r>
              <w:rPr>
                <w:rFonts w:ascii="Liberation Serif" w:hAnsi="Liberation Serif" w:eastAsia="Times New Roman"/>
                <w:b/>
                <w:sz w:val="18"/>
              </w:rPr>
              <w:t>Physical records</w:t>
            </w:r>
          </w:p>
        </w:tc>
        <w:tc>
          <w:tcPr>
            <w:tcW w:type="dxa" w:w="1545"/>
            <w:tcMar>
              <w:top w:w="80" w:type="dxa"/>
              <w:start w:w="120" w:type="dxa"/>
              <w:bottom w:w="80" w:type="dxa"/>
              <w:end w:w="120" w:type="dxa"/>
            </w:tcMar>
            <w:vAlign w:val="center"/>
            <w:shd w:fill="E7E6E6"/>
          </w:tcPr>
          <w:p>
            <w:pPr>
              <w:keepNext/>
              <w:spacing w:before="0" w:after="0" w:line="276" w:lineRule="auto"/>
              <w:jc w:val="center"/>
            </w:pPr>
            <w:r>
              <w:rPr>
                <w:rFonts w:ascii="Liberation Serif" w:hAnsi="Liberation Serif" w:eastAsia="Times New Roman"/>
                <w:b/>
                <w:sz w:val="18"/>
              </w:rPr>
              <w:t>Record-subsystem streams</w:t>
            </w:r>
          </w:p>
        </w:tc>
        <w:tc>
          <w:tcPr>
            <w:tcW w:type="dxa" w:w="1449"/>
            <w:tcMar>
              <w:top w:w="80" w:type="dxa"/>
              <w:start w:w="120" w:type="dxa"/>
              <w:bottom w:w="80" w:type="dxa"/>
              <w:end w:w="120" w:type="dxa"/>
            </w:tcMar>
            <w:vAlign w:val="center"/>
            <w:shd w:fill="E7E6E6"/>
          </w:tcPr>
          <w:p>
            <w:pPr>
              <w:keepNext/>
              <w:spacing w:before="0" w:after="0" w:line="276" w:lineRule="auto"/>
              <w:jc w:val="center"/>
            </w:pPr>
            <w:r>
              <w:rPr>
                <w:rFonts w:ascii="Liberation Serif" w:hAnsi="Liberation Serif" w:eastAsia="Times New Roman"/>
                <w:b/>
                <w:sz w:val="18"/>
              </w:rPr>
              <w:t>Sampling</w:t>
            </w:r>
          </w:p>
        </w:tc>
        <w:tc>
          <w:tcPr>
            <w:tcW w:type="dxa" w:w="2011"/>
            <w:tcMar>
              <w:top w:w="80" w:type="dxa"/>
              <w:start w:w="120" w:type="dxa"/>
              <w:bottom w:w="80" w:type="dxa"/>
              <w:end w:w="120" w:type="dxa"/>
            </w:tcMar>
            <w:vAlign w:val="center"/>
            <w:shd w:fill="E7E6E6"/>
          </w:tcPr>
          <w:p>
            <w:pPr>
              <w:keepNext/>
              <w:spacing w:before="0" w:after="0" w:line="276" w:lineRule="auto"/>
              <w:jc w:val="center"/>
            </w:pPr>
            <w:r>
              <w:rPr>
                <w:rFonts w:ascii="Liberation Serif" w:hAnsi="Liberation Serif" w:eastAsia="Times New Roman"/>
                <w:b/>
                <w:sz w:val="18"/>
              </w:rPr>
              <w:t>Frozen analysis grain</w:t>
            </w:r>
          </w:p>
        </w:tc>
      </w:tr>
      <w:tr>
        <w:trPr>
          <w:cantSplit/>
        </w:trPr>
        <w:tc>
          <w:tcPr>
            <w:tcW w:type="dxa" w:w="1558"/>
            <w:tcMar>
              <w:top w:w="80" w:type="dxa"/>
              <w:start w:w="120" w:type="dxa"/>
              <w:bottom w:w="80" w:type="dxa"/>
              <w:end w:w="120" w:type="dxa"/>
            </w:tcMar>
            <w:vAlign w:val="center"/>
          </w:tcPr>
          <w:p>
            <w:pPr>
              <w:keepNext/>
              <w:spacing w:before="0" w:after="0" w:line="276" w:lineRule="auto"/>
              <w:jc w:val="left"/>
            </w:pPr>
            <w:r>
              <w:rPr>
                <w:rFonts w:ascii="Liberation Serif" w:hAnsi="Liberation Serif" w:eastAsia="Times New Roman"/>
                <w:b w:val="0"/>
                <w:sz w:val="18"/>
              </w:rPr>
              <w:t>KAIST source</w:t>
            </w:r>
          </w:p>
        </w:tc>
        <w:tc>
          <w:tcPr>
            <w:tcW w:type="dxa" w:w="1419"/>
            <w:tcMar>
              <w:top w:w="80" w:type="dxa"/>
              <w:start w:w="120" w:type="dxa"/>
              <w:bottom w:w="80" w:type="dxa"/>
              <w:end w:w="120" w:type="dxa"/>
            </w:tcMar>
            <w:vAlign w:val="center"/>
          </w:tcPr>
          <w:p>
            <w:pPr>
              <w:keepNext/>
              <w:spacing w:before="0" w:after="0" w:line="276" w:lineRule="auto"/>
              <w:jc w:val="center"/>
            </w:pPr>
            <w:r>
              <w:rPr>
                <w:rFonts w:ascii="Liberation Serif" w:hAnsi="Liberation Serif" w:eastAsia="Times New Roman"/>
                <w:b w:val="0"/>
                <w:sz w:val="18"/>
              </w:rPr>
              <w:t>3 (1, 1.5, and 3 kW)</w:t>
            </w:r>
          </w:p>
        </w:tc>
        <w:tc>
          <w:tcPr>
            <w:tcW w:type="dxa" w:w="1478"/>
            <w:tcMar>
              <w:top w:w="80" w:type="dxa"/>
              <w:start w:w="120" w:type="dxa"/>
              <w:bottom w:w="80" w:type="dxa"/>
              <w:end w:w="120" w:type="dxa"/>
            </w:tcMar>
            <w:vAlign w:val="center"/>
          </w:tcPr>
          <w:p>
            <w:pPr>
              <w:keepNext/>
              <w:spacing w:before="0" w:after="0" w:line="276" w:lineRule="auto"/>
              <w:jc w:val="center"/>
            </w:pPr>
            <w:r>
              <w:rPr>
                <w:rFonts w:ascii="Liberation Serif" w:hAnsi="Liberation Serif" w:eastAsia="Times New Roman"/>
                <w:b w:val="0"/>
                <w:sz w:val="18"/>
              </w:rPr>
              <w:t>45 (3 healthy; 42 fault)</w:t>
            </w:r>
          </w:p>
        </w:tc>
        <w:tc>
          <w:tcPr>
            <w:tcW w:type="dxa" w:w="1545"/>
            <w:tcMar>
              <w:top w:w="80" w:type="dxa"/>
              <w:start w:w="120" w:type="dxa"/>
              <w:bottom w:w="80" w:type="dxa"/>
              <w:end w:w="120" w:type="dxa"/>
            </w:tcMar>
            <w:vAlign w:val="center"/>
          </w:tcPr>
          <w:p>
            <w:pPr>
              <w:keepNext/>
              <w:spacing w:before="0" w:after="0" w:line="276" w:lineRule="auto"/>
              <w:jc w:val="center"/>
            </w:pPr>
            <w:r>
              <w:rPr>
                <w:rFonts w:ascii="Liberation Serif" w:hAnsi="Liberation Serif" w:eastAsia="Times New Roman"/>
                <w:b w:val="0"/>
                <w:sz w:val="18"/>
              </w:rPr>
              <w:t>not applicable</w:t>
            </w:r>
          </w:p>
        </w:tc>
        <w:tc>
          <w:tcPr>
            <w:tcW w:type="dxa" w:w="1449"/>
            <w:tcMar>
              <w:top w:w="80" w:type="dxa"/>
              <w:start w:w="120" w:type="dxa"/>
              <w:bottom w:w="80" w:type="dxa"/>
              <w:end w:w="120" w:type="dxa"/>
            </w:tcMar>
            <w:vAlign w:val="center"/>
          </w:tcPr>
          <w:p>
            <w:pPr>
              <w:keepNext/>
              <w:spacing w:before="0" w:after="0" w:line="276" w:lineRule="auto"/>
              <w:jc w:val="center"/>
            </w:pPr>
            <w:r>
              <w:rPr>
                <w:rFonts w:ascii="Liberation Serif" w:hAnsi="Liberation Serif" w:eastAsia="Times New Roman"/>
                <w:b w:val="0"/>
                <w:sz w:val="18"/>
              </w:rPr>
              <w:t>100 kHz; leading 120 s</w:t>
            </w:r>
          </w:p>
        </w:tc>
        <w:tc>
          <w:tcPr>
            <w:tcW w:type="dxa" w:w="2011"/>
            <w:tcMar>
              <w:top w:w="80" w:type="dxa"/>
              <w:start w:w="120" w:type="dxa"/>
              <w:bottom w:w="80" w:type="dxa"/>
              <w:end w:w="120" w:type="dxa"/>
            </w:tcMar>
            <w:vAlign w:val="center"/>
          </w:tcPr>
          <w:p>
            <w:pPr>
              <w:keepNext/>
              <w:spacing w:before="0" w:after="0" w:line="276" w:lineRule="auto"/>
              <w:jc w:val="center"/>
            </w:pPr>
            <w:r>
              <w:rPr>
                <w:rFonts w:ascii="Liberation Serif" w:hAnsi="Liberation Serif" w:eastAsia="Times New Roman"/>
                <w:b w:val="0"/>
                <w:sz w:val="18"/>
              </w:rPr>
              <w:t>600 non-overlapping 0.2 s windows and 40 3 s blocks per record</w:t>
            </w:r>
          </w:p>
        </w:tc>
      </w:tr>
      <w:tr>
        <w:trPr>
          <w:cantSplit/>
        </w:trPr>
        <w:tc>
          <w:tcPr>
            <w:tcW w:type="dxa" w:w="1558"/>
            <w:tcMar>
              <w:top w:w="80" w:type="dxa"/>
              <w:start w:w="120" w:type="dxa"/>
              <w:bottom w:w="80" w:type="dxa"/>
              <w:end w:w="120" w:type="dxa"/>
            </w:tcMar>
            <w:vAlign w:val="center"/>
          </w:tcPr>
          <w:p>
            <w:pPr>
              <w:keepNext w:val="0"/>
              <w:spacing w:before="0" w:after="0" w:line="276" w:lineRule="auto"/>
              <w:jc w:val="left"/>
            </w:pPr>
            <w:r>
              <w:rPr>
                <w:rFonts w:ascii="Liberation Serif" w:hAnsi="Liberation Serif" w:eastAsia="Times New Roman"/>
                <w:b w:val="0"/>
                <w:sz w:val="18"/>
              </w:rPr>
              <w:t>External dual-three-phase PMSM</w:t>
            </w:r>
          </w:p>
        </w:tc>
        <w:tc>
          <w:tcPr>
            <w:tcW w:type="dxa" w:w="1419"/>
            <w:tcMar>
              <w:top w:w="80" w:type="dxa"/>
              <w:start w:w="120" w:type="dxa"/>
              <w:bottom w:w="80" w:type="dxa"/>
              <w:end w:w="120" w:type="dxa"/>
            </w:tcMar>
            <w:vAlign w:val="center"/>
          </w:tcPr>
          <w:p>
            <w:pPr>
              <w:keepNext w:val="0"/>
              <w:spacing w:before="0" w:after="0" w:line="276" w:lineRule="auto"/>
              <w:jc w:val="center"/>
            </w:pPr>
            <w:r>
              <w:rPr>
                <w:rFonts w:ascii="Liberation Serif" w:hAnsi="Liberation Serif" w:eastAsia="Times New Roman"/>
                <w:b w:val="0"/>
                <w:sz w:val="18"/>
              </w:rPr>
              <w:t>1 (custom 30.16 kW)</w:t>
            </w:r>
          </w:p>
        </w:tc>
        <w:tc>
          <w:tcPr>
            <w:tcW w:type="dxa" w:w="1478"/>
            <w:tcMar>
              <w:top w:w="80" w:type="dxa"/>
              <w:start w:w="120" w:type="dxa"/>
              <w:bottom w:w="80" w:type="dxa"/>
              <w:end w:w="120" w:type="dxa"/>
            </w:tcMar>
            <w:vAlign w:val="center"/>
          </w:tcPr>
          <w:p>
            <w:pPr>
              <w:keepNext w:val="0"/>
              <w:spacing w:before="0" w:after="0" w:line="276" w:lineRule="auto"/>
              <w:jc w:val="center"/>
            </w:pPr>
            <w:r>
              <w:rPr>
                <w:rFonts w:ascii="Liberation Serif" w:hAnsi="Liberation Serif" w:eastAsia="Times New Roman"/>
                <w:b w:val="0"/>
                <w:sz w:val="18"/>
              </w:rPr>
              <w:t>56 (8 healthy; 48 fault)</w:t>
            </w:r>
          </w:p>
        </w:tc>
        <w:tc>
          <w:tcPr>
            <w:tcW w:type="dxa" w:w="1545"/>
            <w:tcMar>
              <w:top w:w="80" w:type="dxa"/>
              <w:start w:w="120" w:type="dxa"/>
              <w:bottom w:w="80" w:type="dxa"/>
              <w:end w:w="120" w:type="dxa"/>
            </w:tcMar>
            <w:vAlign w:val="center"/>
          </w:tcPr>
          <w:p>
            <w:pPr>
              <w:keepNext w:val="0"/>
              <w:spacing w:before="0" w:after="0" w:line="276" w:lineRule="auto"/>
              <w:jc w:val="center"/>
            </w:pPr>
            <w:r>
              <w:rPr>
                <w:rFonts w:ascii="Liberation Serif" w:hAnsi="Liberation Serif" w:eastAsia="Times New Roman"/>
                <w:b w:val="0"/>
                <w:sz w:val="18"/>
              </w:rPr>
              <w:t>112 (2 subsystems per record)</w:t>
            </w:r>
          </w:p>
        </w:tc>
        <w:tc>
          <w:tcPr>
            <w:tcW w:type="dxa" w:w="1449"/>
            <w:tcMar>
              <w:top w:w="80" w:type="dxa"/>
              <w:start w:w="120" w:type="dxa"/>
              <w:bottom w:w="80" w:type="dxa"/>
              <w:end w:w="120" w:type="dxa"/>
            </w:tcMar>
            <w:vAlign w:val="center"/>
          </w:tcPr>
          <w:p>
            <w:pPr>
              <w:keepNext w:val="0"/>
              <w:spacing w:before="0" w:after="0" w:line="276" w:lineRule="auto"/>
              <w:jc w:val="center"/>
            </w:pPr>
            <w:r>
              <w:rPr>
                <w:rFonts w:ascii="Liberation Serif" w:hAnsi="Liberation Serif" w:eastAsia="Times New Roman"/>
                <w:b w:val="0"/>
                <w:sz w:val="18"/>
              </w:rPr>
              <w:t>10 kHz; [12, 36) s</w:t>
            </w:r>
          </w:p>
        </w:tc>
        <w:tc>
          <w:tcPr>
            <w:tcW w:type="dxa" w:w="2011"/>
            <w:tcMar>
              <w:top w:w="80" w:type="dxa"/>
              <w:start w:w="120" w:type="dxa"/>
              <w:bottom w:w="80" w:type="dxa"/>
              <w:end w:w="120" w:type="dxa"/>
            </w:tcMar>
            <w:vAlign w:val="center"/>
          </w:tcPr>
          <w:p>
            <w:pPr>
              <w:keepNext w:val="0"/>
              <w:spacing w:before="0" w:after="0" w:line="276" w:lineRule="auto"/>
              <w:jc w:val="center"/>
            </w:pPr>
            <w:r>
              <w:rPr>
                <w:rFonts w:ascii="Liberation Serif" w:hAnsi="Liberation Serif" w:eastAsia="Times New Roman"/>
                <w:b w:val="0"/>
                <w:sz w:val="18"/>
              </w:rPr>
              <w:t>120 windows and 8 blocks per record-subsystem; one system block after maxima</w:t>
            </w:r>
          </w:p>
        </w:tc>
      </w:tr>
    </w:tbl>
    <w:p>
      <w:pPr>
        <w:spacing w:after="40"/>
      </w:pPr>
    </w:p>
    <w:p>
      <w:r>
        <w:rPr>
          <w:rFonts w:ascii="Liberation Serif" w:hAnsi="Liberation Serif" w:eastAsia="Times New Roman"/>
          <w:sz w:val="22"/>
        </w:rPr>
        <w:t>The external MAT records contain two three-phase current subsystems (</w:t>
      </w:r>
      <w:r>
        <w:rPr>
          <w:rFonts w:ascii="Liberation Serif" w:hAnsi="Liberation Serif" w:eastAsia="Courier New"/>
          <w:sz w:val="22"/>
        </w:rPr>
        <w:t>SubSys1</w:t>
      </w:r>
      <w:r>
        <w:rPr>
          <w:rFonts w:ascii="Liberation Serif" w:hAnsi="Liberation Serif" w:eastAsia="Times New Roman"/>
          <w:sz w:val="22"/>
        </w:rPr>
        <w:t xml:space="preserve"> and </w:t>
      </w:r>
      <w:r>
        <w:rPr>
          <w:rFonts w:ascii="Liberation Serif" w:hAnsi="Liberation Serif" w:eastAsia="Courier New"/>
          <w:sz w:val="22"/>
        </w:rPr>
        <w:t>SubSys2</w:t>
      </w:r>
      <w:r>
        <w:rPr>
          <w:rFonts w:ascii="Liberation Serif" w:hAnsi="Liberation Serif" w:eastAsia="Times New Roman"/>
          <w:sz w:val="22"/>
        </w:rPr>
        <w:t>). Each subsystem is scored separately. A block score is the maximum over 15 windows within a subsystem followed by the maximum over the two subsystems. Thus, each physical record contributes exactly eight system block scores.</w:t>
      </w:r>
    </w:p>
    <w:p>
      <w:pPr>
        <w:pStyle w:val="Heading2"/>
      </w:pPr>
      <w:r>
        <w:t>S1.1. Ordered split definitions</w:t>
      </w:r>
    </w:p>
    <w:tbl>
      <w:tblPr>
        <w:tblStyle w:val="TableGrid"/>
        <w:tblW w:type="dxa" w:w="9460"/>
        <w:jc w:val="left"/>
        <w:tblLook w:firstColumn="1" w:firstRow="1" w:lastColumn="0" w:lastRow="0" w:noHBand="0" w:noVBand="1" w:val="04A0"/>
        <w:tblLayout w:type="fixed"/>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2194"/>
        <w:gridCol w:w="3641"/>
        <w:gridCol w:w="3625"/>
      </w:tblGrid>
      <w:tr>
        <w:trPr>
          <w:tblHeader w:val="true"/>
          <w:cantSplit/>
        </w:trPr>
        <w:tc>
          <w:tcPr>
            <w:tcW w:type="dxa" w:w="2194"/>
            <w:tcMar>
              <w:top w:w="80" w:type="dxa"/>
              <w:start w:w="120" w:type="dxa"/>
              <w:bottom w:w="80" w:type="dxa"/>
              <w:end w:w="120" w:type="dxa"/>
            </w:tcMar>
            <w:vAlign w:val="center"/>
            <w:shd w:fill="E7E6E6"/>
          </w:tcPr>
          <w:p>
            <w:pPr>
              <w:spacing w:before="0" w:after="0" w:line="276" w:lineRule="auto"/>
              <w:jc w:val="left"/>
            </w:pPr>
            <w:r>
              <w:rPr>
                <w:rFonts w:ascii="Liberation Serif" w:hAnsi="Liberation Serif" w:eastAsia="Times New Roman"/>
                <w:b/>
                <w:sz w:val="18"/>
              </w:rPr>
              <w:t>Stage</w:t>
            </w:r>
          </w:p>
        </w:tc>
        <w:tc>
          <w:tcPr>
            <w:tcW w:type="dxa" w:w="3641"/>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KAIST leave-one-motor-out</w:t>
            </w:r>
          </w:p>
        </w:tc>
        <w:tc>
          <w:tcPr>
            <w:tcW w:type="dxa" w:w="3625"/>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External validation</w:t>
            </w:r>
          </w:p>
        </w:tc>
      </w:tr>
      <w:tr>
        <w:trPr>
          <w:cantSplit/>
        </w:trPr>
        <w:tc>
          <w:tcPr>
            <w:tcW w:type="dxa" w:w="2194"/>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Source reference</w:t>
            </w:r>
          </w:p>
        </w:tc>
        <w:tc>
          <w:tcPr>
            <w:tcW w:type="dxa" w:w="3641"/>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healthy blocks 0-23 for each of the two source motors; balanced subset 0, 8, 15, 23</w:t>
            </w:r>
          </w:p>
        </w:tc>
        <w:tc>
          <w:tcPr>
            <w:tcW w:type="dxa" w:w="3625"/>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three KAIST source motors; covariance blocks 0-23 and balanced blocks 0, 8, 15, 23</w:t>
            </w:r>
          </w:p>
        </w:tc>
      </w:tr>
      <w:tr>
        <w:trPr>
          <w:cantSplit/>
        </w:trPr>
        <w:tc>
          <w:tcPr>
            <w:tcW w:type="dxa" w:w="2194"/>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Target adaptation</w:t>
            </w:r>
          </w:p>
        </w:tc>
        <w:tc>
          <w:tcPr>
            <w:tcW w:type="dxa" w:w="3641"/>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blocks 0-3 (4 blocks; 60 windows) from the held-out motor's healthy record</w:t>
            </w:r>
          </w:p>
        </w:tc>
        <w:tc>
          <w:tcPr>
            <w:tcW w:type="dxa" w:w="3625"/>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 N m healthy record, blocks 0-3 (60 windows per subsystem)</w:t>
            </w:r>
          </w:p>
        </w:tc>
      </w:tr>
      <w:tr>
        <w:trPr>
          <w:cantSplit/>
        </w:trPr>
        <w:tc>
          <w:tcPr>
            <w:tcW w:type="dxa" w:w="2194"/>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Guard / unused</w:t>
            </w:r>
          </w:p>
        </w:tc>
        <w:tc>
          <w:tcPr>
            <w:tcW w:type="dxa" w:w="3641"/>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blocks 4 and 25</w:t>
            </w:r>
          </w:p>
        </w:tc>
        <w:tc>
          <w:tcPr>
            <w:tcW w:type="dxa" w:w="3625"/>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 N m blocks 4-7 are unused for validation</w:t>
            </w:r>
          </w:p>
        </w:tc>
      </w:tr>
      <w:tr>
        <w:trPr>
          <w:cantSplit/>
        </w:trPr>
        <w:tc>
          <w:tcPr>
            <w:tcW w:type="dxa" w:w="2194"/>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Calibration</w:t>
            </w:r>
          </w:p>
        </w:tc>
        <w:tc>
          <w:tcPr>
            <w:tcW w:type="dxa" w:w="3641"/>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healthy blocks 5-24 (20 blocks)</w:t>
            </w:r>
          </w:p>
        </w:tc>
        <w:tc>
          <w:tcPr>
            <w:tcW w:type="dxa" w:w="3625"/>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healthy loads 10, 20, and 30 N m; all 8 blocks (3 records; 24 system blocks)</w:t>
            </w:r>
          </w:p>
        </w:tc>
      </w:tr>
      <w:tr>
        <w:trPr>
          <w:cantSplit/>
        </w:trPr>
        <w:tc>
          <w:tcPr>
            <w:tcW w:type="dxa" w:w="2194"/>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Held-out health test</w:t>
            </w:r>
          </w:p>
        </w:tc>
        <w:tc>
          <w:tcPr>
            <w:tcW w:type="dxa" w:w="3641"/>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healthy blocks 26-39 (14 blocks)</w:t>
            </w:r>
          </w:p>
        </w:tc>
        <w:tc>
          <w:tcPr>
            <w:tcW w:type="dxa" w:w="3625"/>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healthy loads 5, 15, 25, and 35 N m; all 8 blocks (4 records; 32 system blocks)</w:t>
            </w:r>
          </w:p>
        </w:tc>
      </w:tr>
      <w:tr>
        <w:trPr>
          <w:cantSplit/>
        </w:trPr>
        <w:tc>
          <w:tcPr>
            <w:tcW w:type="dxa" w:w="2194"/>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Fault test</w:t>
            </w:r>
          </w:p>
        </w:tc>
        <w:tc>
          <w:tcPr>
            <w:tcW w:type="dxa" w:w="3641"/>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14 records × 40 blocks = 560 blocks per target motor</w:t>
            </w:r>
          </w:p>
        </w:tc>
        <w:tc>
          <w:tcPr>
            <w:tcW w:type="dxa" w:w="3625"/>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6 turn-fault states × 8 loads = 48 records; 8 blocks each = 384 system blocks</w:t>
            </w:r>
          </w:p>
        </w:tc>
      </w:tr>
    </w:tbl>
    <w:p>
      <w:pPr>
        <w:spacing w:after="40"/>
      </w:pPr>
    </w:p>
    <w:p>
      <w:r>
        <w:rPr>
          <w:rFonts w:ascii="Liberation Serif" w:hAnsi="Liberation Serif" w:eastAsia="Times New Roman"/>
          <w:sz w:val="22"/>
        </w:rPr>
        <w:t>The external 6-by-8 grid is not crossed by fault phase. Fault-turn levels 1, 3, 5, and 6 use phase U, whereas levels 2 and 4 use phase V. Consequently, fault-turn count and phase effects are not separately identifiable; the turn-stratified record bootstrap conditions on this fixed assignment rather than resolving it.</w:t>
      </w:r>
    </w:p>
    <w:p>
      <w:r>
        <w:rPr>
          <w:rFonts w:ascii="Liberation Serif" w:hAnsi="Liberation Serif" w:eastAsia="Times New Roman"/>
          <w:sz w:val="22"/>
        </w:rPr>
        <w:t xml:space="preserve">All primary two-dataset models use the named 27-feature scale-free arm. Electrical fundamental frequency remains in this arm, so it is neither wholly dimensionless nor guaranteed speed invariant. The unchanged feature order is: </w:t>
      </w:r>
      <w:r>
        <w:rPr>
          <w:rFonts w:ascii="Liberation Serif" w:hAnsi="Liberation Serif" w:eastAsia="Courier New"/>
          <w:sz w:val="22"/>
        </w:rPr>
        <w:t>fundamental_hz</w:t>
      </w:r>
      <w:r>
        <w:rPr>
          <w:rFonts w:ascii="Liberation Serif" w:hAnsi="Liberation Serif" w:eastAsia="Times New Roman"/>
          <w:sz w:val="22"/>
        </w:rPr>
        <w:t xml:space="preserve">, </w:t>
      </w:r>
      <w:r>
        <w:rPr>
          <w:rFonts w:ascii="Liberation Serif" w:hAnsi="Liberation Serif" w:eastAsia="Courier New"/>
          <w:sz w:val="22"/>
        </w:rPr>
        <w:t>sequence_unbalance</w:t>
      </w:r>
      <w:r>
        <w:rPr>
          <w:rFonts w:ascii="Liberation Serif" w:hAnsi="Liberation Serif" w:eastAsia="Times New Roman"/>
          <w:sz w:val="22"/>
        </w:rPr>
        <w:t xml:space="preserve">, </w:t>
      </w:r>
      <w:r>
        <w:rPr>
          <w:rFonts w:ascii="Liberation Serif" w:hAnsi="Liberation Serif" w:eastAsia="Courier New"/>
          <w:sz w:val="22"/>
        </w:rPr>
        <w:t>fundamental_amplitude_cv</w:t>
      </w:r>
      <w:r>
        <w:rPr>
          <w:rFonts w:ascii="Liberation Serif" w:hAnsi="Liberation Serif" w:eastAsia="Times New Roman"/>
          <w:sz w:val="22"/>
        </w:rPr>
        <w:t xml:space="preserve">, </w:t>
      </w:r>
      <w:r>
        <w:rPr>
          <w:rFonts w:ascii="Liberation Serif" w:hAnsi="Liberation Serif" w:eastAsia="Courier New"/>
          <w:sz w:val="22"/>
        </w:rPr>
        <w:t>phase_rms_cv</w:t>
      </w:r>
      <w:r>
        <w:rPr>
          <w:rFonts w:ascii="Liberation Serif" w:hAnsi="Liberation Serif" w:eastAsia="Times New Roman"/>
          <w:sz w:val="22"/>
        </w:rPr>
        <w:t xml:space="preserve">, </w:t>
      </w:r>
      <w:r>
        <w:rPr>
          <w:rFonts w:ascii="Liberation Serif" w:hAnsi="Liberation Serif" w:eastAsia="Courier New"/>
          <w:sz w:val="22"/>
        </w:rPr>
        <w:t>clarke_radius_cv</w:t>
      </w:r>
      <w:r>
        <w:rPr>
          <w:rFonts w:ascii="Liberation Serif" w:hAnsi="Liberation Serif" w:eastAsia="Times New Roman"/>
          <w:sz w:val="22"/>
        </w:rPr>
        <w:t xml:space="preserve">, </w:t>
      </w:r>
      <w:r>
        <w:rPr>
          <w:rFonts w:ascii="Liberation Serif" w:hAnsi="Liberation Serif" w:eastAsia="Courier New"/>
          <w:sz w:val="22"/>
        </w:rPr>
        <w:t>zero_sequence_ratio</w:t>
      </w:r>
      <w:r>
        <w:rPr>
          <w:rFonts w:ascii="Liberation Serif" w:hAnsi="Liberation Serif" w:eastAsia="Times New Roman"/>
          <w:sz w:val="22"/>
        </w:rPr>
        <w:t xml:space="preserve">, </w:t>
      </w:r>
      <w:r>
        <w:rPr>
          <w:rFonts w:ascii="Liberation Serif" w:hAnsi="Liberation Serif" w:eastAsia="Courier New"/>
          <w:sz w:val="22"/>
        </w:rPr>
        <w:t>spectral_entropy</w:t>
      </w:r>
      <w:r>
        <w:rPr>
          <w:rFonts w:ascii="Liberation Serif" w:hAnsi="Liberation Serif" w:eastAsia="Times New Roman"/>
          <w:sz w:val="22"/>
        </w:rPr>
        <w:t xml:space="preserve">, </w:t>
      </w:r>
      <w:r>
        <w:rPr>
          <w:rFonts w:ascii="Liberation Serif" w:hAnsi="Liberation Serif" w:eastAsia="Courier New"/>
          <w:sz w:val="22"/>
        </w:rPr>
        <w:t>sideband_lower_ratio</w:t>
      </w:r>
      <w:r>
        <w:rPr>
          <w:rFonts w:ascii="Liberation Serif" w:hAnsi="Liberation Serif" w:eastAsia="Times New Roman"/>
          <w:sz w:val="22"/>
        </w:rPr>
        <w:t xml:space="preserve">, </w:t>
      </w:r>
      <w:r>
        <w:rPr>
          <w:rFonts w:ascii="Liberation Serif" w:hAnsi="Liberation Serif" w:eastAsia="Courier New"/>
          <w:sz w:val="22"/>
        </w:rPr>
        <w:t>sideband_upper_ratio</w:t>
      </w:r>
      <w:r>
        <w:rPr>
          <w:rFonts w:ascii="Liberation Serif" w:hAnsi="Liberation Serif" w:eastAsia="Times New Roman"/>
          <w:sz w:val="22"/>
        </w:rPr>
        <w:t xml:space="preserve">, </w:t>
      </w:r>
      <w:r>
        <w:rPr>
          <w:rFonts w:ascii="Liberation Serif" w:hAnsi="Liberation Serif" w:eastAsia="Courier New"/>
          <w:sz w:val="22"/>
        </w:rPr>
        <w:t>harmonic_2_ratio_mean</w:t>
      </w:r>
      <w:r>
        <w:rPr>
          <w:rFonts w:ascii="Liberation Serif" w:hAnsi="Liberation Serif" w:eastAsia="Times New Roman"/>
          <w:sz w:val="22"/>
        </w:rPr>
        <w:t xml:space="preserve">, </w:t>
      </w:r>
      <w:r>
        <w:rPr>
          <w:rFonts w:ascii="Liberation Serif" w:hAnsi="Liberation Serif" w:eastAsia="Courier New"/>
          <w:sz w:val="22"/>
        </w:rPr>
        <w:t>harmonic_2_ratio_max</w:t>
      </w:r>
      <w:r>
        <w:rPr>
          <w:rFonts w:ascii="Liberation Serif" w:hAnsi="Liberation Serif" w:eastAsia="Times New Roman"/>
          <w:sz w:val="22"/>
        </w:rPr>
        <w:t xml:space="preserve">, </w:t>
      </w:r>
      <w:r>
        <w:rPr>
          <w:rFonts w:ascii="Liberation Serif" w:hAnsi="Liberation Serif" w:eastAsia="Courier New"/>
          <w:sz w:val="22"/>
        </w:rPr>
        <w:t>harmonic_3_ratio_mean</w:t>
      </w:r>
      <w:r>
        <w:rPr>
          <w:rFonts w:ascii="Liberation Serif" w:hAnsi="Liberation Serif" w:eastAsia="Times New Roman"/>
          <w:sz w:val="22"/>
        </w:rPr>
        <w:t xml:space="preserve">, </w:t>
      </w:r>
      <w:r>
        <w:rPr>
          <w:rFonts w:ascii="Liberation Serif" w:hAnsi="Liberation Serif" w:eastAsia="Courier New"/>
          <w:sz w:val="22"/>
        </w:rPr>
        <w:t>harmonic_3_ratio_max</w:t>
      </w:r>
      <w:r>
        <w:rPr>
          <w:rFonts w:ascii="Liberation Serif" w:hAnsi="Liberation Serif" w:eastAsia="Times New Roman"/>
          <w:sz w:val="22"/>
        </w:rPr>
        <w:t xml:space="preserve">, </w:t>
      </w:r>
      <w:r>
        <w:rPr>
          <w:rFonts w:ascii="Liberation Serif" w:hAnsi="Liberation Serif" w:eastAsia="Courier New"/>
          <w:sz w:val="22"/>
        </w:rPr>
        <w:t>harmonic_4_ratio_mean</w:t>
      </w:r>
      <w:r>
        <w:rPr>
          <w:rFonts w:ascii="Liberation Serif" w:hAnsi="Liberation Serif" w:eastAsia="Times New Roman"/>
          <w:sz w:val="22"/>
        </w:rPr>
        <w:t xml:space="preserve">, </w:t>
      </w:r>
      <w:r>
        <w:rPr>
          <w:rFonts w:ascii="Liberation Serif" w:hAnsi="Liberation Serif" w:eastAsia="Courier New"/>
          <w:sz w:val="22"/>
        </w:rPr>
        <w:t>harmonic_4_ratio_max</w:t>
      </w:r>
      <w:r>
        <w:rPr>
          <w:rFonts w:ascii="Liberation Serif" w:hAnsi="Liberation Serif" w:eastAsia="Times New Roman"/>
          <w:sz w:val="22"/>
        </w:rPr>
        <w:t xml:space="preserve">, </w:t>
      </w:r>
      <w:r>
        <w:rPr>
          <w:rFonts w:ascii="Liberation Serif" w:hAnsi="Liberation Serif" w:eastAsia="Courier New"/>
          <w:sz w:val="22"/>
        </w:rPr>
        <w:t>harmonic_5_ratio_mean</w:t>
      </w:r>
      <w:r>
        <w:rPr>
          <w:rFonts w:ascii="Liberation Serif" w:hAnsi="Liberation Serif" w:eastAsia="Times New Roman"/>
          <w:sz w:val="22"/>
        </w:rPr>
        <w:t xml:space="preserve">, </w:t>
      </w:r>
      <w:r>
        <w:rPr>
          <w:rFonts w:ascii="Liberation Serif" w:hAnsi="Liberation Serif" w:eastAsia="Courier New"/>
          <w:sz w:val="22"/>
        </w:rPr>
        <w:t>harmonic_5_ratio_max</w:t>
      </w:r>
      <w:r>
        <w:rPr>
          <w:rFonts w:ascii="Liberation Serif" w:hAnsi="Liberation Serif" w:eastAsia="Times New Roman"/>
          <w:sz w:val="22"/>
        </w:rPr>
        <w:t xml:space="preserve">, </w:t>
      </w:r>
      <w:r>
        <w:rPr>
          <w:rFonts w:ascii="Liberation Serif" w:hAnsi="Liberation Serif" w:eastAsia="Courier New"/>
          <w:sz w:val="22"/>
        </w:rPr>
        <w:t>thd_2_to_5_mean</w:t>
      </w:r>
      <w:r>
        <w:rPr>
          <w:rFonts w:ascii="Liberation Serif" w:hAnsi="Liberation Serif" w:eastAsia="Times New Roman"/>
          <w:sz w:val="22"/>
        </w:rPr>
        <w:t xml:space="preserve">, </w:t>
      </w:r>
      <w:r>
        <w:rPr>
          <w:rFonts w:ascii="Liberation Serif" w:hAnsi="Liberation Serif" w:eastAsia="Courier New"/>
          <w:sz w:val="22"/>
        </w:rPr>
        <w:t>rms_ratio_a</w:t>
      </w:r>
      <w:r>
        <w:rPr>
          <w:rFonts w:ascii="Liberation Serif" w:hAnsi="Liberation Serif" w:eastAsia="Times New Roman"/>
          <w:sz w:val="22"/>
        </w:rPr>
        <w:t xml:space="preserve">, </w:t>
      </w:r>
      <w:r>
        <w:rPr>
          <w:rFonts w:ascii="Liberation Serif" w:hAnsi="Liberation Serif" w:eastAsia="Courier New"/>
          <w:sz w:val="22"/>
        </w:rPr>
        <w:t>crest_a</w:t>
      </w:r>
      <w:r>
        <w:rPr>
          <w:rFonts w:ascii="Liberation Serif" w:hAnsi="Liberation Serif" w:eastAsia="Times New Roman"/>
          <w:sz w:val="22"/>
        </w:rPr>
        <w:t xml:space="preserve">, </w:t>
      </w:r>
      <w:r>
        <w:rPr>
          <w:rFonts w:ascii="Liberation Serif" w:hAnsi="Liberation Serif" w:eastAsia="Courier New"/>
          <w:sz w:val="22"/>
        </w:rPr>
        <w:t>kurtosis_a</w:t>
      </w:r>
      <w:r>
        <w:rPr>
          <w:rFonts w:ascii="Liberation Serif" w:hAnsi="Liberation Serif" w:eastAsia="Times New Roman"/>
          <w:sz w:val="22"/>
        </w:rPr>
        <w:t xml:space="preserve">, </w:t>
      </w:r>
      <w:r>
        <w:rPr>
          <w:rFonts w:ascii="Liberation Serif" w:hAnsi="Liberation Serif" w:eastAsia="Courier New"/>
          <w:sz w:val="22"/>
        </w:rPr>
        <w:t>rms_ratio_b</w:t>
      </w:r>
      <w:r>
        <w:rPr>
          <w:rFonts w:ascii="Liberation Serif" w:hAnsi="Liberation Serif" w:eastAsia="Times New Roman"/>
          <w:sz w:val="22"/>
        </w:rPr>
        <w:t xml:space="preserve">, </w:t>
      </w:r>
      <w:r>
        <w:rPr>
          <w:rFonts w:ascii="Liberation Serif" w:hAnsi="Liberation Serif" w:eastAsia="Courier New"/>
          <w:sz w:val="22"/>
        </w:rPr>
        <w:t>crest_b</w:t>
      </w:r>
      <w:r>
        <w:rPr>
          <w:rFonts w:ascii="Liberation Serif" w:hAnsi="Liberation Serif" w:eastAsia="Times New Roman"/>
          <w:sz w:val="22"/>
        </w:rPr>
        <w:t xml:space="preserve">, </w:t>
      </w:r>
      <w:r>
        <w:rPr>
          <w:rFonts w:ascii="Liberation Serif" w:hAnsi="Liberation Serif" w:eastAsia="Courier New"/>
          <w:sz w:val="22"/>
        </w:rPr>
        <w:t>kurtosis_b</w:t>
      </w:r>
      <w:r>
        <w:rPr>
          <w:rFonts w:ascii="Liberation Serif" w:hAnsi="Liberation Serif" w:eastAsia="Times New Roman"/>
          <w:sz w:val="22"/>
        </w:rPr>
        <w:t xml:space="preserve">, </w:t>
      </w:r>
      <w:r>
        <w:rPr>
          <w:rFonts w:ascii="Liberation Serif" w:hAnsi="Liberation Serif" w:eastAsia="Courier New"/>
          <w:sz w:val="22"/>
        </w:rPr>
        <w:t>rms_ratio_c</w:t>
      </w:r>
      <w:r>
        <w:rPr>
          <w:rFonts w:ascii="Liberation Serif" w:hAnsi="Liberation Serif" w:eastAsia="Times New Roman"/>
          <w:sz w:val="22"/>
        </w:rPr>
        <w:t xml:space="preserve">, </w:t>
      </w:r>
      <w:r>
        <w:rPr>
          <w:rFonts w:ascii="Liberation Serif" w:hAnsi="Liberation Serif" w:eastAsia="Courier New"/>
          <w:sz w:val="22"/>
        </w:rPr>
        <w:t>crest_c</w:t>
      </w:r>
      <w:r>
        <w:rPr>
          <w:rFonts w:ascii="Liberation Serif" w:hAnsi="Liberation Serif" w:eastAsia="Times New Roman"/>
          <w:sz w:val="22"/>
        </w:rPr>
        <w:t xml:space="preserve">, </w:t>
      </w:r>
      <w:r>
        <w:rPr>
          <w:rFonts w:ascii="Liberation Serif" w:hAnsi="Liberation Serif" w:eastAsia="Courier New"/>
          <w:sz w:val="22"/>
        </w:rPr>
        <w:t>kurtosis_c</w:t>
      </w:r>
      <w:r>
        <w:rPr>
          <w:rFonts w:ascii="Liberation Serif" w:hAnsi="Liberation Serif" w:eastAsia="Times New Roman"/>
          <w:sz w:val="22"/>
        </w:rPr>
        <w:t xml:space="preserve">. Source features are robustly centered and scaled within source motor; external target features are robustly centered and scaled within subsystem from the frozen adaptation subset. The split-conformal alarm level is </w:t>
      </w:r>
      <w:r>
        <w:rPr>
          <w:rFonts w:ascii="Liberation Serif" w:hAnsi="Liberation Serif" w:eastAsia="Courier New"/>
          <w:sz w:val="22"/>
        </w:rPr>
        <w:t>alpha = 0.05</w:t>
      </w:r>
      <w:r>
        <w:rPr>
          <w:rFonts w:ascii="Liberation Serif" w:hAnsi="Liberation Serif" w:eastAsia="Times New Roman"/>
          <w:sz w:val="22"/>
        </w:rPr>
        <w:t>. Arithmetic covariance methods use ridge fraction 0.001 and the Proposed Log-Euclidean method uses the source-selected ridge fraction 0.01. No external fault row enters fitting, scaling, calibration, or threshold construction.</w:t>
      </w:r>
    </w:p>
    <w:p>
      <w:pPr>
        <w:pStyle w:val="Heading2"/>
      </w:pPr>
      <w:r>
        <w:t>S1.2. Frozen feature and fitting definitions</w:t>
      </w:r>
    </w:p>
    <w:p>
      <w:r>
        <w:rPr>
          <w:rFonts w:ascii="Liberation Serif" w:hAnsi="Liberation Serif" w:eastAsia="Times New Roman"/>
          <w:sz w:val="22"/>
        </w:rPr>
        <w:t xml:space="preserve">Each phase is demeaned and Hann-windowed before a real FFT, with amplitude normalization 2/sum(Hann) and no zero padding. The 0.2 s windows give 5 Hz bins. </w:t>
      </w:r>
      <w:r>
        <w:rPr>
          <w:rFonts w:ascii="Liberation Serif" w:hAnsi="Liberation Serif" w:eastAsia="Courier New"/>
          <w:sz w:val="22"/>
        </w:rPr>
        <w:t>fundamental_hz</w:t>
      </w:r>
      <w:r>
        <w:rPr>
          <w:rFonts w:ascii="Liberation Serif" w:hAnsi="Liberation Serif" w:eastAsia="Times New Roman"/>
          <w:sz w:val="22"/>
        </w:rPr>
        <w:t xml:space="preserve"> is the bin maximizing three-phase mean spectral magnitude in 20-500 Hz, not a directly measured speed. Harmonic orders 2-5 use the nearest bin to each multiple of that frequency, divided by the same-phase fundamental magnitude plus machine epsilon; each order reports the phase mean and maximum. THD is the phase mean of the root sum of squared order-2-5 ratios. The lower/upper sideband ratios use nearest bins at 0.75/1.25 times the fundamental, normalized by mean fundamental magnitude. These are fixed spectral heuristics, not order tracking.</w:t>
      </w:r>
    </w:p>
    <w:p>
      <w:r>
        <w:rPr>
          <w:rFonts w:ascii="Liberation Serif" w:hAnsi="Liberation Serif" w:eastAsia="Times New Roman"/>
          <w:sz w:val="22"/>
        </w:rPr>
        <w:t xml:space="preserve">At the fundamental bin, </w:t>
      </w:r>
      <w:r>
        <w:rPr>
          <w:rFonts w:ascii="Liberation Serif" w:hAnsi="Liberation Serif" w:eastAsia="Courier New"/>
          <w:sz w:val="22"/>
        </w:rPr>
        <w:t>sequence_unbalance</w:t>
      </w:r>
      <w:r>
        <w:rPr>
          <w:rFonts w:ascii="Liberation Serif" w:hAnsi="Liberation Serif" w:eastAsia="Times New Roman"/>
          <w:sz w:val="22"/>
        </w:rPr>
        <w:t xml:space="preserve"> is min(|I1|, |I2|)/max(|I1|, |I2|) for the two rotating sequence components (zero if both vanish), making it invariant to phase-sequence orientation; it is not always a fixed negative/positive ratio. The amplitude-invariant Clarke transform supplies radius coefficient of variation (CV) and zero-sequence RMS divided by mean phase RMS. Per-phase RMS ratios use the three-phase mean RMS; crest factors use absolute peak/RMS; kurtosis is Pearson kurtosis (</w:t>
      </w:r>
      <w:r>
        <w:rPr>
          <w:rFonts w:ascii="Liberation Serif" w:hAnsi="Liberation Serif" w:eastAsia="Courier New"/>
          <w:sz w:val="22"/>
        </w:rPr>
        <w:t>fisher=False</w:t>
      </w:r>
      <w:r>
        <w:rPr>
          <w:rFonts w:ascii="Liberation Serif" w:hAnsi="Liberation Serif" w:eastAsia="Times New Roman"/>
          <w:sz w:val="22"/>
        </w:rPr>
        <w:t>, default biased estimator). CVs use population standard deviation divided by the corresponding mean plus machine epsilon. Spectral entropy uses phase-averaged power from 20-2000 Hz, probability normalization and division by the log bin count.</w:t>
      </w:r>
    </w:p>
    <w:p>
      <w:r>
        <w:rPr>
          <w:rFonts w:ascii="Liberation Serif" w:hAnsi="Liberation Serif" w:eastAsia="Times New Roman"/>
          <w:sz w:val="22"/>
        </w:rPr>
        <w:t xml:space="preserve">Healthy normalization uses the coordinate median and 1.4826 times median absolute deviation. A scale no greater than 1e-8 times max(|median|, 1) falls back to population standard deviation, then to 1.0 if still too small. Only permitted healthy fitting rows enter these statistics. Source-label ridge development maximized mean source fault-block detection minus twice mean source healthy false-alarm rate over 0.0001/0.001/0.01/0.1, excluding each outer KAIST target; all selected 0.01. The selection table and JSON are retained in </w:t>
      </w:r>
      <w:r>
        <w:rPr>
          <w:rFonts w:ascii="Liberation Serif" w:hAnsi="Liberation Serif" w:eastAsia="Courier New"/>
          <w:sz w:val="22"/>
        </w:rPr>
        <w:t>results/log_ridge_selection/</w:t>
      </w:r>
      <w:r>
        <w:rPr>
          <w:rFonts w:ascii="Liberation Serif" w:hAnsi="Liberation Serif" w:eastAsia="Times New Roman"/>
          <w:sz w:val="22"/>
        </w:rPr>
        <w:t>.</w:t>
      </w:r>
    </w:p>
    <w:p>
      <w:r>
        <w:rPr>
          <w:rFonts w:ascii="Liberation Serif" w:hAnsi="Liberation Serif" w:eastAsia="Times New Roman"/>
          <w:sz w:val="22"/>
        </w:rPr>
        <w:t xml:space="preserve">MinCovDet centers healthy fitting rows for pivoted QR and retains the estimated independent columns, with rank tolerance sqrt(machine epsilon) times the first absolute diagonal of R. Both external target-only fits retain 26/27 columns, excluding </w:t>
      </w:r>
      <w:r>
        <w:rPr>
          <w:rFonts w:ascii="Liberation Serif" w:hAnsi="Liberation Serif" w:eastAsia="Courier New"/>
          <w:sz w:val="22"/>
        </w:rPr>
        <w:t>rms_ratio_c</w:t>
      </w:r>
      <w:r>
        <w:rPr>
          <w:rFonts w:ascii="Liberation Serif" w:hAnsi="Liberation Serif" w:eastAsia="Times New Roman"/>
          <w:sz w:val="22"/>
        </w:rPr>
        <w:t xml:space="preserve"> (60 rows); both source-plus-target fits retain 27/27 (240 rows). The full augmentation pipeline changes both sample count and effective mask. At alpha 0.05 with 20 or 24 calibration blocks, alarm requires a score strictly above the calibration maximum; ties are not alarmed. H1 uses the upper endpoint of the descriptive two-sided 95% Wilson score interval, not a one-sided 95% limit.</w:t>
      </w:r>
    </w:p>
    <w:p>
      <w:pPr>
        <w:pStyle w:val="Heading1"/>
      </w:pPr>
      <w:r>
        <w:t>S2. Complete frozen external comparison across 11 methods</w:t>
      </w:r>
    </w:p>
    <w:p>
      <w:r>
        <w:rPr>
          <w:rFonts w:ascii="Liberation Serif" w:hAnsi="Liberation Serif" w:eastAsia="Times New Roman"/>
          <w:sz w:val="22"/>
        </w:rPr>
        <w:t>At the prespecified external seed, Target MinCovDet had the highest detection: 70.05% fault-block detection, zero false alarms among 32 held-out healthy blocks, and AUROC 0.9268. It was also the only method satisfying the prespecified empirical H1 rule. Proposed achieved 25.00% detection, one false alarm (3.12%), and AUROC 0.6354. These external results are reported in full below; method-specific score thresholds are not comparable in magnitude across estimators.</w:t>
      </w:r>
    </w:p>
    <w:p>
      <w:r>
        <w:rPr>
          <w:rFonts w:ascii="Liberation Serif" w:hAnsi="Liberation Serif" w:eastAsia="Times New Roman"/>
          <w:sz w:val="22"/>
        </w:rPr>
        <w:t>The external pooled AUROC compares 384 fault blocks spanning all eight loads with 32 held-out health blocks from only 5, 15, 25, and 35 N m. It is therefore a descriptive ranking statistic under unequal load support, not a load-matched population estimand. Fault prevalence is 384/416 (92.31%), the no-skill average-precision baseline. AUPRC is prevalence dependent and does not estimate deployed alarm precision. Training/reference labels describe covariance shape or one-class fitting; all methods still use target-health normalization and calibration.</w:t>
      </w:r>
    </w:p>
    <w:p>
      <w:r>
        <w:rPr>
          <w:rFonts w:ascii="Liberation Serif" w:hAnsi="Liberation Serif" w:eastAsia="Times New Roman"/>
          <w:sz w:val="22"/>
        </w:rPr>
        <w:t>The following two column groups share the first-column identifiers and preserve every original row, value, and row order. Read corresponding rows together; splitting is a layout change only.</w:t>
      </w:r>
    </w:p>
    <w:p>
      <w:pPr>
        <w:keepNext/>
      </w:pPr>
      <w:r>
        <w:rPr>
          <w:rFonts w:ascii="Liberation Serif" w:hAnsi="Liberation Serif" w:eastAsia="Times New Roman"/>
          <w:sz w:val="22"/>
        </w:rPr>
        <w:t>Table S2a. Complete frozen external comparison across 11 methods (column group 1 of 2).</w:t>
      </w:r>
    </w:p>
    <w:tbl>
      <w:tblPr>
        <w:tblStyle w:val="TableGrid"/>
        <w:tblW w:type="dxa" w:w="9460"/>
        <w:jc w:val="left"/>
        <w:tblLook w:firstColumn="1" w:firstRow="1" w:lastColumn="0" w:lastRow="0" w:noHBand="0" w:noVBand="1" w:val="04A0"/>
        <w:tblLayout w:type="fixed"/>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2011"/>
        <w:gridCol w:w="1764"/>
        <w:gridCol w:w="1367"/>
        <w:gridCol w:w="1455"/>
        <w:gridCol w:w="1194"/>
        <w:gridCol w:w="1669"/>
      </w:tblGrid>
      <w:tr>
        <w:trPr>
          <w:tblHeader w:val="true"/>
          <w:cantSplit/>
        </w:trPr>
        <w:tc>
          <w:tcPr>
            <w:tcW w:type="dxa" w:w="2011"/>
            <w:tcMar>
              <w:top w:w="80" w:type="dxa"/>
              <w:start w:w="120" w:type="dxa"/>
              <w:bottom w:w="80" w:type="dxa"/>
              <w:end w:w="120" w:type="dxa"/>
            </w:tcMar>
            <w:vAlign w:val="center"/>
            <w:shd w:fill="E7E6E6"/>
          </w:tcPr>
          <w:p>
            <w:pPr>
              <w:spacing w:before="0" w:after="0" w:line="276" w:lineRule="auto"/>
              <w:jc w:val="left"/>
            </w:pPr>
            <w:r>
              <w:rPr>
                <w:rFonts w:ascii="Liberation Serif" w:hAnsi="Liberation Serif" w:eastAsia="Times New Roman"/>
                <w:b/>
                <w:sz w:val="18"/>
              </w:rPr>
              <w:t>Method</w:t>
            </w:r>
          </w:p>
        </w:tc>
        <w:tc>
          <w:tcPr>
            <w:tcW w:type="dxa" w:w="1764"/>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Healthy training/reference</w:t>
            </w:r>
          </w:p>
        </w:tc>
        <w:tc>
          <w:tcPr>
            <w:tcW w:type="dxa" w:w="1367"/>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Threshold</w:t>
            </w:r>
          </w:p>
        </w:tc>
        <w:tc>
          <w:tcPr>
            <w:tcW w:type="dxa" w:w="1455"/>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Health FA</w:t>
            </w:r>
          </w:p>
        </w:tc>
        <w:tc>
          <w:tcPr>
            <w:tcW w:type="dxa" w:w="1194"/>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H1</w:t>
            </w:r>
          </w:p>
        </w:tc>
        <w:tc>
          <w:tcPr>
            <w:tcW w:type="dxa" w:w="1669"/>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Fault block detection</w:t>
            </w:r>
          </w:p>
        </w:tc>
      </w:tr>
      <w:tr>
        <w:trPr>
          <w:cantSplit/>
        </w:trPr>
        <w:tc>
          <w:tcPr>
            <w:tcW w:type="dxa" w:w="2011"/>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Target Ledoit-Wolf</w:t>
            </w:r>
          </w:p>
        </w:tc>
        <w:tc>
          <w:tcPr>
            <w:tcW w:type="dxa" w:w="176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target adaptation</w:t>
            </w:r>
          </w:p>
        </w:tc>
        <w:tc>
          <w:tcPr>
            <w:tcW w:type="dxa" w:w="1367"/>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183.887</w:t>
            </w:r>
          </w:p>
        </w:tc>
        <w:tc>
          <w:tcPr>
            <w:tcW w:type="dxa" w:w="1455"/>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1/32 (3.12%)</w:t>
            </w:r>
          </w:p>
        </w:tc>
        <w:tc>
          <w:tcPr>
            <w:tcW w:type="dxa" w:w="119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fail</w:t>
            </w:r>
          </w:p>
        </w:tc>
        <w:tc>
          <w:tcPr>
            <w:tcW w:type="dxa" w:w="166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141/384 (36.72%)</w:t>
            </w:r>
          </w:p>
        </w:tc>
      </w:tr>
      <w:tr>
        <w:trPr>
          <w:cantSplit/>
        </w:trPr>
        <w:tc>
          <w:tcPr>
            <w:tcW w:type="dxa" w:w="2011"/>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Target sample covariance</w:t>
            </w:r>
          </w:p>
        </w:tc>
        <w:tc>
          <w:tcPr>
            <w:tcW w:type="dxa" w:w="176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target adaptation</w:t>
            </w:r>
          </w:p>
        </w:tc>
        <w:tc>
          <w:tcPr>
            <w:tcW w:type="dxa" w:w="1367"/>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738.703</w:t>
            </w:r>
          </w:p>
        </w:tc>
        <w:tc>
          <w:tcPr>
            <w:tcW w:type="dxa" w:w="1455"/>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1/32 (3.12%)</w:t>
            </w:r>
          </w:p>
        </w:tc>
        <w:tc>
          <w:tcPr>
            <w:tcW w:type="dxa" w:w="119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fail</w:t>
            </w:r>
          </w:p>
        </w:tc>
        <w:tc>
          <w:tcPr>
            <w:tcW w:type="dxa" w:w="166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215/384 (55.99%)</w:t>
            </w:r>
          </w:p>
        </w:tc>
      </w:tr>
      <w:tr>
        <w:trPr>
          <w:cantSplit/>
        </w:trPr>
        <w:tc>
          <w:tcPr>
            <w:tcW w:type="dxa" w:w="2011"/>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Source covariance</w:t>
            </w:r>
          </w:p>
        </w:tc>
        <w:tc>
          <w:tcPr>
            <w:tcW w:type="dxa" w:w="176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source healthy</w:t>
            </w:r>
          </w:p>
        </w:tc>
        <w:tc>
          <w:tcPr>
            <w:tcW w:type="dxa" w:w="1367"/>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109212</w:t>
            </w:r>
          </w:p>
        </w:tc>
        <w:tc>
          <w:tcPr>
            <w:tcW w:type="dxa" w:w="1455"/>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1/32 (3.12%)</w:t>
            </w:r>
          </w:p>
        </w:tc>
        <w:tc>
          <w:tcPr>
            <w:tcW w:type="dxa" w:w="119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fail</w:t>
            </w:r>
          </w:p>
        </w:tc>
        <w:tc>
          <w:tcPr>
            <w:tcW w:type="dxa" w:w="166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49/384 (12.76%)</w:t>
            </w:r>
          </w:p>
        </w:tc>
      </w:tr>
      <w:tr>
        <w:trPr>
          <w:cantSplit/>
        </w:trPr>
        <w:tc>
          <w:tcPr>
            <w:tcW w:type="dxa" w:w="2011"/>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Entity-balanced covariance</w:t>
            </w:r>
          </w:p>
        </w:tc>
        <w:tc>
          <w:tcPr>
            <w:tcW w:type="dxa" w:w="176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source entities + target</w:t>
            </w:r>
          </w:p>
        </w:tc>
        <w:tc>
          <w:tcPr>
            <w:tcW w:type="dxa" w:w="1367"/>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1250.37</w:t>
            </w:r>
          </w:p>
        </w:tc>
        <w:tc>
          <w:tcPr>
            <w:tcW w:type="dxa" w:w="1455"/>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1/32 (3.12%)</w:t>
            </w:r>
          </w:p>
        </w:tc>
        <w:tc>
          <w:tcPr>
            <w:tcW w:type="dxa" w:w="119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fail</w:t>
            </w:r>
          </w:p>
        </w:tc>
        <w:tc>
          <w:tcPr>
            <w:tcW w:type="dxa" w:w="166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105/384 (27.34%)</w:t>
            </w:r>
          </w:p>
        </w:tc>
      </w:tr>
      <w:tr>
        <w:trPr>
          <w:cantSplit/>
        </w:trPr>
        <w:tc>
          <w:tcPr>
            <w:tcW w:type="dxa" w:w="2011"/>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Proposed: Log-Euclidean entity covariance</w:t>
            </w:r>
          </w:p>
        </w:tc>
        <w:tc>
          <w:tcPr>
            <w:tcW w:type="dxa" w:w="176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source entities + target</w:t>
            </w:r>
          </w:p>
        </w:tc>
        <w:tc>
          <w:tcPr>
            <w:tcW w:type="dxa" w:w="1367"/>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4983.29</w:t>
            </w:r>
          </w:p>
        </w:tc>
        <w:tc>
          <w:tcPr>
            <w:tcW w:type="dxa" w:w="1455"/>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1/32 (3.12%)</w:t>
            </w:r>
          </w:p>
        </w:tc>
        <w:tc>
          <w:tcPr>
            <w:tcW w:type="dxa" w:w="119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fail</w:t>
            </w:r>
          </w:p>
        </w:tc>
        <w:tc>
          <w:tcPr>
            <w:tcW w:type="dxa" w:w="166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96/384 (25.00%)</w:t>
            </w:r>
          </w:p>
        </w:tc>
      </w:tr>
      <w:tr>
        <w:trPr>
          <w:cantSplit/>
        </w:trPr>
        <w:tc>
          <w:tcPr>
            <w:tcW w:type="dxa" w:w="2011"/>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Target OC-SVM (RBF)</w:t>
            </w:r>
          </w:p>
        </w:tc>
        <w:tc>
          <w:tcPr>
            <w:tcW w:type="dxa" w:w="176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target adaptation</w:t>
            </w:r>
          </w:p>
        </w:tc>
        <w:tc>
          <w:tcPr>
            <w:tcW w:type="dxa" w:w="1367"/>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0.401736</w:t>
            </w:r>
          </w:p>
        </w:tc>
        <w:tc>
          <w:tcPr>
            <w:tcW w:type="dxa" w:w="1455"/>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1/32 (3.12%)</w:t>
            </w:r>
          </w:p>
        </w:tc>
        <w:tc>
          <w:tcPr>
            <w:tcW w:type="dxa" w:w="119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fail</w:t>
            </w:r>
          </w:p>
        </w:tc>
        <w:tc>
          <w:tcPr>
            <w:tcW w:type="dxa" w:w="166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49/384 (12.76%)</w:t>
            </w:r>
          </w:p>
        </w:tc>
      </w:tr>
      <w:tr>
        <w:trPr>
          <w:cantSplit/>
        </w:trPr>
        <w:tc>
          <w:tcPr>
            <w:tcW w:type="dxa" w:w="2011"/>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Source+target OC-SVM (RBF)</w:t>
            </w:r>
          </w:p>
        </w:tc>
        <w:tc>
          <w:tcPr>
            <w:tcW w:type="dxa" w:w="176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source-balanced + target</w:t>
            </w:r>
          </w:p>
        </w:tc>
        <w:tc>
          <w:tcPr>
            <w:tcW w:type="dxa" w:w="1367"/>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0.827663</w:t>
            </w:r>
          </w:p>
        </w:tc>
        <w:tc>
          <w:tcPr>
            <w:tcW w:type="dxa" w:w="1455"/>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1/32 (3.12%)</w:t>
            </w:r>
          </w:p>
        </w:tc>
        <w:tc>
          <w:tcPr>
            <w:tcW w:type="dxa" w:w="119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fail</w:t>
            </w:r>
          </w:p>
        </w:tc>
        <w:tc>
          <w:tcPr>
            <w:tcW w:type="dxa" w:w="166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49/384 (12.76%)</w:t>
            </w:r>
          </w:p>
        </w:tc>
      </w:tr>
      <w:tr>
        <w:trPr>
          <w:cantSplit/>
        </w:trPr>
        <w:tc>
          <w:tcPr>
            <w:tcW w:type="dxa" w:w="2011"/>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Target Isolation Forest</w:t>
            </w:r>
          </w:p>
        </w:tc>
        <w:tc>
          <w:tcPr>
            <w:tcW w:type="dxa" w:w="176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target adaptation</w:t>
            </w:r>
          </w:p>
        </w:tc>
        <w:tc>
          <w:tcPr>
            <w:tcW w:type="dxa" w:w="1367"/>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0.569218</w:t>
            </w:r>
          </w:p>
        </w:tc>
        <w:tc>
          <w:tcPr>
            <w:tcW w:type="dxa" w:w="1455"/>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3/32 (9.38%)</w:t>
            </w:r>
          </w:p>
        </w:tc>
        <w:tc>
          <w:tcPr>
            <w:tcW w:type="dxa" w:w="119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fail</w:t>
            </w:r>
          </w:p>
        </w:tc>
        <w:tc>
          <w:tcPr>
            <w:tcW w:type="dxa" w:w="166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230/384 (59.90%)</w:t>
            </w:r>
          </w:p>
        </w:tc>
      </w:tr>
      <w:tr>
        <w:trPr>
          <w:cantSplit/>
        </w:trPr>
        <w:tc>
          <w:tcPr>
            <w:tcW w:type="dxa" w:w="2011"/>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Source+target Isolation Forest</w:t>
            </w:r>
          </w:p>
        </w:tc>
        <w:tc>
          <w:tcPr>
            <w:tcW w:type="dxa" w:w="176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source-balanced + target</w:t>
            </w:r>
          </w:p>
        </w:tc>
        <w:tc>
          <w:tcPr>
            <w:tcW w:type="dxa" w:w="1367"/>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0.581677</w:t>
            </w:r>
          </w:p>
        </w:tc>
        <w:tc>
          <w:tcPr>
            <w:tcW w:type="dxa" w:w="1455"/>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2/32 (6.25%)</w:t>
            </w:r>
          </w:p>
        </w:tc>
        <w:tc>
          <w:tcPr>
            <w:tcW w:type="dxa" w:w="119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fail</w:t>
            </w:r>
          </w:p>
        </w:tc>
        <w:tc>
          <w:tcPr>
            <w:tcW w:type="dxa" w:w="166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194/384 (50.52%)</w:t>
            </w:r>
          </w:p>
        </w:tc>
      </w:tr>
      <w:tr>
        <w:trPr>
          <w:cantSplit/>
        </w:trPr>
        <w:tc>
          <w:tcPr>
            <w:tcW w:type="dxa" w:w="2011"/>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Target MinCovDet</w:t>
            </w:r>
          </w:p>
        </w:tc>
        <w:tc>
          <w:tcPr>
            <w:tcW w:type="dxa" w:w="176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target adaptation</w:t>
            </w:r>
          </w:p>
        </w:tc>
        <w:tc>
          <w:tcPr>
            <w:tcW w:type="dxa" w:w="1367"/>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1238.1</w:t>
            </w:r>
          </w:p>
        </w:tc>
        <w:tc>
          <w:tcPr>
            <w:tcW w:type="dxa" w:w="1455"/>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0/32 (0.00%)</w:t>
            </w:r>
          </w:p>
        </w:tc>
        <w:tc>
          <w:tcPr>
            <w:tcW w:type="dxa" w:w="119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pass</w:t>
            </w:r>
          </w:p>
        </w:tc>
        <w:tc>
          <w:tcPr>
            <w:tcW w:type="dxa" w:w="166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269/384 (70.05%)</w:t>
            </w:r>
          </w:p>
        </w:tc>
      </w:tr>
      <w:tr>
        <w:trPr>
          <w:cantSplit/>
        </w:trPr>
        <w:tc>
          <w:tcPr>
            <w:tcW w:type="dxa" w:w="2011"/>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Source+target MinCovDet</w:t>
            </w:r>
          </w:p>
        </w:tc>
        <w:tc>
          <w:tcPr>
            <w:tcW w:type="dxa" w:w="176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source-balanced + target</w:t>
            </w:r>
          </w:p>
        </w:tc>
        <w:tc>
          <w:tcPr>
            <w:tcW w:type="dxa" w:w="1367"/>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9802.52</w:t>
            </w:r>
          </w:p>
        </w:tc>
        <w:tc>
          <w:tcPr>
            <w:tcW w:type="dxa" w:w="1455"/>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1/32 (3.12%)</w:t>
            </w:r>
          </w:p>
        </w:tc>
        <w:tc>
          <w:tcPr>
            <w:tcW w:type="dxa" w:w="119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fail</w:t>
            </w:r>
          </w:p>
        </w:tc>
        <w:tc>
          <w:tcPr>
            <w:tcW w:type="dxa" w:w="166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116/384 (30.21%)</w:t>
            </w:r>
          </w:p>
        </w:tc>
      </w:tr>
    </w:tbl>
    <w:p>
      <w:pPr>
        <w:spacing w:after="40"/>
      </w:pPr>
    </w:p>
    <w:p>
      <w:pPr>
        <w:keepNext/>
      </w:pPr>
      <w:r>
        <w:rPr>
          <w:rFonts w:ascii="Liberation Serif" w:hAnsi="Liberation Serif" w:eastAsia="Times New Roman"/>
          <w:sz w:val="22"/>
        </w:rPr>
        <w:t>Table S2b. Complete frozen external comparison across 11 methods (column group 2 of 2; continued).</w:t>
      </w:r>
    </w:p>
    <w:tbl>
      <w:tblPr>
        <w:tblStyle w:val="TableGrid"/>
        <w:tblW w:type="dxa" w:w="9460"/>
        <w:jc w:val="left"/>
        <w:tblLook w:firstColumn="1" w:firstRow="1" w:lastColumn="0" w:lastRow="0" w:noHBand="0" w:noVBand="1" w:val="04A0"/>
        <w:tblLayout w:type="fixed"/>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955"/>
        <w:gridCol w:w="1646"/>
        <w:gridCol w:w="1852"/>
        <w:gridCol w:w="1521"/>
        <w:gridCol w:w="1242"/>
        <w:gridCol w:w="1244"/>
      </w:tblGrid>
      <w:tr>
        <w:trPr>
          <w:tblHeader w:val="true"/>
          <w:cantSplit/>
        </w:trPr>
        <w:tc>
          <w:tcPr>
            <w:tcW w:type="dxa" w:w="1955"/>
            <w:tcMar>
              <w:top w:w="80" w:type="dxa"/>
              <w:start w:w="120" w:type="dxa"/>
              <w:bottom w:w="80" w:type="dxa"/>
              <w:end w:w="120" w:type="dxa"/>
            </w:tcMar>
            <w:vAlign w:val="center"/>
            <w:shd w:fill="E7E6E6"/>
          </w:tcPr>
          <w:p>
            <w:pPr>
              <w:spacing w:before="0" w:after="0" w:line="276" w:lineRule="auto"/>
              <w:jc w:val="left"/>
            </w:pPr>
            <w:r>
              <w:rPr>
                <w:rFonts w:ascii="Liberation Serif" w:hAnsi="Liberation Serif" w:eastAsia="Times New Roman"/>
                <w:b/>
                <w:sz w:val="18"/>
              </w:rPr>
              <w:t>Method</w:t>
            </w:r>
          </w:p>
        </w:tc>
        <w:tc>
          <w:tcPr>
            <w:tcW w:type="dxa" w:w="1646"/>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Record-macro detection</w:t>
            </w:r>
          </w:p>
        </w:tc>
        <w:tc>
          <w:tcPr>
            <w:tcW w:type="dxa" w:w="1852"/>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Descriptive bootstrap interval (%)</w:t>
            </w:r>
          </w:p>
        </w:tc>
        <w:tc>
          <w:tcPr>
            <w:tcW w:type="dxa" w:w="1521"/>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Record any-alarm</w:t>
            </w:r>
          </w:p>
        </w:tc>
        <w:tc>
          <w:tcPr>
            <w:tcW w:type="dxa" w:w="1242"/>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AUROC</w:t>
            </w:r>
          </w:p>
        </w:tc>
        <w:tc>
          <w:tcPr>
            <w:tcW w:type="dxa" w:w="1244"/>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AUPRC</w:t>
            </w:r>
          </w:p>
        </w:tc>
      </w:tr>
      <w:tr>
        <w:trPr>
          <w:cantSplit/>
        </w:trPr>
        <w:tc>
          <w:tcPr>
            <w:tcW w:type="dxa" w:w="1955"/>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Target Ledoit-Wolf</w:t>
            </w:r>
          </w:p>
        </w:tc>
        <w:tc>
          <w:tcPr>
            <w:tcW w:type="dxa" w:w="164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36.72%</w:t>
            </w:r>
          </w:p>
        </w:tc>
        <w:tc>
          <w:tcPr>
            <w:tcW w:type="dxa" w:w="185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[32.55, 41.41]</w:t>
            </w:r>
          </w:p>
        </w:tc>
        <w:tc>
          <w:tcPr>
            <w:tcW w:type="dxa" w:w="1521"/>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100.00%</w:t>
            </w:r>
          </w:p>
        </w:tc>
        <w:tc>
          <w:tcPr>
            <w:tcW w:type="dxa" w:w="124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0.7675</w:t>
            </w:r>
          </w:p>
        </w:tc>
        <w:tc>
          <w:tcPr>
            <w:tcW w:type="dxa" w:w="124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0.9747</w:t>
            </w:r>
          </w:p>
        </w:tc>
      </w:tr>
      <w:tr>
        <w:trPr>
          <w:cantSplit/>
        </w:trPr>
        <w:tc>
          <w:tcPr>
            <w:tcW w:type="dxa" w:w="1955"/>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Target sample covariance</w:t>
            </w:r>
          </w:p>
        </w:tc>
        <w:tc>
          <w:tcPr>
            <w:tcW w:type="dxa" w:w="164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55.99%</w:t>
            </w:r>
          </w:p>
        </w:tc>
        <w:tc>
          <w:tcPr>
            <w:tcW w:type="dxa" w:w="185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[51.04, 61.46]</w:t>
            </w:r>
          </w:p>
        </w:tc>
        <w:tc>
          <w:tcPr>
            <w:tcW w:type="dxa" w:w="1521"/>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100.00%</w:t>
            </w:r>
          </w:p>
        </w:tc>
        <w:tc>
          <w:tcPr>
            <w:tcW w:type="dxa" w:w="124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0.8757</w:t>
            </w:r>
          </w:p>
        </w:tc>
        <w:tc>
          <w:tcPr>
            <w:tcW w:type="dxa" w:w="124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0.9883</w:t>
            </w:r>
          </w:p>
        </w:tc>
      </w:tr>
      <w:tr>
        <w:trPr>
          <w:cantSplit/>
        </w:trPr>
        <w:tc>
          <w:tcPr>
            <w:tcW w:type="dxa" w:w="1955"/>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Source covariance</w:t>
            </w:r>
          </w:p>
        </w:tc>
        <w:tc>
          <w:tcPr>
            <w:tcW w:type="dxa" w:w="164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12.76%</w:t>
            </w:r>
          </w:p>
        </w:tc>
        <w:tc>
          <w:tcPr>
            <w:tcW w:type="dxa" w:w="185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[12.50, 13.28]</w:t>
            </w:r>
          </w:p>
        </w:tc>
        <w:tc>
          <w:tcPr>
            <w:tcW w:type="dxa" w:w="1521"/>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100.00%</w:t>
            </w:r>
          </w:p>
        </w:tc>
        <w:tc>
          <w:tcPr>
            <w:tcW w:type="dxa" w:w="124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0.5747</w:t>
            </w:r>
          </w:p>
        </w:tc>
        <w:tc>
          <w:tcPr>
            <w:tcW w:type="dxa" w:w="124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0.9435</w:t>
            </w:r>
          </w:p>
        </w:tc>
      </w:tr>
      <w:tr>
        <w:trPr>
          <w:cantSplit/>
        </w:trPr>
        <w:tc>
          <w:tcPr>
            <w:tcW w:type="dxa" w:w="1955"/>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Entity-balanced covariance</w:t>
            </w:r>
          </w:p>
        </w:tc>
        <w:tc>
          <w:tcPr>
            <w:tcW w:type="dxa" w:w="164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27.34%</w:t>
            </w:r>
          </w:p>
        </w:tc>
        <w:tc>
          <w:tcPr>
            <w:tcW w:type="dxa" w:w="185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[23.18, 32.03]</w:t>
            </w:r>
          </w:p>
        </w:tc>
        <w:tc>
          <w:tcPr>
            <w:tcW w:type="dxa" w:w="1521"/>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100.00%</w:t>
            </w:r>
          </w:p>
        </w:tc>
        <w:tc>
          <w:tcPr>
            <w:tcW w:type="dxa" w:w="124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0.6972</w:t>
            </w:r>
          </w:p>
        </w:tc>
        <w:tc>
          <w:tcPr>
            <w:tcW w:type="dxa" w:w="124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0.9648</w:t>
            </w:r>
          </w:p>
        </w:tc>
      </w:tr>
      <w:tr>
        <w:trPr>
          <w:cantSplit/>
        </w:trPr>
        <w:tc>
          <w:tcPr>
            <w:tcW w:type="dxa" w:w="1955"/>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Proposed: Log-Euclidean entity covariance</w:t>
            </w:r>
          </w:p>
        </w:tc>
        <w:tc>
          <w:tcPr>
            <w:tcW w:type="dxa" w:w="164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25.00%</w:t>
            </w:r>
          </w:p>
        </w:tc>
        <w:tc>
          <w:tcPr>
            <w:tcW w:type="dxa" w:w="185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[21.09, 29.43]</w:t>
            </w:r>
          </w:p>
        </w:tc>
        <w:tc>
          <w:tcPr>
            <w:tcW w:type="dxa" w:w="1521"/>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100.00%</w:t>
            </w:r>
          </w:p>
        </w:tc>
        <w:tc>
          <w:tcPr>
            <w:tcW w:type="dxa" w:w="124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0.6354</w:t>
            </w:r>
          </w:p>
        </w:tc>
        <w:tc>
          <w:tcPr>
            <w:tcW w:type="dxa" w:w="124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0.9583</w:t>
            </w:r>
          </w:p>
        </w:tc>
      </w:tr>
      <w:tr>
        <w:trPr>
          <w:cantSplit/>
        </w:trPr>
        <w:tc>
          <w:tcPr>
            <w:tcW w:type="dxa" w:w="1955"/>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Target OC-SVM (RBF)</w:t>
            </w:r>
          </w:p>
        </w:tc>
        <w:tc>
          <w:tcPr>
            <w:tcW w:type="dxa" w:w="164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12.76%</w:t>
            </w:r>
          </w:p>
        </w:tc>
        <w:tc>
          <w:tcPr>
            <w:tcW w:type="dxa" w:w="185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[10.68, 15.36]</w:t>
            </w:r>
          </w:p>
        </w:tc>
        <w:tc>
          <w:tcPr>
            <w:tcW w:type="dxa" w:w="1521"/>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87.50%</w:t>
            </w:r>
          </w:p>
        </w:tc>
        <w:tc>
          <w:tcPr>
            <w:tcW w:type="dxa" w:w="124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0.7209</w:t>
            </w:r>
          </w:p>
        </w:tc>
        <w:tc>
          <w:tcPr>
            <w:tcW w:type="dxa" w:w="124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0.9622</w:t>
            </w:r>
          </w:p>
        </w:tc>
      </w:tr>
      <w:tr>
        <w:trPr>
          <w:cantSplit/>
        </w:trPr>
        <w:tc>
          <w:tcPr>
            <w:tcW w:type="dxa" w:w="1955"/>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Source+target OC-SVM (RBF)</w:t>
            </w:r>
          </w:p>
        </w:tc>
        <w:tc>
          <w:tcPr>
            <w:tcW w:type="dxa" w:w="164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12.76%</w:t>
            </w:r>
          </w:p>
        </w:tc>
        <w:tc>
          <w:tcPr>
            <w:tcW w:type="dxa" w:w="185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[11.20, 14.58]</w:t>
            </w:r>
          </w:p>
        </w:tc>
        <w:tc>
          <w:tcPr>
            <w:tcW w:type="dxa" w:w="1521"/>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91.67%</w:t>
            </w:r>
          </w:p>
        </w:tc>
        <w:tc>
          <w:tcPr>
            <w:tcW w:type="dxa" w:w="124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0.6876</w:t>
            </w:r>
          </w:p>
        </w:tc>
        <w:tc>
          <w:tcPr>
            <w:tcW w:type="dxa" w:w="124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0.9558</w:t>
            </w:r>
          </w:p>
        </w:tc>
      </w:tr>
      <w:tr>
        <w:trPr>
          <w:cantSplit/>
        </w:trPr>
        <w:tc>
          <w:tcPr>
            <w:tcW w:type="dxa" w:w="1955"/>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Target Isolation Forest</w:t>
            </w:r>
          </w:p>
        </w:tc>
        <w:tc>
          <w:tcPr>
            <w:tcW w:type="dxa" w:w="164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59.90%</w:t>
            </w:r>
          </w:p>
        </w:tc>
        <w:tc>
          <w:tcPr>
            <w:tcW w:type="dxa" w:w="185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[57.29, 62.76]</w:t>
            </w:r>
          </w:p>
        </w:tc>
        <w:tc>
          <w:tcPr>
            <w:tcW w:type="dxa" w:w="1521"/>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100.00%</w:t>
            </w:r>
          </w:p>
        </w:tc>
        <w:tc>
          <w:tcPr>
            <w:tcW w:type="dxa" w:w="124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0.8670</w:t>
            </w:r>
          </w:p>
        </w:tc>
        <w:tc>
          <w:tcPr>
            <w:tcW w:type="dxa" w:w="124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0.9876</w:t>
            </w:r>
          </w:p>
        </w:tc>
      </w:tr>
      <w:tr>
        <w:trPr>
          <w:cantSplit/>
        </w:trPr>
        <w:tc>
          <w:tcPr>
            <w:tcW w:type="dxa" w:w="1955"/>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Source+target Isolation Forest</w:t>
            </w:r>
          </w:p>
        </w:tc>
        <w:tc>
          <w:tcPr>
            <w:tcW w:type="dxa" w:w="164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50.52%</w:t>
            </w:r>
          </w:p>
        </w:tc>
        <w:tc>
          <w:tcPr>
            <w:tcW w:type="dxa" w:w="185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[47.92, 53.12]</w:t>
            </w:r>
          </w:p>
        </w:tc>
        <w:tc>
          <w:tcPr>
            <w:tcW w:type="dxa" w:w="1521"/>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100.00%</w:t>
            </w:r>
          </w:p>
        </w:tc>
        <w:tc>
          <w:tcPr>
            <w:tcW w:type="dxa" w:w="124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0.8245</w:t>
            </w:r>
          </w:p>
        </w:tc>
        <w:tc>
          <w:tcPr>
            <w:tcW w:type="dxa" w:w="124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0.9833</w:t>
            </w:r>
          </w:p>
        </w:tc>
      </w:tr>
      <w:tr>
        <w:trPr>
          <w:cantSplit/>
        </w:trPr>
        <w:tc>
          <w:tcPr>
            <w:tcW w:type="dxa" w:w="1955"/>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Target MinCovDet</w:t>
            </w:r>
          </w:p>
        </w:tc>
        <w:tc>
          <w:tcPr>
            <w:tcW w:type="dxa" w:w="164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70.05%</w:t>
            </w:r>
          </w:p>
        </w:tc>
        <w:tc>
          <w:tcPr>
            <w:tcW w:type="dxa" w:w="185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[65.36, 75.26]</w:t>
            </w:r>
          </w:p>
        </w:tc>
        <w:tc>
          <w:tcPr>
            <w:tcW w:type="dxa" w:w="1521"/>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100.00%</w:t>
            </w:r>
          </w:p>
        </w:tc>
        <w:tc>
          <w:tcPr>
            <w:tcW w:type="dxa" w:w="124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0.9268</w:t>
            </w:r>
          </w:p>
        </w:tc>
        <w:tc>
          <w:tcPr>
            <w:tcW w:type="dxa" w:w="124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0.9934</w:t>
            </w:r>
          </w:p>
        </w:tc>
      </w:tr>
      <w:tr>
        <w:trPr>
          <w:cantSplit/>
        </w:trPr>
        <w:tc>
          <w:tcPr>
            <w:tcW w:type="dxa" w:w="1955"/>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Source+target MinCovDet</w:t>
            </w:r>
          </w:p>
        </w:tc>
        <w:tc>
          <w:tcPr>
            <w:tcW w:type="dxa" w:w="164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30.21%</w:t>
            </w:r>
          </w:p>
        </w:tc>
        <w:tc>
          <w:tcPr>
            <w:tcW w:type="dxa" w:w="185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[26.04, 34.90]</w:t>
            </w:r>
          </w:p>
        </w:tc>
        <w:tc>
          <w:tcPr>
            <w:tcW w:type="dxa" w:w="1521"/>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100.00%</w:t>
            </w:r>
          </w:p>
        </w:tc>
        <w:tc>
          <w:tcPr>
            <w:tcW w:type="dxa" w:w="124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0.7013</w:t>
            </w:r>
          </w:p>
        </w:tc>
        <w:tc>
          <w:tcPr>
            <w:tcW w:type="dxa" w:w="124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0.9666</w:t>
            </w:r>
          </w:p>
        </w:tc>
      </w:tr>
    </w:tbl>
    <w:p>
      <w:pPr>
        <w:spacing w:after="40"/>
      </w:pPr>
    </w:p>
    <w:p>
      <w:r>
        <w:rPr>
          <w:rFonts w:ascii="Liberation Serif" w:hAnsi="Liberation Serif" w:eastAsia="Times New Roman"/>
          <w:sz w:val="22"/>
        </w:rPr>
        <w:t>H1 requires both a descriptive Wilson upper bound no greater than 0.12 and a maximum held-out-load false-alarm rate no greater than 0.15. The record-bootstrap interval resamples complete fault records within the six fault-turn strata (10,000 draws, seed 711). Because every fault record has eight blocks, block-weighted and record-macro detection coincide here. The 2.5th-97.5th bootstrap percentiles are descriptive record-weighting sensitivities conditional on the observed single motor; population coverage has not been established.</w:t>
      </w:r>
    </w:p>
    <w:p>
      <w:pPr>
        <w:pStyle w:val="Heading1"/>
      </w:pPr>
      <w:r>
        <w:t>S3. Conditional paired comparisons and source-transfer contrasts</w:t>
      </w:r>
    </w:p>
    <w:p>
      <w:pPr>
        <w:pStyle w:val="Heading2"/>
      </w:pPr>
      <w:r>
        <w:t>S3.1. Every frozen candidate versus Proposed</w:t>
      </w:r>
    </w:p>
    <w:p>
      <w:r>
        <w:rPr>
          <w:rFonts w:ascii="Liberation Serif" w:hAnsi="Liberation Serif" w:eastAsia="Times New Roman"/>
          <w:sz w:val="22"/>
        </w:rPr>
        <w:t>The following two column groups share the first-column identifiers and preserve every original row, value, and row order. Read corresponding rows together; splitting is a layout change only.</w:t>
      </w:r>
    </w:p>
    <w:p>
      <w:pPr>
        <w:keepNext/>
      </w:pPr>
      <w:r>
        <w:rPr>
          <w:rFonts w:ascii="Liberation Serif" w:hAnsi="Liberation Serif" w:eastAsia="Times New Roman"/>
          <w:sz w:val="22"/>
        </w:rPr>
        <w:t>Table S3.1a. Every frozen candidate versus Proposed (column group 1 of 2).</w:t>
      </w:r>
    </w:p>
    <w:tbl>
      <w:tblPr>
        <w:tblStyle w:val="TableGrid"/>
        <w:tblW w:type="dxa" w:w="9460"/>
        <w:jc w:val="left"/>
        <w:tblLook w:firstColumn="1" w:firstRow="1" w:lastColumn="0" w:lastRow="0" w:noHBand="0" w:noVBand="1" w:val="04A0"/>
        <w:tblLayout w:type="fixed"/>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727"/>
        <w:gridCol w:w="1537"/>
        <w:gridCol w:w="1518"/>
        <w:gridCol w:w="1557"/>
        <w:gridCol w:w="1757"/>
        <w:gridCol w:w="1364"/>
      </w:tblGrid>
      <w:tr>
        <w:trPr>
          <w:tblHeader w:val="true"/>
          <w:cantSplit/>
        </w:trPr>
        <w:tc>
          <w:tcPr>
            <w:tcW w:type="dxa" w:w="1727"/>
            <w:tcMar>
              <w:top w:w="80" w:type="dxa"/>
              <w:start w:w="120" w:type="dxa"/>
              <w:bottom w:w="80" w:type="dxa"/>
              <w:end w:w="120" w:type="dxa"/>
            </w:tcMar>
            <w:vAlign w:val="center"/>
            <w:shd w:fill="E7E6E6"/>
          </w:tcPr>
          <w:p>
            <w:pPr>
              <w:spacing w:before="0" w:after="0" w:line="276" w:lineRule="auto"/>
              <w:jc w:val="left"/>
            </w:pPr>
            <w:r>
              <w:rPr>
                <w:rFonts w:ascii="Liberation Serif" w:hAnsi="Liberation Serif" w:eastAsia="Times New Roman"/>
                <w:b/>
                <w:sz w:val="18"/>
              </w:rPr>
              <w:t>Candidate</w:t>
            </w:r>
          </w:p>
        </w:tc>
        <w:tc>
          <w:tcPr>
            <w:tcW w:type="dxa" w:w="1537"/>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Candidate detection</w:t>
            </w:r>
          </w:p>
        </w:tc>
        <w:tc>
          <w:tcPr>
            <w:tcW w:type="dxa" w:w="1518"/>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Proposed detection</w:t>
            </w:r>
          </w:p>
        </w:tc>
        <w:tc>
          <w:tcPr>
            <w:tcW w:type="dxa" w:w="1557"/>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Candidate - Proposed</w:t>
            </w:r>
          </w:p>
        </w:tc>
        <w:tc>
          <w:tcPr>
            <w:tcW w:type="dxa" w:w="1757"/>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Descriptive paired interval (pp)</w:t>
            </w:r>
          </w:p>
        </w:tc>
        <w:tc>
          <w:tcPr>
            <w:tcW w:type="dxa" w:w="1364"/>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Bootstrap p</w:t>
            </w:r>
          </w:p>
        </w:tc>
      </w:tr>
      <w:tr>
        <w:trPr>
          <w:cantSplit/>
        </w:trPr>
        <w:tc>
          <w:tcPr>
            <w:tcW w:type="dxa" w:w="1727"/>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Target MinCovDet</w:t>
            </w:r>
          </w:p>
        </w:tc>
        <w:tc>
          <w:tcPr>
            <w:tcW w:type="dxa" w:w="1537"/>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70.05%</w:t>
            </w:r>
          </w:p>
        </w:tc>
        <w:tc>
          <w:tcPr>
            <w:tcW w:type="dxa" w:w="151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25.00%</w:t>
            </w:r>
          </w:p>
        </w:tc>
        <w:tc>
          <w:tcPr>
            <w:tcW w:type="dxa" w:w="1557"/>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+45.05 pp</w:t>
            </w:r>
          </w:p>
        </w:tc>
        <w:tc>
          <w:tcPr>
            <w:tcW w:type="dxa" w:w="1757"/>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[+40.62, +49.48]</w:t>
            </w:r>
          </w:p>
        </w:tc>
        <w:tc>
          <w:tcPr>
            <w:tcW w:type="dxa" w:w="136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0.0001</w:t>
            </w:r>
          </w:p>
        </w:tc>
      </w:tr>
      <w:tr>
        <w:trPr>
          <w:cantSplit/>
        </w:trPr>
        <w:tc>
          <w:tcPr>
            <w:tcW w:type="dxa" w:w="1727"/>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Target Isolation Forest</w:t>
            </w:r>
          </w:p>
        </w:tc>
        <w:tc>
          <w:tcPr>
            <w:tcW w:type="dxa" w:w="1537"/>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59.90%</w:t>
            </w:r>
          </w:p>
        </w:tc>
        <w:tc>
          <w:tcPr>
            <w:tcW w:type="dxa" w:w="151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25.00%</w:t>
            </w:r>
          </w:p>
        </w:tc>
        <w:tc>
          <w:tcPr>
            <w:tcW w:type="dxa" w:w="1557"/>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+34.90 pp</w:t>
            </w:r>
          </w:p>
        </w:tc>
        <w:tc>
          <w:tcPr>
            <w:tcW w:type="dxa" w:w="1757"/>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[+31.77, +38.02]</w:t>
            </w:r>
          </w:p>
        </w:tc>
        <w:tc>
          <w:tcPr>
            <w:tcW w:type="dxa" w:w="136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0.0001</w:t>
            </w:r>
          </w:p>
        </w:tc>
      </w:tr>
      <w:tr>
        <w:trPr>
          <w:cantSplit/>
        </w:trPr>
        <w:tc>
          <w:tcPr>
            <w:tcW w:type="dxa" w:w="1727"/>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Target sample covariance</w:t>
            </w:r>
          </w:p>
        </w:tc>
        <w:tc>
          <w:tcPr>
            <w:tcW w:type="dxa" w:w="1537"/>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55.99%</w:t>
            </w:r>
          </w:p>
        </w:tc>
        <w:tc>
          <w:tcPr>
            <w:tcW w:type="dxa" w:w="151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25.00%</w:t>
            </w:r>
          </w:p>
        </w:tc>
        <w:tc>
          <w:tcPr>
            <w:tcW w:type="dxa" w:w="1557"/>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+30.99 pp</w:t>
            </w:r>
          </w:p>
        </w:tc>
        <w:tc>
          <w:tcPr>
            <w:tcW w:type="dxa" w:w="1757"/>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[+28.12, +34.38]</w:t>
            </w:r>
          </w:p>
        </w:tc>
        <w:tc>
          <w:tcPr>
            <w:tcW w:type="dxa" w:w="136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0.0001</w:t>
            </w:r>
          </w:p>
        </w:tc>
      </w:tr>
      <w:tr>
        <w:trPr>
          <w:cantSplit/>
        </w:trPr>
        <w:tc>
          <w:tcPr>
            <w:tcW w:type="dxa" w:w="1727"/>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Source+target Isolation Forest</w:t>
            </w:r>
          </w:p>
        </w:tc>
        <w:tc>
          <w:tcPr>
            <w:tcW w:type="dxa" w:w="1537"/>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50.52%</w:t>
            </w:r>
          </w:p>
        </w:tc>
        <w:tc>
          <w:tcPr>
            <w:tcW w:type="dxa" w:w="151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25.00%</w:t>
            </w:r>
          </w:p>
        </w:tc>
        <w:tc>
          <w:tcPr>
            <w:tcW w:type="dxa" w:w="1557"/>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+25.52 pp</w:t>
            </w:r>
          </w:p>
        </w:tc>
        <w:tc>
          <w:tcPr>
            <w:tcW w:type="dxa" w:w="1757"/>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[+21.88, +28.91]</w:t>
            </w:r>
          </w:p>
        </w:tc>
        <w:tc>
          <w:tcPr>
            <w:tcW w:type="dxa" w:w="136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0.0001</w:t>
            </w:r>
          </w:p>
        </w:tc>
      </w:tr>
      <w:tr>
        <w:trPr>
          <w:cantSplit/>
        </w:trPr>
        <w:tc>
          <w:tcPr>
            <w:tcW w:type="dxa" w:w="1727"/>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Target Ledoit-Wolf</w:t>
            </w:r>
          </w:p>
        </w:tc>
        <w:tc>
          <w:tcPr>
            <w:tcW w:type="dxa" w:w="1537"/>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36.72%</w:t>
            </w:r>
          </w:p>
        </w:tc>
        <w:tc>
          <w:tcPr>
            <w:tcW w:type="dxa" w:w="151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25.00%</w:t>
            </w:r>
          </w:p>
        </w:tc>
        <w:tc>
          <w:tcPr>
            <w:tcW w:type="dxa" w:w="1557"/>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+11.72 pp</w:t>
            </w:r>
          </w:p>
        </w:tc>
        <w:tc>
          <w:tcPr>
            <w:tcW w:type="dxa" w:w="1757"/>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[+9.90, +13.54]</w:t>
            </w:r>
          </w:p>
        </w:tc>
        <w:tc>
          <w:tcPr>
            <w:tcW w:type="dxa" w:w="136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0.0001</w:t>
            </w:r>
          </w:p>
        </w:tc>
      </w:tr>
      <w:tr>
        <w:trPr>
          <w:cantSplit/>
        </w:trPr>
        <w:tc>
          <w:tcPr>
            <w:tcW w:type="dxa" w:w="1727"/>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Source+target MinCovDet</w:t>
            </w:r>
          </w:p>
        </w:tc>
        <w:tc>
          <w:tcPr>
            <w:tcW w:type="dxa" w:w="1537"/>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30.21%</w:t>
            </w:r>
          </w:p>
        </w:tc>
        <w:tc>
          <w:tcPr>
            <w:tcW w:type="dxa" w:w="151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25.00%</w:t>
            </w:r>
          </w:p>
        </w:tc>
        <w:tc>
          <w:tcPr>
            <w:tcW w:type="dxa" w:w="1557"/>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+5.21 pp</w:t>
            </w:r>
          </w:p>
        </w:tc>
        <w:tc>
          <w:tcPr>
            <w:tcW w:type="dxa" w:w="1757"/>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[+3.91, +6.51]</w:t>
            </w:r>
          </w:p>
        </w:tc>
        <w:tc>
          <w:tcPr>
            <w:tcW w:type="dxa" w:w="136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0.0001</w:t>
            </w:r>
          </w:p>
        </w:tc>
      </w:tr>
      <w:tr>
        <w:trPr>
          <w:cantSplit/>
        </w:trPr>
        <w:tc>
          <w:tcPr>
            <w:tcW w:type="dxa" w:w="1727"/>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Entity-balanced covariance</w:t>
            </w:r>
          </w:p>
        </w:tc>
        <w:tc>
          <w:tcPr>
            <w:tcW w:type="dxa" w:w="1537"/>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27.34%</w:t>
            </w:r>
          </w:p>
        </w:tc>
        <w:tc>
          <w:tcPr>
            <w:tcW w:type="dxa" w:w="151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25.00%</w:t>
            </w:r>
          </w:p>
        </w:tc>
        <w:tc>
          <w:tcPr>
            <w:tcW w:type="dxa" w:w="1557"/>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+2.34 pp</w:t>
            </w:r>
          </w:p>
        </w:tc>
        <w:tc>
          <w:tcPr>
            <w:tcW w:type="dxa" w:w="1757"/>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[+1.04, +3.65]</w:t>
            </w:r>
          </w:p>
        </w:tc>
        <w:tc>
          <w:tcPr>
            <w:tcW w:type="dxa" w:w="136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0.0001</w:t>
            </w:r>
          </w:p>
        </w:tc>
      </w:tr>
      <w:tr>
        <w:trPr>
          <w:cantSplit/>
        </w:trPr>
        <w:tc>
          <w:tcPr>
            <w:tcW w:type="dxa" w:w="1727"/>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Source+target OC-SVM (RBF)</w:t>
            </w:r>
          </w:p>
        </w:tc>
        <w:tc>
          <w:tcPr>
            <w:tcW w:type="dxa" w:w="1537"/>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12.76%</w:t>
            </w:r>
          </w:p>
        </w:tc>
        <w:tc>
          <w:tcPr>
            <w:tcW w:type="dxa" w:w="151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25.00%</w:t>
            </w:r>
          </w:p>
        </w:tc>
        <w:tc>
          <w:tcPr>
            <w:tcW w:type="dxa" w:w="1557"/>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-12.24 pp</w:t>
            </w:r>
          </w:p>
        </w:tc>
        <w:tc>
          <w:tcPr>
            <w:tcW w:type="dxa" w:w="1757"/>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[-16.15, -8.59]</w:t>
            </w:r>
          </w:p>
        </w:tc>
        <w:tc>
          <w:tcPr>
            <w:tcW w:type="dxa" w:w="136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0.0001</w:t>
            </w:r>
          </w:p>
        </w:tc>
      </w:tr>
      <w:tr>
        <w:trPr>
          <w:cantSplit/>
        </w:trPr>
        <w:tc>
          <w:tcPr>
            <w:tcW w:type="dxa" w:w="1727"/>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Source covariance</w:t>
            </w:r>
          </w:p>
        </w:tc>
        <w:tc>
          <w:tcPr>
            <w:tcW w:type="dxa" w:w="1537"/>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12.76%</w:t>
            </w:r>
          </w:p>
        </w:tc>
        <w:tc>
          <w:tcPr>
            <w:tcW w:type="dxa" w:w="151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25.00%</w:t>
            </w:r>
          </w:p>
        </w:tc>
        <w:tc>
          <w:tcPr>
            <w:tcW w:type="dxa" w:w="1557"/>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-12.24 pp</w:t>
            </w:r>
          </w:p>
        </w:tc>
        <w:tc>
          <w:tcPr>
            <w:tcW w:type="dxa" w:w="1757"/>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[-16.41, -8.33]</w:t>
            </w:r>
          </w:p>
        </w:tc>
        <w:tc>
          <w:tcPr>
            <w:tcW w:type="dxa" w:w="136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0.0001</w:t>
            </w:r>
          </w:p>
        </w:tc>
      </w:tr>
      <w:tr>
        <w:trPr>
          <w:cantSplit/>
        </w:trPr>
        <w:tc>
          <w:tcPr>
            <w:tcW w:type="dxa" w:w="1727"/>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Target OC-SVM (RBF)</w:t>
            </w:r>
          </w:p>
        </w:tc>
        <w:tc>
          <w:tcPr>
            <w:tcW w:type="dxa" w:w="1537"/>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12.76%</w:t>
            </w:r>
          </w:p>
        </w:tc>
        <w:tc>
          <w:tcPr>
            <w:tcW w:type="dxa" w:w="151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25.00%</w:t>
            </w:r>
          </w:p>
        </w:tc>
        <w:tc>
          <w:tcPr>
            <w:tcW w:type="dxa" w:w="1557"/>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-12.24 pp</w:t>
            </w:r>
          </w:p>
        </w:tc>
        <w:tc>
          <w:tcPr>
            <w:tcW w:type="dxa" w:w="1757"/>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[-16.41, -8.59]</w:t>
            </w:r>
          </w:p>
        </w:tc>
        <w:tc>
          <w:tcPr>
            <w:tcW w:type="dxa" w:w="136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0.0001</w:t>
            </w:r>
          </w:p>
        </w:tc>
      </w:tr>
    </w:tbl>
    <w:p>
      <w:pPr>
        <w:spacing w:after="40"/>
      </w:pPr>
    </w:p>
    <w:p>
      <w:pPr>
        <w:keepNext/>
      </w:pPr>
      <w:r>
        <w:rPr>
          <w:rFonts w:ascii="Liberation Serif" w:hAnsi="Liberation Serif" w:eastAsia="Times New Roman"/>
          <w:sz w:val="22"/>
        </w:rPr>
        <w:t>Table S3.1b. Every frozen candidate versus Proposed (column group 2 of 2; continued).</w:t>
      </w:r>
    </w:p>
    <w:tbl>
      <w:tblPr>
        <w:tblStyle w:val="TableGrid"/>
        <w:tblW w:type="dxa" w:w="9460"/>
        <w:jc w:val="left"/>
        <w:tblLook w:firstColumn="1" w:firstRow="1" w:lastColumn="0" w:lastRow="0" w:noHBand="0" w:noVBand="1" w:val="04A0"/>
        <w:tblLayout w:type="fixed"/>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2582"/>
        <w:gridCol w:w="1597"/>
        <w:gridCol w:w="2697"/>
        <w:gridCol w:w="2584"/>
      </w:tblGrid>
      <w:tr>
        <w:trPr>
          <w:tblHeader w:val="true"/>
          <w:cantSplit/>
        </w:trPr>
        <w:tc>
          <w:tcPr>
            <w:tcW w:type="dxa" w:w="2582"/>
            <w:tcMar>
              <w:top w:w="80" w:type="dxa"/>
              <w:start w:w="120" w:type="dxa"/>
              <w:bottom w:w="80" w:type="dxa"/>
              <w:end w:w="120" w:type="dxa"/>
            </w:tcMar>
            <w:vAlign w:val="center"/>
            <w:shd w:fill="E7E6E6"/>
          </w:tcPr>
          <w:p>
            <w:pPr>
              <w:spacing w:before="0" w:after="0" w:line="276" w:lineRule="auto"/>
              <w:jc w:val="left"/>
            </w:pPr>
            <w:r>
              <w:rPr>
                <w:rFonts w:ascii="Liberation Serif" w:hAnsi="Liberation Serif" w:eastAsia="Times New Roman"/>
                <w:b/>
                <w:sz w:val="18"/>
              </w:rPr>
              <w:t>Candidate</w:t>
            </w:r>
          </w:p>
        </w:tc>
        <w:tc>
          <w:tcPr>
            <w:tcW w:type="dxa" w:w="1597"/>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Holm p</w:t>
            </w:r>
          </w:p>
        </w:tc>
        <w:tc>
          <w:tcPr>
            <w:tcW w:type="dxa" w:w="2697"/>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Candidate / tie / Proposed records</w:t>
            </w:r>
          </w:p>
        </w:tc>
        <w:tc>
          <w:tcPr>
            <w:tcW w:type="dxa" w:w="2584"/>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Candidate / Proposed health FA</w:t>
            </w:r>
          </w:p>
        </w:tc>
      </w:tr>
      <w:tr>
        <w:trPr>
          <w:cantSplit/>
        </w:trPr>
        <w:tc>
          <w:tcPr>
            <w:tcW w:type="dxa" w:w="2582"/>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Target MinCovDet</w:t>
            </w:r>
          </w:p>
        </w:tc>
        <w:tc>
          <w:tcPr>
            <w:tcW w:type="dxa" w:w="1597"/>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0.0010</w:t>
            </w:r>
          </w:p>
        </w:tc>
        <w:tc>
          <w:tcPr>
            <w:tcW w:type="dxa" w:w="2697"/>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43 / 5 / 0</w:t>
            </w:r>
          </w:p>
        </w:tc>
        <w:tc>
          <w:tcPr>
            <w:tcW w:type="dxa" w:w="258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 / 1</w:t>
            </w:r>
          </w:p>
        </w:tc>
      </w:tr>
      <w:tr>
        <w:trPr>
          <w:cantSplit/>
        </w:trPr>
        <w:tc>
          <w:tcPr>
            <w:tcW w:type="dxa" w:w="2582"/>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Target Isolation Forest</w:t>
            </w:r>
          </w:p>
        </w:tc>
        <w:tc>
          <w:tcPr>
            <w:tcW w:type="dxa" w:w="1597"/>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0.0010</w:t>
            </w:r>
          </w:p>
        </w:tc>
        <w:tc>
          <w:tcPr>
            <w:tcW w:type="dxa" w:w="2697"/>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47 / 1 / 0</w:t>
            </w:r>
          </w:p>
        </w:tc>
        <w:tc>
          <w:tcPr>
            <w:tcW w:type="dxa" w:w="258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3 / 1</w:t>
            </w:r>
          </w:p>
        </w:tc>
      </w:tr>
      <w:tr>
        <w:trPr>
          <w:cantSplit/>
        </w:trPr>
        <w:tc>
          <w:tcPr>
            <w:tcW w:type="dxa" w:w="2582"/>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Target sample covariance</w:t>
            </w:r>
          </w:p>
        </w:tc>
        <w:tc>
          <w:tcPr>
            <w:tcW w:type="dxa" w:w="1597"/>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0.0010</w:t>
            </w:r>
          </w:p>
        </w:tc>
        <w:tc>
          <w:tcPr>
            <w:tcW w:type="dxa" w:w="2697"/>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48 / 0 / 0</w:t>
            </w:r>
          </w:p>
        </w:tc>
        <w:tc>
          <w:tcPr>
            <w:tcW w:type="dxa" w:w="258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 / 1</w:t>
            </w:r>
          </w:p>
        </w:tc>
      </w:tr>
      <w:tr>
        <w:trPr>
          <w:cantSplit/>
        </w:trPr>
        <w:tc>
          <w:tcPr>
            <w:tcW w:type="dxa" w:w="2582"/>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Source+target Isolation Forest</w:t>
            </w:r>
          </w:p>
        </w:tc>
        <w:tc>
          <w:tcPr>
            <w:tcW w:type="dxa" w:w="1597"/>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0.0010</w:t>
            </w:r>
          </w:p>
        </w:tc>
        <w:tc>
          <w:tcPr>
            <w:tcW w:type="dxa" w:w="2697"/>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41 / 7 / 0</w:t>
            </w:r>
          </w:p>
        </w:tc>
        <w:tc>
          <w:tcPr>
            <w:tcW w:type="dxa" w:w="258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2 / 1</w:t>
            </w:r>
          </w:p>
        </w:tc>
      </w:tr>
      <w:tr>
        <w:trPr>
          <w:cantSplit/>
        </w:trPr>
        <w:tc>
          <w:tcPr>
            <w:tcW w:type="dxa" w:w="2582"/>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Target Ledoit-Wolf</w:t>
            </w:r>
          </w:p>
        </w:tc>
        <w:tc>
          <w:tcPr>
            <w:tcW w:type="dxa" w:w="1597"/>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0.0010</w:t>
            </w:r>
          </w:p>
        </w:tc>
        <w:tc>
          <w:tcPr>
            <w:tcW w:type="dxa" w:w="2697"/>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33 / 15 / 0</w:t>
            </w:r>
          </w:p>
        </w:tc>
        <w:tc>
          <w:tcPr>
            <w:tcW w:type="dxa" w:w="258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 / 1</w:t>
            </w:r>
          </w:p>
        </w:tc>
      </w:tr>
      <w:tr>
        <w:trPr>
          <w:cantSplit/>
        </w:trPr>
        <w:tc>
          <w:tcPr>
            <w:tcW w:type="dxa" w:w="2582"/>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Source+target MinCovDet</w:t>
            </w:r>
          </w:p>
        </w:tc>
        <w:tc>
          <w:tcPr>
            <w:tcW w:type="dxa" w:w="1597"/>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0.0010</w:t>
            </w:r>
          </w:p>
        </w:tc>
        <w:tc>
          <w:tcPr>
            <w:tcW w:type="dxa" w:w="2697"/>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21 / 26 / 1</w:t>
            </w:r>
          </w:p>
        </w:tc>
        <w:tc>
          <w:tcPr>
            <w:tcW w:type="dxa" w:w="258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 / 1</w:t>
            </w:r>
          </w:p>
        </w:tc>
      </w:tr>
      <w:tr>
        <w:trPr>
          <w:cantSplit/>
        </w:trPr>
        <w:tc>
          <w:tcPr>
            <w:tcW w:type="dxa" w:w="2582"/>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Entity-balanced covariance</w:t>
            </w:r>
          </w:p>
        </w:tc>
        <w:tc>
          <w:tcPr>
            <w:tcW w:type="dxa" w:w="1597"/>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0.0010</w:t>
            </w:r>
          </w:p>
        </w:tc>
        <w:tc>
          <w:tcPr>
            <w:tcW w:type="dxa" w:w="2697"/>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10 / 36 / 2</w:t>
            </w:r>
          </w:p>
        </w:tc>
        <w:tc>
          <w:tcPr>
            <w:tcW w:type="dxa" w:w="258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 / 1</w:t>
            </w:r>
          </w:p>
        </w:tc>
      </w:tr>
      <w:tr>
        <w:trPr>
          <w:cantSplit/>
        </w:trPr>
        <w:tc>
          <w:tcPr>
            <w:tcW w:type="dxa" w:w="2582"/>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Source+target OC-SVM (RBF)</w:t>
            </w:r>
          </w:p>
        </w:tc>
        <w:tc>
          <w:tcPr>
            <w:tcW w:type="dxa" w:w="1597"/>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0.0010</w:t>
            </w:r>
          </w:p>
        </w:tc>
        <w:tc>
          <w:tcPr>
            <w:tcW w:type="dxa" w:w="2697"/>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 / 23 / 25</w:t>
            </w:r>
          </w:p>
        </w:tc>
        <w:tc>
          <w:tcPr>
            <w:tcW w:type="dxa" w:w="258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 / 1</w:t>
            </w:r>
          </w:p>
        </w:tc>
      </w:tr>
      <w:tr>
        <w:trPr>
          <w:cantSplit/>
        </w:trPr>
        <w:tc>
          <w:tcPr>
            <w:tcW w:type="dxa" w:w="2582"/>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Source covariance</w:t>
            </w:r>
          </w:p>
        </w:tc>
        <w:tc>
          <w:tcPr>
            <w:tcW w:type="dxa" w:w="1597"/>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0.0010</w:t>
            </w:r>
          </w:p>
        </w:tc>
        <w:tc>
          <w:tcPr>
            <w:tcW w:type="dxa" w:w="2697"/>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 / 23 / 25</w:t>
            </w:r>
          </w:p>
        </w:tc>
        <w:tc>
          <w:tcPr>
            <w:tcW w:type="dxa" w:w="258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 / 1</w:t>
            </w:r>
          </w:p>
        </w:tc>
      </w:tr>
      <w:tr>
        <w:trPr>
          <w:cantSplit/>
        </w:trPr>
        <w:tc>
          <w:tcPr>
            <w:tcW w:type="dxa" w:w="2582"/>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Target OC-SVM (RBF)</w:t>
            </w:r>
          </w:p>
        </w:tc>
        <w:tc>
          <w:tcPr>
            <w:tcW w:type="dxa" w:w="1597"/>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0.0010</w:t>
            </w:r>
          </w:p>
        </w:tc>
        <w:tc>
          <w:tcPr>
            <w:tcW w:type="dxa" w:w="2697"/>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 / 22 / 26</w:t>
            </w:r>
          </w:p>
        </w:tc>
        <w:tc>
          <w:tcPr>
            <w:tcW w:type="dxa" w:w="258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 / 1</w:t>
            </w:r>
          </w:p>
        </w:tc>
      </w:tr>
    </w:tbl>
    <w:p>
      <w:pPr>
        <w:spacing w:after="40"/>
      </w:pPr>
    </w:p>
    <w:p>
      <w:pPr>
        <w:pStyle w:val="Heading2"/>
      </w:pPr>
      <w:r>
        <w:t>S3.2. Target-only versus source-balanced training/reference</w:t>
      </w:r>
    </w:p>
    <w:p>
      <w:r>
        <w:rPr>
          <w:rFonts w:ascii="Liberation Serif" w:hAnsi="Liberation Serif" w:eastAsia="Times New Roman"/>
          <w:sz w:val="22"/>
        </w:rPr>
        <w:t>The following two column groups share the first-column identifiers and preserve every original row, value, and row order. Read corresponding rows together; splitting is a layout change only.</w:t>
      </w:r>
    </w:p>
    <w:p>
      <w:pPr>
        <w:keepNext/>
      </w:pPr>
      <w:r>
        <w:rPr>
          <w:rFonts w:ascii="Liberation Serif" w:hAnsi="Liberation Serif" w:eastAsia="Times New Roman"/>
          <w:sz w:val="22"/>
        </w:rPr>
        <w:t>Table S3.2a. Target-only versus source-balanced training/reference (column group 1 of 2).</w:t>
      </w:r>
    </w:p>
    <w:tbl>
      <w:tblPr>
        <w:tblStyle w:val="TableGrid"/>
        <w:tblW w:type="dxa" w:w="9460"/>
        <w:jc w:val="left"/>
        <w:tblLook w:firstColumn="1" w:firstRow="1" w:lastColumn="0" w:lastRow="0" w:noHBand="0" w:noVBand="1" w:val="04A0"/>
        <w:tblLayout w:type="fixed"/>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792"/>
        <w:gridCol w:w="1559"/>
        <w:gridCol w:w="1792"/>
        <w:gridCol w:w="1419"/>
        <w:gridCol w:w="1457"/>
        <w:gridCol w:w="1441"/>
      </w:tblGrid>
      <w:tr>
        <w:trPr>
          <w:tblHeader w:val="true"/>
          <w:cantSplit/>
        </w:trPr>
        <w:tc>
          <w:tcPr>
            <w:tcW w:type="dxa" w:w="1792"/>
            <w:tcMar>
              <w:top w:w="80" w:type="dxa"/>
              <w:start w:w="120" w:type="dxa"/>
              <w:bottom w:w="80" w:type="dxa"/>
              <w:end w:w="120" w:type="dxa"/>
            </w:tcMar>
            <w:vAlign w:val="center"/>
            <w:shd w:fill="E7E6E6"/>
          </w:tcPr>
          <w:p>
            <w:pPr>
              <w:spacing w:before="0" w:after="0" w:line="276" w:lineRule="auto"/>
              <w:jc w:val="left"/>
            </w:pPr>
            <w:r>
              <w:rPr>
                <w:rFonts w:ascii="Liberation Serif" w:hAnsi="Liberation Serif" w:eastAsia="Times New Roman"/>
                <w:b/>
                <w:sz w:val="18"/>
              </w:rPr>
              <w:t>Contrast family</w:t>
            </w:r>
          </w:p>
        </w:tc>
        <w:tc>
          <w:tcPr>
            <w:tcW w:type="dxa" w:w="1559"/>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Target-only</w:t>
            </w:r>
          </w:p>
        </w:tc>
        <w:tc>
          <w:tcPr>
            <w:tcW w:type="dxa" w:w="1792"/>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Source-balanced counterpart</w:t>
            </w:r>
          </w:p>
        </w:tc>
        <w:tc>
          <w:tcPr>
            <w:tcW w:type="dxa" w:w="1419"/>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Target detection</w:t>
            </w:r>
          </w:p>
        </w:tc>
        <w:tc>
          <w:tcPr>
            <w:tcW w:type="dxa" w:w="1457"/>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Balanced detection</w:t>
            </w:r>
          </w:p>
        </w:tc>
        <w:tc>
          <w:tcPr>
            <w:tcW w:type="dxa" w:w="1441"/>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Target - balanced</w:t>
            </w:r>
          </w:p>
        </w:tc>
      </w:tr>
      <w:tr>
        <w:trPr>
          <w:cantSplit/>
        </w:trPr>
        <w:tc>
          <w:tcPr>
            <w:tcW w:type="dxa" w:w="1792"/>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min cov det</w:t>
            </w:r>
          </w:p>
        </w:tc>
        <w:tc>
          <w:tcPr>
            <w:tcW w:type="dxa" w:w="155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Target MinCovDet</w:t>
            </w:r>
          </w:p>
        </w:tc>
        <w:tc>
          <w:tcPr>
            <w:tcW w:type="dxa" w:w="179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Source+target MinCovDet</w:t>
            </w:r>
          </w:p>
        </w:tc>
        <w:tc>
          <w:tcPr>
            <w:tcW w:type="dxa" w:w="141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70.05%</w:t>
            </w:r>
          </w:p>
        </w:tc>
        <w:tc>
          <w:tcPr>
            <w:tcW w:type="dxa" w:w="1457"/>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30.21%</w:t>
            </w:r>
          </w:p>
        </w:tc>
        <w:tc>
          <w:tcPr>
            <w:tcW w:type="dxa" w:w="1441"/>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+39.84 pp</w:t>
            </w:r>
          </w:p>
        </w:tc>
      </w:tr>
      <w:tr>
        <w:trPr>
          <w:cantSplit/>
        </w:trPr>
        <w:tc>
          <w:tcPr>
            <w:tcW w:type="dxa" w:w="1792"/>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sample vs log euclidean entity covariance</w:t>
            </w:r>
          </w:p>
        </w:tc>
        <w:tc>
          <w:tcPr>
            <w:tcW w:type="dxa" w:w="155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Target sample covariance</w:t>
            </w:r>
          </w:p>
        </w:tc>
        <w:tc>
          <w:tcPr>
            <w:tcW w:type="dxa" w:w="179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Proposed: Log-Euclidean entity covariance</w:t>
            </w:r>
          </w:p>
        </w:tc>
        <w:tc>
          <w:tcPr>
            <w:tcW w:type="dxa" w:w="141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55.99%</w:t>
            </w:r>
          </w:p>
        </w:tc>
        <w:tc>
          <w:tcPr>
            <w:tcW w:type="dxa" w:w="1457"/>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25.00%</w:t>
            </w:r>
          </w:p>
        </w:tc>
        <w:tc>
          <w:tcPr>
            <w:tcW w:type="dxa" w:w="1441"/>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+30.99 pp</w:t>
            </w:r>
          </w:p>
        </w:tc>
      </w:tr>
      <w:tr>
        <w:trPr>
          <w:cantSplit/>
        </w:trPr>
        <w:tc>
          <w:tcPr>
            <w:tcW w:type="dxa" w:w="1792"/>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sample vs arithmetic entity covariance</w:t>
            </w:r>
          </w:p>
        </w:tc>
        <w:tc>
          <w:tcPr>
            <w:tcW w:type="dxa" w:w="155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Target sample covariance</w:t>
            </w:r>
          </w:p>
        </w:tc>
        <w:tc>
          <w:tcPr>
            <w:tcW w:type="dxa" w:w="179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Entity-balanced covariance</w:t>
            </w:r>
          </w:p>
        </w:tc>
        <w:tc>
          <w:tcPr>
            <w:tcW w:type="dxa" w:w="141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55.99%</w:t>
            </w:r>
          </w:p>
        </w:tc>
        <w:tc>
          <w:tcPr>
            <w:tcW w:type="dxa" w:w="1457"/>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27.34%</w:t>
            </w:r>
          </w:p>
        </w:tc>
        <w:tc>
          <w:tcPr>
            <w:tcW w:type="dxa" w:w="1441"/>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+28.65 pp</w:t>
            </w:r>
          </w:p>
        </w:tc>
      </w:tr>
      <w:tr>
        <w:trPr>
          <w:cantSplit/>
        </w:trPr>
        <w:tc>
          <w:tcPr>
            <w:tcW w:type="dxa" w:w="1792"/>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isolation forest</w:t>
            </w:r>
          </w:p>
        </w:tc>
        <w:tc>
          <w:tcPr>
            <w:tcW w:type="dxa" w:w="155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Target Isolation Forest</w:t>
            </w:r>
          </w:p>
        </w:tc>
        <w:tc>
          <w:tcPr>
            <w:tcW w:type="dxa" w:w="179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Source+target Isolation Forest</w:t>
            </w:r>
          </w:p>
        </w:tc>
        <w:tc>
          <w:tcPr>
            <w:tcW w:type="dxa" w:w="141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59.90%</w:t>
            </w:r>
          </w:p>
        </w:tc>
        <w:tc>
          <w:tcPr>
            <w:tcW w:type="dxa" w:w="1457"/>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50.52%</w:t>
            </w:r>
          </w:p>
        </w:tc>
        <w:tc>
          <w:tcPr>
            <w:tcW w:type="dxa" w:w="1441"/>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+9.38 pp</w:t>
            </w:r>
          </w:p>
        </w:tc>
      </w:tr>
      <w:tr>
        <w:trPr>
          <w:cantSplit/>
        </w:trPr>
        <w:tc>
          <w:tcPr>
            <w:tcW w:type="dxa" w:w="1792"/>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ocsvm</w:t>
            </w:r>
          </w:p>
        </w:tc>
        <w:tc>
          <w:tcPr>
            <w:tcW w:type="dxa" w:w="155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Target OC-SVM (RBF)</w:t>
            </w:r>
          </w:p>
        </w:tc>
        <w:tc>
          <w:tcPr>
            <w:tcW w:type="dxa" w:w="179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Source+target OC-SVM (RBF)</w:t>
            </w:r>
          </w:p>
        </w:tc>
        <w:tc>
          <w:tcPr>
            <w:tcW w:type="dxa" w:w="141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12.76%</w:t>
            </w:r>
          </w:p>
        </w:tc>
        <w:tc>
          <w:tcPr>
            <w:tcW w:type="dxa" w:w="1457"/>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12.76%</w:t>
            </w:r>
          </w:p>
        </w:tc>
        <w:tc>
          <w:tcPr>
            <w:tcW w:type="dxa" w:w="1441"/>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+0.00 pp</w:t>
            </w:r>
          </w:p>
        </w:tc>
      </w:tr>
    </w:tbl>
    <w:p>
      <w:pPr>
        <w:spacing w:after="40"/>
      </w:pPr>
    </w:p>
    <w:p>
      <w:pPr>
        <w:keepNext/>
      </w:pPr>
      <w:r>
        <w:rPr>
          <w:rFonts w:ascii="Liberation Serif" w:hAnsi="Liberation Serif" w:eastAsia="Times New Roman"/>
          <w:sz w:val="22"/>
        </w:rPr>
        <w:t>Table S3.2b. Target-only versus source-balanced training/reference (column group 2 of 2; continued).</w:t>
      </w:r>
    </w:p>
    <w:tbl>
      <w:tblPr>
        <w:tblStyle w:val="TableGrid"/>
        <w:tblW w:type="dxa" w:w="9460"/>
        <w:jc w:val="left"/>
        <w:tblLook w:firstColumn="1" w:firstRow="1" w:lastColumn="0" w:lastRow="0" w:noHBand="0" w:noVBand="1" w:val="04A0"/>
        <w:tblLayout w:type="fixed"/>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2796"/>
        <w:gridCol w:w="2563"/>
        <w:gridCol w:w="1563"/>
        <w:gridCol w:w="2538"/>
      </w:tblGrid>
      <w:tr>
        <w:trPr>
          <w:tblHeader w:val="true"/>
          <w:cantSplit/>
        </w:trPr>
        <w:tc>
          <w:tcPr>
            <w:tcW w:type="dxa" w:w="2796"/>
            <w:tcMar>
              <w:top w:w="80" w:type="dxa"/>
              <w:start w:w="120" w:type="dxa"/>
              <w:bottom w:w="80" w:type="dxa"/>
              <w:end w:w="120" w:type="dxa"/>
            </w:tcMar>
            <w:vAlign w:val="center"/>
            <w:shd w:fill="E7E6E6"/>
          </w:tcPr>
          <w:p>
            <w:pPr>
              <w:spacing w:before="0" w:after="0" w:line="276" w:lineRule="auto"/>
              <w:jc w:val="left"/>
            </w:pPr>
            <w:r>
              <w:rPr>
                <w:rFonts w:ascii="Liberation Serif" w:hAnsi="Liberation Serif" w:eastAsia="Times New Roman"/>
                <w:b/>
                <w:sz w:val="18"/>
              </w:rPr>
              <w:t>Contrast family</w:t>
            </w:r>
          </w:p>
        </w:tc>
        <w:tc>
          <w:tcPr>
            <w:tcW w:type="dxa" w:w="2563"/>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Descriptive paired interval (pp)</w:t>
            </w:r>
          </w:p>
        </w:tc>
        <w:tc>
          <w:tcPr>
            <w:tcW w:type="dxa" w:w="1563"/>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Holm p</w:t>
            </w:r>
          </w:p>
        </w:tc>
        <w:tc>
          <w:tcPr>
            <w:tcW w:type="dxa" w:w="2538"/>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Target / tie / balanced records</w:t>
            </w:r>
          </w:p>
        </w:tc>
      </w:tr>
      <w:tr>
        <w:trPr>
          <w:cantSplit/>
        </w:trPr>
        <w:tc>
          <w:tcPr>
            <w:tcW w:type="dxa" w:w="2796"/>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min cov det</w:t>
            </w:r>
          </w:p>
        </w:tc>
        <w:tc>
          <w:tcPr>
            <w:tcW w:type="dxa" w:w="2563"/>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[+35.42, +44.27]</w:t>
            </w:r>
          </w:p>
        </w:tc>
        <w:tc>
          <w:tcPr>
            <w:tcW w:type="dxa" w:w="1563"/>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0.0005</w:t>
            </w:r>
          </w:p>
        </w:tc>
        <w:tc>
          <w:tcPr>
            <w:tcW w:type="dxa" w:w="253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42 / 6 / 0</w:t>
            </w:r>
          </w:p>
        </w:tc>
      </w:tr>
      <w:tr>
        <w:trPr>
          <w:cantSplit/>
        </w:trPr>
        <w:tc>
          <w:tcPr>
            <w:tcW w:type="dxa" w:w="2796"/>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sample vs log euclidean entity covariance</w:t>
            </w:r>
          </w:p>
        </w:tc>
        <w:tc>
          <w:tcPr>
            <w:tcW w:type="dxa" w:w="2563"/>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[+28.12, +34.38]</w:t>
            </w:r>
          </w:p>
        </w:tc>
        <w:tc>
          <w:tcPr>
            <w:tcW w:type="dxa" w:w="1563"/>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0.0005</w:t>
            </w:r>
          </w:p>
        </w:tc>
        <w:tc>
          <w:tcPr>
            <w:tcW w:type="dxa" w:w="253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48 / 0 / 0</w:t>
            </w:r>
          </w:p>
        </w:tc>
      </w:tr>
      <w:tr>
        <w:trPr>
          <w:cantSplit/>
        </w:trPr>
        <w:tc>
          <w:tcPr>
            <w:tcW w:type="dxa" w:w="2796"/>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sample vs arithmetic entity covariance</w:t>
            </w:r>
          </w:p>
        </w:tc>
        <w:tc>
          <w:tcPr>
            <w:tcW w:type="dxa" w:w="2563"/>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[+25.78, +32.03]</w:t>
            </w:r>
          </w:p>
        </w:tc>
        <w:tc>
          <w:tcPr>
            <w:tcW w:type="dxa" w:w="1563"/>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0.0005</w:t>
            </w:r>
          </w:p>
        </w:tc>
        <w:tc>
          <w:tcPr>
            <w:tcW w:type="dxa" w:w="253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47 / 1 / 0</w:t>
            </w:r>
          </w:p>
        </w:tc>
      </w:tr>
      <w:tr>
        <w:trPr>
          <w:cantSplit/>
        </w:trPr>
        <w:tc>
          <w:tcPr>
            <w:tcW w:type="dxa" w:w="2796"/>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isolation forest</w:t>
            </w:r>
          </w:p>
        </w:tc>
        <w:tc>
          <w:tcPr>
            <w:tcW w:type="dxa" w:w="2563"/>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[+7.29, +11.46]</w:t>
            </w:r>
          </w:p>
        </w:tc>
        <w:tc>
          <w:tcPr>
            <w:tcW w:type="dxa" w:w="1563"/>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0.0005</w:t>
            </w:r>
          </w:p>
        </w:tc>
        <w:tc>
          <w:tcPr>
            <w:tcW w:type="dxa" w:w="253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32 / 15 / 1</w:t>
            </w:r>
          </w:p>
        </w:tc>
      </w:tr>
      <w:tr>
        <w:trPr>
          <w:cantSplit/>
        </w:trPr>
        <w:tc>
          <w:tcPr>
            <w:tcW w:type="dxa" w:w="2796"/>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ocsvm</w:t>
            </w:r>
          </w:p>
        </w:tc>
        <w:tc>
          <w:tcPr>
            <w:tcW w:type="dxa" w:w="2563"/>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[-1.04, +1.04]</w:t>
            </w:r>
          </w:p>
        </w:tc>
        <w:tc>
          <w:tcPr>
            <w:tcW w:type="dxa" w:w="1563"/>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1.0000</w:t>
            </w:r>
          </w:p>
        </w:tc>
        <w:tc>
          <w:tcPr>
            <w:tcW w:type="dxa" w:w="253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2 / 44 / 2</w:t>
            </w:r>
          </w:p>
        </w:tc>
      </w:tr>
    </w:tbl>
    <w:p>
      <w:pPr>
        <w:spacing w:after="40"/>
      </w:pPr>
    </w:p>
    <w:p>
      <w:r>
        <w:rPr>
          <w:rFonts w:ascii="Liberation Serif" w:hAnsi="Liberation Serif" w:eastAsia="Times New Roman"/>
          <w:sz w:val="22"/>
        </w:rPr>
        <w:t>The MinCovDet contrast preserves the 60-row/26-feature versus 240-row/27-feature fitting difference described in S1.2; it does not isolate source information in a fixed feature space.</w:t>
      </w:r>
    </w:p>
    <w:p>
      <w:r>
        <w:rPr>
          <w:rFonts w:ascii="Liberation Serif" w:hAnsi="Liberation Serif" w:eastAsia="Times New Roman"/>
          <w:sz w:val="22"/>
        </w:rPr>
        <w:t xml:space="preserve">Both tables use complete-record paired differences across the same 48 fault records, stratified by fault turns. Two-sided centered bootstrap p-values use 10,000 draws (seed 711); Holm adjustment is applied separately to the 10 candidate-vs-Proposed comparisons and the five transfer contrasts. The smallest attainable nonzero bootstrap estimate is 0.0001. These post-reveal comparisons quantify conditional differences on one motor; their nominal p-values and adjusted values are diagnostics of the resampling scheme, without established inferential validity under the dependent record grid. Holm adjustment does not remove dependence or establish cross-motor generalization. The two covariance contrasts against target sample covariance are the closest covariance transfer comparisons but do not hold the matrix estimator fixed. Isolation Forest's </w:t>
      </w:r>
      <w:r>
        <w:rPr>
          <w:rFonts w:ascii="Liberation Serif" w:hAnsi="Liberation Serif" w:eastAsia="Courier New"/>
          <w:sz w:val="22"/>
        </w:rPr>
        <w:t>max_samples="auto"</w:t>
      </w:r>
      <w:r>
        <w:rPr>
          <w:rFonts w:ascii="Liberation Serif" w:hAnsi="Liberation Serif" w:eastAsia="Times New Roman"/>
          <w:sz w:val="22"/>
        </w:rPr>
        <w:t xml:space="preserve"> and OC-SVM's </w:t>
      </w:r>
      <w:r>
        <w:rPr>
          <w:rFonts w:ascii="Liberation Serif" w:hAnsi="Liberation Serif" w:eastAsia="Courier New"/>
          <w:sz w:val="22"/>
        </w:rPr>
        <w:t>gamma="scale"</w:t>
      </w:r>
      <w:r>
        <w:rPr>
          <w:rFonts w:ascii="Liberation Serif" w:hAnsi="Liberation Serif" w:eastAsia="Times New Roman"/>
          <w:sz w:val="22"/>
        </w:rPr>
        <w:t xml:space="preserve"> are data adaptive; fixed implementations do not imply identical numerical fitting parameters after source augmentation. The Holm summaries also do not account for all post-reveal analysis choices.</w:t>
      </w:r>
    </w:p>
    <w:p>
      <w:pPr>
        <w:pStyle w:val="Heading1"/>
      </w:pPr>
      <w:r>
        <w:t>S4. Horizon, first-alarm, and acceleration-position diagnostics</w:t>
      </w:r>
    </w:p>
    <w:p>
      <w:r>
        <w:rPr>
          <w:rFonts w:ascii="Liberation Serif" w:hAnsi="Liberation Serif" w:eastAsia="Times New Roman"/>
          <w:sz w:val="22"/>
        </w:rPr>
        <w:t>All records follow the same [12, 36) s acceleration segment, divided into block IDs 0-7. Block position therefore co-moves with speed. The all-eight-block detection rate weights each position equally. Record-any detection accumulates alarm opportunities over the full horizon and can be driven by late high-score positions. The following fixed-prefix diagnostics retain the frozen scores and thresholds and describe early-trajectory coverage.</w:t>
      </w:r>
    </w:p>
    <w:p>
      <w:pPr>
        <w:pStyle w:val="Heading2"/>
      </w:pPr>
      <w:r>
        <w:t>S4.1. First four, first seven, and all eight blocks</w:t>
      </w:r>
    </w:p>
    <w:tbl>
      <w:tblPr>
        <w:tblStyle w:val="TableGrid"/>
        <w:tblW w:type="dxa" w:w="9460"/>
        <w:jc w:val="left"/>
        <w:tblLook w:firstColumn="1" w:firstRow="1" w:lastColumn="0" w:lastRow="0" w:noHBand="0" w:noVBand="1" w:val="04A0"/>
        <w:tblLayout w:type="fixed"/>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2337"/>
        <w:gridCol w:w="2374"/>
        <w:gridCol w:w="2374"/>
        <w:gridCol w:w="2375"/>
      </w:tblGrid>
      <w:tr>
        <w:trPr>
          <w:tblHeader w:val="true"/>
          <w:cantSplit/>
        </w:trPr>
        <w:tc>
          <w:tcPr>
            <w:tcW w:type="dxa" w:w="2337"/>
            <w:tcMar>
              <w:top w:w="80" w:type="dxa"/>
              <w:start w:w="120" w:type="dxa"/>
              <w:bottom w:w="80" w:type="dxa"/>
              <w:end w:w="120" w:type="dxa"/>
            </w:tcMar>
            <w:vAlign w:val="center"/>
            <w:shd w:fill="E7E6E6"/>
          </w:tcPr>
          <w:p>
            <w:pPr>
              <w:spacing w:before="0" w:after="0" w:line="276" w:lineRule="auto"/>
              <w:jc w:val="left"/>
            </w:pPr>
            <w:r>
              <w:rPr>
                <w:rFonts w:ascii="Liberation Serif" w:hAnsi="Liberation Serif" w:eastAsia="Times New Roman"/>
                <w:b/>
                <w:sz w:val="18"/>
              </w:rPr>
              <w:t>Method</w:t>
            </w:r>
          </w:p>
        </w:tc>
        <w:tc>
          <w:tcPr>
            <w:tcW w:type="dxa" w:w="2374"/>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Blocks 0-3: detection / any / health FA (%)</w:t>
            </w:r>
          </w:p>
        </w:tc>
        <w:tc>
          <w:tcPr>
            <w:tcW w:type="dxa" w:w="2374"/>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Blocks 0-6: detection / any / health FA (%)</w:t>
            </w:r>
          </w:p>
        </w:tc>
        <w:tc>
          <w:tcPr>
            <w:tcW w:type="dxa" w:w="2375"/>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Blocks 0-7: detection / any / health FA (%)</w:t>
            </w:r>
          </w:p>
        </w:tc>
      </w:tr>
      <w:tr>
        <w:trPr>
          <w:cantSplit/>
        </w:trPr>
        <w:tc>
          <w:tcPr>
            <w:tcW w:type="dxa" w:w="2337"/>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Target Ledoit-Wolf</w:t>
            </w:r>
          </w:p>
        </w:tc>
        <w:tc>
          <w:tcPr>
            <w:tcW w:type="dxa" w:w="237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6.77 / 16.67 / 0.00</w:t>
            </w:r>
          </w:p>
        </w:tc>
        <w:tc>
          <w:tcPr>
            <w:tcW w:type="dxa" w:w="237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27.68 / 87.50 / 0.00</w:t>
            </w:r>
          </w:p>
        </w:tc>
        <w:tc>
          <w:tcPr>
            <w:tcW w:type="dxa" w:w="2375"/>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36.72 / 100.00 / 3.12</w:t>
            </w:r>
          </w:p>
        </w:tc>
      </w:tr>
      <w:tr>
        <w:trPr>
          <w:cantSplit/>
        </w:trPr>
        <w:tc>
          <w:tcPr>
            <w:tcW w:type="dxa" w:w="2337"/>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Target sample covariance</w:t>
            </w:r>
          </w:p>
        </w:tc>
        <w:tc>
          <w:tcPr>
            <w:tcW w:type="dxa" w:w="237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25.00 / 35.42 / 0.00</w:t>
            </w:r>
          </w:p>
        </w:tc>
        <w:tc>
          <w:tcPr>
            <w:tcW w:type="dxa" w:w="237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49.70 / 100.00 / 0.00</w:t>
            </w:r>
          </w:p>
        </w:tc>
        <w:tc>
          <w:tcPr>
            <w:tcW w:type="dxa" w:w="2375"/>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55.99 / 100.00 / 3.12</w:t>
            </w:r>
          </w:p>
        </w:tc>
      </w:tr>
      <w:tr>
        <w:trPr>
          <w:cantSplit/>
        </w:trPr>
        <w:tc>
          <w:tcPr>
            <w:tcW w:type="dxa" w:w="2337"/>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Source covariance</w:t>
            </w:r>
          </w:p>
        </w:tc>
        <w:tc>
          <w:tcPr>
            <w:tcW w:type="dxa" w:w="237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0.00 / 0.00 / 0.00</w:t>
            </w:r>
          </w:p>
        </w:tc>
        <w:tc>
          <w:tcPr>
            <w:tcW w:type="dxa" w:w="237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0.30 / 2.08 / 0.00</w:t>
            </w:r>
          </w:p>
        </w:tc>
        <w:tc>
          <w:tcPr>
            <w:tcW w:type="dxa" w:w="2375"/>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12.76 / 100.00 / 3.12</w:t>
            </w:r>
          </w:p>
        </w:tc>
      </w:tr>
      <w:tr>
        <w:trPr>
          <w:cantSplit/>
        </w:trPr>
        <w:tc>
          <w:tcPr>
            <w:tcW w:type="dxa" w:w="2337"/>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Entity-balanced covariance</w:t>
            </w:r>
          </w:p>
        </w:tc>
        <w:tc>
          <w:tcPr>
            <w:tcW w:type="dxa" w:w="237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3.12 / 10.42 / 0.00</w:t>
            </w:r>
          </w:p>
        </w:tc>
        <w:tc>
          <w:tcPr>
            <w:tcW w:type="dxa" w:w="237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16.96 / 62.50 / 0.00</w:t>
            </w:r>
          </w:p>
        </w:tc>
        <w:tc>
          <w:tcPr>
            <w:tcW w:type="dxa" w:w="2375"/>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27.34 / 100.00 / 3.12</w:t>
            </w:r>
          </w:p>
        </w:tc>
      </w:tr>
      <w:tr>
        <w:trPr>
          <w:cantSplit/>
        </w:trPr>
        <w:tc>
          <w:tcPr>
            <w:tcW w:type="dxa" w:w="2337"/>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Proposed: Log-Euclidean entity covariance</w:t>
            </w:r>
          </w:p>
        </w:tc>
        <w:tc>
          <w:tcPr>
            <w:tcW w:type="dxa" w:w="237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2.60 / 10.42 / 0.00</w:t>
            </w:r>
          </w:p>
        </w:tc>
        <w:tc>
          <w:tcPr>
            <w:tcW w:type="dxa" w:w="237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14.29 / 52.08 / 0.00</w:t>
            </w:r>
          </w:p>
        </w:tc>
        <w:tc>
          <w:tcPr>
            <w:tcW w:type="dxa" w:w="2375"/>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25.00 / 100.00 / 3.12</w:t>
            </w:r>
          </w:p>
        </w:tc>
      </w:tr>
      <w:tr>
        <w:trPr>
          <w:cantSplit/>
        </w:trPr>
        <w:tc>
          <w:tcPr>
            <w:tcW w:type="dxa" w:w="2337"/>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Target OC-SVM (RBF)</w:t>
            </w:r>
          </w:p>
        </w:tc>
        <w:tc>
          <w:tcPr>
            <w:tcW w:type="dxa" w:w="237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0.00 / 0.00 / 0.00</w:t>
            </w:r>
          </w:p>
        </w:tc>
        <w:tc>
          <w:tcPr>
            <w:tcW w:type="dxa" w:w="237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2.08 / 6.25 / 0.00</w:t>
            </w:r>
          </w:p>
        </w:tc>
        <w:tc>
          <w:tcPr>
            <w:tcW w:type="dxa" w:w="2375"/>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12.76 / 87.50 / 3.12</w:t>
            </w:r>
          </w:p>
        </w:tc>
      </w:tr>
      <w:tr>
        <w:trPr>
          <w:cantSplit/>
        </w:trPr>
        <w:tc>
          <w:tcPr>
            <w:tcW w:type="dxa" w:w="2337"/>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Source+target OC-SVM (RBF)</w:t>
            </w:r>
          </w:p>
        </w:tc>
        <w:tc>
          <w:tcPr>
            <w:tcW w:type="dxa" w:w="237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0.00 / 0.00 / 0.00</w:t>
            </w:r>
          </w:p>
        </w:tc>
        <w:tc>
          <w:tcPr>
            <w:tcW w:type="dxa" w:w="237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1.49 / 6.25 / 0.00</w:t>
            </w:r>
          </w:p>
        </w:tc>
        <w:tc>
          <w:tcPr>
            <w:tcW w:type="dxa" w:w="2375"/>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12.76 / 91.67 / 3.12</w:t>
            </w:r>
          </w:p>
        </w:tc>
      </w:tr>
      <w:tr>
        <w:trPr>
          <w:cantSplit/>
        </w:trPr>
        <w:tc>
          <w:tcPr>
            <w:tcW w:type="dxa" w:w="2337"/>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Target Isolation Forest</w:t>
            </w:r>
          </w:p>
        </w:tc>
        <w:tc>
          <w:tcPr>
            <w:tcW w:type="dxa" w:w="237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29.17 / 85.42 / 18.75</w:t>
            </w:r>
          </w:p>
        </w:tc>
        <w:tc>
          <w:tcPr>
            <w:tcW w:type="dxa" w:w="237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54.46 / 100.00 / 10.71</w:t>
            </w:r>
          </w:p>
        </w:tc>
        <w:tc>
          <w:tcPr>
            <w:tcW w:type="dxa" w:w="2375"/>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59.90 / 100.00 / 9.38</w:t>
            </w:r>
          </w:p>
        </w:tc>
      </w:tr>
      <w:tr>
        <w:trPr>
          <w:cantSplit/>
        </w:trPr>
        <w:tc>
          <w:tcPr>
            <w:tcW w:type="dxa" w:w="2337"/>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Source+target Isolation Forest</w:t>
            </w:r>
          </w:p>
        </w:tc>
        <w:tc>
          <w:tcPr>
            <w:tcW w:type="dxa" w:w="237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19.79 / 75.00 / 12.50</w:t>
            </w:r>
          </w:p>
        </w:tc>
        <w:tc>
          <w:tcPr>
            <w:tcW w:type="dxa" w:w="237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44.35 / 97.92 / 7.14</w:t>
            </w:r>
          </w:p>
        </w:tc>
        <w:tc>
          <w:tcPr>
            <w:tcW w:type="dxa" w:w="2375"/>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50.52 / 100.00 / 6.25</w:t>
            </w:r>
          </w:p>
        </w:tc>
      </w:tr>
      <w:tr>
        <w:trPr>
          <w:cantSplit/>
        </w:trPr>
        <w:tc>
          <w:tcPr>
            <w:tcW w:type="dxa" w:w="2337"/>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Target MinCovDet</w:t>
            </w:r>
          </w:p>
        </w:tc>
        <w:tc>
          <w:tcPr>
            <w:tcW w:type="dxa" w:w="237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54.69 / 64.58 / 0.00</w:t>
            </w:r>
          </w:p>
        </w:tc>
        <w:tc>
          <w:tcPr>
            <w:tcW w:type="dxa" w:w="237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65.77 / 89.58 / 0.00</w:t>
            </w:r>
          </w:p>
        </w:tc>
        <w:tc>
          <w:tcPr>
            <w:tcW w:type="dxa" w:w="2375"/>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70.05 / 100.00 / 0.00</w:t>
            </w:r>
          </w:p>
        </w:tc>
      </w:tr>
      <w:tr>
        <w:trPr>
          <w:cantSplit/>
        </w:trPr>
        <w:tc>
          <w:tcPr>
            <w:tcW w:type="dxa" w:w="2337"/>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Source+target MinCovDet</w:t>
            </w:r>
          </w:p>
        </w:tc>
        <w:tc>
          <w:tcPr>
            <w:tcW w:type="dxa" w:w="237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5.21 / 14.58 / 0.00</w:t>
            </w:r>
          </w:p>
        </w:tc>
        <w:tc>
          <w:tcPr>
            <w:tcW w:type="dxa" w:w="237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20.24 / 62.50 / 0.00</w:t>
            </w:r>
          </w:p>
        </w:tc>
        <w:tc>
          <w:tcPr>
            <w:tcW w:type="dxa" w:w="2375"/>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30.21 / 100.00 / 3.12</w:t>
            </w:r>
          </w:p>
        </w:tc>
      </w:tr>
    </w:tbl>
    <w:p>
      <w:pPr>
        <w:spacing w:after="40"/>
      </w:pPr>
    </w:p>
    <w:p>
      <w:r>
        <w:rPr>
          <w:rFonts w:ascii="Liberation Serif" w:hAnsi="Liberation Serif" w:eastAsia="Times New Roman"/>
          <w:sz w:val="22"/>
        </w:rPr>
        <w:t>Each cell reports fault-block detection, fault-record any-alarm, and held-out healthy block false-alarm rate. Denominators are respectively 192/48/16 for blocks 0-3, 336/48/28 for blocks 0-6, and 384/48/32 for blocks 0-7.</w:t>
      </w:r>
    </w:p>
    <w:p>
      <w:pPr>
        <w:pStyle w:val="Heading2"/>
      </w:pPr>
      <w:r>
        <w:t>S4.2. First alarm by physical fault record</w:t>
      </w:r>
    </w:p>
    <w:tbl>
      <w:tblPr>
        <w:tblStyle w:val="TableGrid"/>
        <w:tblW w:type="dxa" w:w="9460"/>
        <w:jc w:val="left"/>
        <w:tblLook w:firstColumn="1" w:firstRow="1" w:lastColumn="0" w:lastRow="0" w:noHBand="0" w:noVBand="1" w:val="04A0"/>
        <w:tblLayout w:type="fixed"/>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2165"/>
        <w:gridCol w:w="1753"/>
        <w:gridCol w:w="1568"/>
        <w:gridCol w:w="1928"/>
        <w:gridCol w:w="2046"/>
      </w:tblGrid>
      <w:tr>
        <w:trPr>
          <w:tblHeader w:val="true"/>
          <w:cantSplit/>
        </w:trPr>
        <w:tc>
          <w:tcPr>
            <w:tcW w:type="dxa" w:w="2165"/>
            <w:tcMar>
              <w:top w:w="80" w:type="dxa"/>
              <w:start w:w="120" w:type="dxa"/>
              <w:bottom w:w="80" w:type="dxa"/>
              <w:end w:w="120" w:type="dxa"/>
            </w:tcMar>
            <w:vAlign w:val="center"/>
            <w:shd w:fill="E7E6E6"/>
          </w:tcPr>
          <w:p>
            <w:pPr>
              <w:spacing w:before="0" w:after="0" w:line="276" w:lineRule="auto"/>
              <w:jc w:val="left"/>
            </w:pPr>
            <w:r>
              <w:rPr>
                <w:rFonts w:ascii="Liberation Serif" w:hAnsi="Liberation Serif" w:eastAsia="Times New Roman"/>
                <w:b/>
                <w:sz w:val="18"/>
              </w:rPr>
              <w:t>Method</w:t>
            </w:r>
          </w:p>
        </w:tc>
        <w:tc>
          <w:tcPr>
            <w:tcW w:type="dxa" w:w="1753"/>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Records ever alarmed</w:t>
            </w:r>
          </w:p>
        </w:tc>
        <w:tc>
          <w:tcPr>
            <w:tcW w:type="dxa" w:w="1568"/>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Never alarmed</w:t>
            </w:r>
          </w:p>
        </w:tc>
        <w:tc>
          <w:tcPr>
            <w:tcW w:type="dxa" w:w="1928"/>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First block Q1 / median / Q3</w:t>
            </w:r>
          </w:p>
        </w:tc>
        <w:tc>
          <w:tcPr>
            <w:tcW w:type="dxa" w:w="2046"/>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Healthy-RPM proxy Q1 / median / Q3</w:t>
            </w:r>
          </w:p>
        </w:tc>
      </w:tr>
      <w:tr>
        <w:trPr>
          <w:cantSplit/>
        </w:trPr>
        <w:tc>
          <w:tcPr>
            <w:tcW w:type="dxa" w:w="2165"/>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Target Ledoit-Wolf</w:t>
            </w:r>
          </w:p>
        </w:tc>
        <w:tc>
          <w:tcPr>
            <w:tcW w:type="dxa" w:w="1753"/>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48/48</w:t>
            </w:r>
          </w:p>
        </w:tc>
        <w:tc>
          <w:tcPr>
            <w:tcW w:type="dxa" w:w="156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w:t>
            </w:r>
          </w:p>
        </w:tc>
        <w:tc>
          <w:tcPr>
            <w:tcW w:type="dxa" w:w="192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4 / 5 / 6</w:t>
            </w:r>
          </w:p>
        </w:tc>
        <w:tc>
          <w:tcPr>
            <w:tcW w:type="dxa" w:w="204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889 / 1216 / 1643</w:t>
            </w:r>
          </w:p>
        </w:tc>
      </w:tr>
      <w:tr>
        <w:trPr>
          <w:cantSplit/>
        </w:trPr>
        <w:tc>
          <w:tcPr>
            <w:tcW w:type="dxa" w:w="2165"/>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Target sample covariance</w:t>
            </w:r>
          </w:p>
        </w:tc>
        <w:tc>
          <w:tcPr>
            <w:tcW w:type="dxa" w:w="1753"/>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48/48</w:t>
            </w:r>
          </w:p>
        </w:tc>
        <w:tc>
          <w:tcPr>
            <w:tcW w:type="dxa" w:w="156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w:t>
            </w:r>
          </w:p>
        </w:tc>
        <w:tc>
          <w:tcPr>
            <w:tcW w:type="dxa" w:w="192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2 / 4 / 5</w:t>
            </w:r>
          </w:p>
        </w:tc>
        <w:tc>
          <w:tcPr>
            <w:tcW w:type="dxa" w:w="204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463 / 889 / 1216</w:t>
            </w:r>
          </w:p>
        </w:tc>
      </w:tr>
      <w:tr>
        <w:trPr>
          <w:cantSplit/>
        </w:trPr>
        <w:tc>
          <w:tcPr>
            <w:tcW w:type="dxa" w:w="2165"/>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Source covariance</w:t>
            </w:r>
          </w:p>
        </w:tc>
        <w:tc>
          <w:tcPr>
            <w:tcW w:type="dxa" w:w="1753"/>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48/48</w:t>
            </w:r>
          </w:p>
        </w:tc>
        <w:tc>
          <w:tcPr>
            <w:tcW w:type="dxa" w:w="156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w:t>
            </w:r>
          </w:p>
        </w:tc>
        <w:tc>
          <w:tcPr>
            <w:tcW w:type="dxa" w:w="192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7 / 7 / 7</w:t>
            </w:r>
          </w:p>
        </w:tc>
        <w:tc>
          <w:tcPr>
            <w:tcW w:type="dxa" w:w="204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2214 / 2214 / 2214</w:t>
            </w:r>
          </w:p>
        </w:tc>
      </w:tr>
      <w:tr>
        <w:trPr>
          <w:cantSplit/>
        </w:trPr>
        <w:tc>
          <w:tcPr>
            <w:tcW w:type="dxa" w:w="2165"/>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Entity-balanced covariance</w:t>
            </w:r>
          </w:p>
        </w:tc>
        <w:tc>
          <w:tcPr>
            <w:tcW w:type="dxa" w:w="1753"/>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48/48</w:t>
            </w:r>
          </w:p>
        </w:tc>
        <w:tc>
          <w:tcPr>
            <w:tcW w:type="dxa" w:w="156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w:t>
            </w:r>
          </w:p>
        </w:tc>
        <w:tc>
          <w:tcPr>
            <w:tcW w:type="dxa" w:w="192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5 / 6 / 7</w:t>
            </w:r>
          </w:p>
        </w:tc>
        <w:tc>
          <w:tcPr>
            <w:tcW w:type="dxa" w:w="204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1216 / 1643 / 2214</w:t>
            </w:r>
          </w:p>
        </w:tc>
      </w:tr>
      <w:tr>
        <w:trPr>
          <w:cantSplit/>
        </w:trPr>
        <w:tc>
          <w:tcPr>
            <w:tcW w:type="dxa" w:w="2165"/>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Proposed: Log-Euclidean entity covariance</w:t>
            </w:r>
          </w:p>
        </w:tc>
        <w:tc>
          <w:tcPr>
            <w:tcW w:type="dxa" w:w="1753"/>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48/48</w:t>
            </w:r>
          </w:p>
        </w:tc>
        <w:tc>
          <w:tcPr>
            <w:tcW w:type="dxa" w:w="156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w:t>
            </w:r>
          </w:p>
        </w:tc>
        <w:tc>
          <w:tcPr>
            <w:tcW w:type="dxa" w:w="192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6 / 6 / 7</w:t>
            </w:r>
          </w:p>
        </w:tc>
        <w:tc>
          <w:tcPr>
            <w:tcW w:type="dxa" w:w="204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1642 / 1643 / 2214</w:t>
            </w:r>
          </w:p>
        </w:tc>
      </w:tr>
      <w:tr>
        <w:trPr>
          <w:cantSplit/>
        </w:trPr>
        <w:tc>
          <w:tcPr>
            <w:tcW w:type="dxa" w:w="2165"/>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Target OC-SVM (RBF)</w:t>
            </w:r>
          </w:p>
        </w:tc>
        <w:tc>
          <w:tcPr>
            <w:tcW w:type="dxa" w:w="1753"/>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42/48</w:t>
            </w:r>
          </w:p>
        </w:tc>
        <w:tc>
          <w:tcPr>
            <w:tcW w:type="dxa" w:w="156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6</w:t>
            </w:r>
          </w:p>
        </w:tc>
        <w:tc>
          <w:tcPr>
            <w:tcW w:type="dxa" w:w="192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7 / 7 / 7</w:t>
            </w:r>
          </w:p>
        </w:tc>
        <w:tc>
          <w:tcPr>
            <w:tcW w:type="dxa" w:w="204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2214 / 2214 / 2214</w:t>
            </w:r>
          </w:p>
        </w:tc>
      </w:tr>
      <w:tr>
        <w:trPr>
          <w:cantSplit/>
        </w:trPr>
        <w:tc>
          <w:tcPr>
            <w:tcW w:type="dxa" w:w="2165"/>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Source+target OC-SVM (RBF)</w:t>
            </w:r>
          </w:p>
        </w:tc>
        <w:tc>
          <w:tcPr>
            <w:tcW w:type="dxa" w:w="1753"/>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44/48</w:t>
            </w:r>
          </w:p>
        </w:tc>
        <w:tc>
          <w:tcPr>
            <w:tcW w:type="dxa" w:w="156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4</w:t>
            </w:r>
          </w:p>
        </w:tc>
        <w:tc>
          <w:tcPr>
            <w:tcW w:type="dxa" w:w="192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7 / 7 / 7</w:t>
            </w:r>
          </w:p>
        </w:tc>
        <w:tc>
          <w:tcPr>
            <w:tcW w:type="dxa" w:w="204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2214 / 2214 / 2214</w:t>
            </w:r>
          </w:p>
        </w:tc>
      </w:tr>
      <w:tr>
        <w:trPr>
          <w:cantSplit/>
        </w:trPr>
        <w:tc>
          <w:tcPr>
            <w:tcW w:type="dxa" w:w="2165"/>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Target Isolation Forest</w:t>
            </w:r>
          </w:p>
        </w:tc>
        <w:tc>
          <w:tcPr>
            <w:tcW w:type="dxa" w:w="1753"/>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48/48</w:t>
            </w:r>
          </w:p>
        </w:tc>
        <w:tc>
          <w:tcPr>
            <w:tcW w:type="dxa" w:w="156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w:t>
            </w:r>
          </w:p>
        </w:tc>
        <w:tc>
          <w:tcPr>
            <w:tcW w:type="dxa" w:w="192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 / 2 / 3</w:t>
            </w:r>
          </w:p>
        </w:tc>
        <w:tc>
          <w:tcPr>
            <w:tcW w:type="dxa" w:w="204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218 / 463 / 644</w:t>
            </w:r>
          </w:p>
        </w:tc>
      </w:tr>
      <w:tr>
        <w:trPr>
          <w:cantSplit/>
        </w:trPr>
        <w:tc>
          <w:tcPr>
            <w:tcW w:type="dxa" w:w="2165"/>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Source+target Isolation Forest</w:t>
            </w:r>
          </w:p>
        </w:tc>
        <w:tc>
          <w:tcPr>
            <w:tcW w:type="dxa" w:w="1753"/>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48/48</w:t>
            </w:r>
          </w:p>
        </w:tc>
        <w:tc>
          <w:tcPr>
            <w:tcW w:type="dxa" w:w="156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w:t>
            </w:r>
          </w:p>
        </w:tc>
        <w:tc>
          <w:tcPr>
            <w:tcW w:type="dxa" w:w="192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 / 1 / 3.2</w:t>
            </w:r>
          </w:p>
        </w:tc>
        <w:tc>
          <w:tcPr>
            <w:tcW w:type="dxa" w:w="204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218 / 340 / 706</w:t>
            </w:r>
          </w:p>
        </w:tc>
      </w:tr>
      <w:tr>
        <w:trPr>
          <w:cantSplit/>
        </w:trPr>
        <w:tc>
          <w:tcPr>
            <w:tcW w:type="dxa" w:w="2165"/>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Target MinCovDet</w:t>
            </w:r>
          </w:p>
        </w:tc>
        <w:tc>
          <w:tcPr>
            <w:tcW w:type="dxa" w:w="1753"/>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48/48</w:t>
            </w:r>
          </w:p>
        </w:tc>
        <w:tc>
          <w:tcPr>
            <w:tcW w:type="dxa" w:w="156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w:t>
            </w:r>
          </w:p>
        </w:tc>
        <w:tc>
          <w:tcPr>
            <w:tcW w:type="dxa" w:w="192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 / 1 / 5</w:t>
            </w:r>
          </w:p>
        </w:tc>
        <w:tc>
          <w:tcPr>
            <w:tcW w:type="dxa" w:w="204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218 / 318 / 1216</w:t>
            </w:r>
          </w:p>
        </w:tc>
      </w:tr>
      <w:tr>
        <w:trPr>
          <w:cantSplit/>
        </w:trPr>
        <w:tc>
          <w:tcPr>
            <w:tcW w:type="dxa" w:w="2165"/>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Source+target MinCovDet</w:t>
            </w:r>
          </w:p>
        </w:tc>
        <w:tc>
          <w:tcPr>
            <w:tcW w:type="dxa" w:w="1753"/>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48/48</w:t>
            </w:r>
          </w:p>
        </w:tc>
        <w:tc>
          <w:tcPr>
            <w:tcW w:type="dxa" w:w="156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w:t>
            </w:r>
          </w:p>
        </w:tc>
        <w:tc>
          <w:tcPr>
            <w:tcW w:type="dxa" w:w="192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5 / 6 / 7</w:t>
            </w:r>
          </w:p>
        </w:tc>
        <w:tc>
          <w:tcPr>
            <w:tcW w:type="dxa" w:w="204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1216 / 1643 / 2214</w:t>
            </w:r>
          </w:p>
        </w:tc>
      </w:tr>
    </w:tbl>
    <w:p>
      <w:pPr>
        <w:spacing w:after="40"/>
      </w:pPr>
    </w:p>
    <w:p>
      <w:r>
        <w:rPr>
          <w:rFonts w:ascii="Liberation Serif" w:hAnsi="Liberation Serif" w:eastAsia="Times New Roman"/>
          <w:sz w:val="22"/>
        </w:rPr>
        <w:t>First-alarm quantiles are calculated only among records that ever alarm. The RPM quantity is the median RPM from the matching-load healthy record and block; it is a proxy, not a measured fault-record RPM and not a stationary time-to-detection estimate. Proposed first alarm occurred at median block 6, while Target MinCovDet first alarm occurred at median block 1.</w:t>
      </w:r>
    </w:p>
    <w:p>
      <w:pPr>
        <w:pStyle w:val="Heading2"/>
      </w:pPr>
      <w:r>
        <w:t>S4.3. AUROC matched by acceleration block</w:t>
      </w:r>
    </w:p>
    <w:p>
      <w:r>
        <w:rPr>
          <w:rFonts w:ascii="Liberation Serif" w:hAnsi="Liberation Serif" w:eastAsia="Times New Roman"/>
          <w:sz w:val="22"/>
        </w:rPr>
        <w:t>The following two column groups share the first-column identifiers and preserve every original row, value, and row order. Read corresponding rows together; splitting is a layout change only.</w:t>
      </w:r>
    </w:p>
    <w:p>
      <w:pPr>
        <w:keepNext/>
      </w:pPr>
      <w:r>
        <w:rPr>
          <w:rFonts w:ascii="Liberation Serif" w:hAnsi="Liberation Serif" w:eastAsia="Times New Roman"/>
          <w:sz w:val="22"/>
        </w:rPr>
        <w:t>Table S4.3a. AUROC matched by acceleration block (column group 1 of 2).</w:t>
      </w:r>
    </w:p>
    <w:tbl>
      <w:tblPr>
        <w:tblStyle w:val="TableGrid"/>
        <w:tblW w:type="dxa" w:w="9460"/>
        <w:jc w:val="left"/>
        <w:tblLook w:firstColumn="1" w:firstRow="1" w:lastColumn="0" w:lastRow="0" w:noHBand="0" w:noVBand="1" w:val="04A0"/>
        <w:tblLayout w:type="fixed"/>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2496"/>
        <w:gridCol w:w="1392"/>
        <w:gridCol w:w="1392"/>
        <w:gridCol w:w="1392"/>
        <w:gridCol w:w="1392"/>
        <w:gridCol w:w="1396"/>
      </w:tblGrid>
      <w:tr>
        <w:trPr>
          <w:tblHeader w:val="true"/>
          <w:cantSplit/>
        </w:trPr>
        <w:tc>
          <w:tcPr>
            <w:tcW w:type="dxa" w:w="2496"/>
            <w:tcMar>
              <w:top w:w="80" w:type="dxa"/>
              <w:start w:w="120" w:type="dxa"/>
              <w:bottom w:w="80" w:type="dxa"/>
              <w:end w:w="120" w:type="dxa"/>
            </w:tcMar>
            <w:vAlign w:val="center"/>
            <w:shd w:fill="E7E6E6"/>
          </w:tcPr>
          <w:p>
            <w:pPr>
              <w:spacing w:before="0" w:after="0" w:line="276" w:lineRule="auto"/>
              <w:jc w:val="left"/>
            </w:pPr>
            <w:r>
              <w:rPr>
                <w:rFonts w:ascii="Liberation Serif" w:hAnsi="Liberation Serif" w:eastAsia="Times New Roman"/>
                <w:b/>
                <w:sz w:val="18"/>
              </w:rPr>
              <w:t>Method</w:t>
            </w:r>
          </w:p>
        </w:tc>
        <w:tc>
          <w:tcPr>
            <w:tcW w:type="dxa" w:w="1392"/>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B0</w:t>
            </w:r>
          </w:p>
        </w:tc>
        <w:tc>
          <w:tcPr>
            <w:tcW w:type="dxa" w:w="1392"/>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B1</w:t>
            </w:r>
          </w:p>
        </w:tc>
        <w:tc>
          <w:tcPr>
            <w:tcW w:type="dxa" w:w="1392"/>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B2</w:t>
            </w:r>
          </w:p>
        </w:tc>
        <w:tc>
          <w:tcPr>
            <w:tcW w:type="dxa" w:w="1392"/>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B3</w:t>
            </w:r>
          </w:p>
        </w:tc>
        <w:tc>
          <w:tcPr>
            <w:tcW w:type="dxa" w:w="1396"/>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B4</w:t>
            </w:r>
          </w:p>
        </w:tc>
      </w:tr>
      <w:tr>
        <w:trPr>
          <w:cantSplit/>
        </w:trPr>
        <w:tc>
          <w:tcPr>
            <w:tcW w:type="dxa" w:w="2496"/>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Target Ledoit-Wolf</w:t>
            </w:r>
          </w:p>
        </w:tc>
        <w:tc>
          <w:tcPr>
            <w:tcW w:type="dxa" w:w="139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0.385</w:t>
            </w:r>
          </w:p>
        </w:tc>
        <w:tc>
          <w:tcPr>
            <w:tcW w:type="dxa" w:w="139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0.922</w:t>
            </w:r>
          </w:p>
        </w:tc>
        <w:tc>
          <w:tcPr>
            <w:tcW w:type="dxa" w:w="139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1.000</w:t>
            </w:r>
          </w:p>
        </w:tc>
        <w:tc>
          <w:tcPr>
            <w:tcW w:type="dxa" w:w="139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1.000</w:t>
            </w:r>
          </w:p>
        </w:tc>
        <w:tc>
          <w:tcPr>
            <w:tcW w:type="dxa" w:w="139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1.000</w:t>
            </w:r>
          </w:p>
        </w:tc>
      </w:tr>
      <w:tr>
        <w:trPr>
          <w:cantSplit/>
        </w:trPr>
        <w:tc>
          <w:tcPr>
            <w:tcW w:type="dxa" w:w="2496"/>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Target sample covariance</w:t>
            </w:r>
          </w:p>
        </w:tc>
        <w:tc>
          <w:tcPr>
            <w:tcW w:type="dxa" w:w="139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0.844</w:t>
            </w:r>
          </w:p>
        </w:tc>
        <w:tc>
          <w:tcPr>
            <w:tcW w:type="dxa" w:w="139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0.906</w:t>
            </w:r>
          </w:p>
        </w:tc>
        <w:tc>
          <w:tcPr>
            <w:tcW w:type="dxa" w:w="139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0.958</w:t>
            </w:r>
          </w:p>
        </w:tc>
        <w:tc>
          <w:tcPr>
            <w:tcW w:type="dxa" w:w="139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0.990</w:t>
            </w:r>
          </w:p>
        </w:tc>
        <w:tc>
          <w:tcPr>
            <w:tcW w:type="dxa" w:w="139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1.000</w:t>
            </w:r>
          </w:p>
        </w:tc>
      </w:tr>
      <w:tr>
        <w:trPr>
          <w:cantSplit/>
        </w:trPr>
        <w:tc>
          <w:tcPr>
            <w:tcW w:type="dxa" w:w="2496"/>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Source covariance</w:t>
            </w:r>
          </w:p>
        </w:tc>
        <w:tc>
          <w:tcPr>
            <w:tcW w:type="dxa" w:w="139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0.703</w:t>
            </w:r>
          </w:p>
        </w:tc>
        <w:tc>
          <w:tcPr>
            <w:tcW w:type="dxa" w:w="139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0.896</w:t>
            </w:r>
          </w:p>
        </w:tc>
        <w:tc>
          <w:tcPr>
            <w:tcW w:type="dxa" w:w="139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0.948</w:t>
            </w:r>
          </w:p>
        </w:tc>
        <w:tc>
          <w:tcPr>
            <w:tcW w:type="dxa" w:w="139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0.995</w:t>
            </w:r>
          </w:p>
        </w:tc>
        <w:tc>
          <w:tcPr>
            <w:tcW w:type="dxa" w:w="139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1.000</w:t>
            </w:r>
          </w:p>
        </w:tc>
      </w:tr>
      <w:tr>
        <w:trPr>
          <w:cantSplit/>
        </w:trPr>
        <w:tc>
          <w:tcPr>
            <w:tcW w:type="dxa" w:w="2496"/>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Entity-balanced covariance</w:t>
            </w:r>
          </w:p>
        </w:tc>
        <w:tc>
          <w:tcPr>
            <w:tcW w:type="dxa" w:w="139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0.589</w:t>
            </w:r>
          </w:p>
        </w:tc>
        <w:tc>
          <w:tcPr>
            <w:tcW w:type="dxa" w:w="139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0.917</w:t>
            </w:r>
          </w:p>
        </w:tc>
        <w:tc>
          <w:tcPr>
            <w:tcW w:type="dxa" w:w="139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1.000</w:t>
            </w:r>
          </w:p>
        </w:tc>
        <w:tc>
          <w:tcPr>
            <w:tcW w:type="dxa" w:w="139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1.000</w:t>
            </w:r>
          </w:p>
        </w:tc>
        <w:tc>
          <w:tcPr>
            <w:tcW w:type="dxa" w:w="139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1.000</w:t>
            </w:r>
          </w:p>
        </w:tc>
      </w:tr>
      <w:tr>
        <w:trPr>
          <w:cantSplit/>
        </w:trPr>
        <w:tc>
          <w:tcPr>
            <w:tcW w:type="dxa" w:w="2496"/>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Proposed: Log-Euclidean entity covariance</w:t>
            </w:r>
          </w:p>
        </w:tc>
        <w:tc>
          <w:tcPr>
            <w:tcW w:type="dxa" w:w="139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0.526</w:t>
            </w:r>
          </w:p>
        </w:tc>
        <w:tc>
          <w:tcPr>
            <w:tcW w:type="dxa" w:w="139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0.453</w:t>
            </w:r>
          </w:p>
        </w:tc>
        <w:tc>
          <w:tcPr>
            <w:tcW w:type="dxa" w:w="139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0.734</w:t>
            </w:r>
          </w:p>
        </w:tc>
        <w:tc>
          <w:tcPr>
            <w:tcW w:type="dxa" w:w="139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0.854</w:t>
            </w:r>
          </w:p>
        </w:tc>
        <w:tc>
          <w:tcPr>
            <w:tcW w:type="dxa" w:w="139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0.911</w:t>
            </w:r>
          </w:p>
        </w:tc>
      </w:tr>
      <w:tr>
        <w:trPr>
          <w:cantSplit/>
        </w:trPr>
        <w:tc>
          <w:tcPr>
            <w:tcW w:type="dxa" w:w="2496"/>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Target OC-SVM (RBF)</w:t>
            </w:r>
          </w:p>
        </w:tc>
        <w:tc>
          <w:tcPr>
            <w:tcW w:type="dxa" w:w="139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0.464</w:t>
            </w:r>
          </w:p>
        </w:tc>
        <w:tc>
          <w:tcPr>
            <w:tcW w:type="dxa" w:w="139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0.823</w:t>
            </w:r>
          </w:p>
        </w:tc>
        <w:tc>
          <w:tcPr>
            <w:tcW w:type="dxa" w:w="139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0.953</w:t>
            </w:r>
          </w:p>
        </w:tc>
        <w:tc>
          <w:tcPr>
            <w:tcW w:type="dxa" w:w="139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0.990</w:t>
            </w:r>
          </w:p>
        </w:tc>
        <w:tc>
          <w:tcPr>
            <w:tcW w:type="dxa" w:w="139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1.000</w:t>
            </w:r>
          </w:p>
        </w:tc>
      </w:tr>
      <w:tr>
        <w:trPr>
          <w:cantSplit/>
        </w:trPr>
        <w:tc>
          <w:tcPr>
            <w:tcW w:type="dxa" w:w="2496"/>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Source+target OC-SVM (RBF)</w:t>
            </w:r>
          </w:p>
        </w:tc>
        <w:tc>
          <w:tcPr>
            <w:tcW w:type="dxa" w:w="139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0.464</w:t>
            </w:r>
          </w:p>
        </w:tc>
        <w:tc>
          <w:tcPr>
            <w:tcW w:type="dxa" w:w="139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0.802</w:t>
            </w:r>
          </w:p>
        </w:tc>
        <w:tc>
          <w:tcPr>
            <w:tcW w:type="dxa" w:w="139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0.948</w:t>
            </w:r>
          </w:p>
        </w:tc>
        <w:tc>
          <w:tcPr>
            <w:tcW w:type="dxa" w:w="139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0.990</w:t>
            </w:r>
          </w:p>
        </w:tc>
        <w:tc>
          <w:tcPr>
            <w:tcW w:type="dxa" w:w="139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0.995</w:t>
            </w:r>
          </w:p>
        </w:tc>
      </w:tr>
      <w:tr>
        <w:trPr>
          <w:cantSplit/>
        </w:trPr>
        <w:tc>
          <w:tcPr>
            <w:tcW w:type="dxa" w:w="2496"/>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Target Isolation Forest</w:t>
            </w:r>
          </w:p>
        </w:tc>
        <w:tc>
          <w:tcPr>
            <w:tcW w:type="dxa" w:w="139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0.453</w:t>
            </w:r>
          </w:p>
        </w:tc>
        <w:tc>
          <w:tcPr>
            <w:tcW w:type="dxa" w:w="139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0.724</w:t>
            </w:r>
          </w:p>
        </w:tc>
        <w:tc>
          <w:tcPr>
            <w:tcW w:type="dxa" w:w="139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0.979</w:t>
            </w:r>
          </w:p>
        </w:tc>
        <w:tc>
          <w:tcPr>
            <w:tcW w:type="dxa" w:w="139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0.964</w:t>
            </w:r>
          </w:p>
        </w:tc>
        <w:tc>
          <w:tcPr>
            <w:tcW w:type="dxa" w:w="139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0.974</w:t>
            </w:r>
          </w:p>
        </w:tc>
      </w:tr>
      <w:tr>
        <w:trPr>
          <w:cantSplit/>
        </w:trPr>
        <w:tc>
          <w:tcPr>
            <w:tcW w:type="dxa" w:w="2496"/>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Source+target Isolation Forest</w:t>
            </w:r>
          </w:p>
        </w:tc>
        <w:tc>
          <w:tcPr>
            <w:tcW w:type="dxa" w:w="139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0.505</w:t>
            </w:r>
          </w:p>
        </w:tc>
        <w:tc>
          <w:tcPr>
            <w:tcW w:type="dxa" w:w="139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0.807</w:t>
            </w:r>
          </w:p>
        </w:tc>
        <w:tc>
          <w:tcPr>
            <w:tcW w:type="dxa" w:w="139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0.885</w:t>
            </w:r>
          </w:p>
        </w:tc>
        <w:tc>
          <w:tcPr>
            <w:tcW w:type="dxa" w:w="139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0.990</w:t>
            </w:r>
          </w:p>
        </w:tc>
        <w:tc>
          <w:tcPr>
            <w:tcW w:type="dxa" w:w="139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0.990</w:t>
            </w:r>
          </w:p>
        </w:tc>
      </w:tr>
      <w:tr>
        <w:trPr>
          <w:cantSplit/>
        </w:trPr>
        <w:tc>
          <w:tcPr>
            <w:tcW w:type="dxa" w:w="2496"/>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Target MinCovDet</w:t>
            </w:r>
          </w:p>
        </w:tc>
        <w:tc>
          <w:tcPr>
            <w:tcW w:type="dxa" w:w="139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0.755</w:t>
            </w:r>
          </w:p>
        </w:tc>
        <w:tc>
          <w:tcPr>
            <w:tcW w:type="dxa" w:w="139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0.880</w:t>
            </w:r>
          </w:p>
        </w:tc>
        <w:tc>
          <w:tcPr>
            <w:tcW w:type="dxa" w:w="139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0.969</w:t>
            </w:r>
          </w:p>
        </w:tc>
        <w:tc>
          <w:tcPr>
            <w:tcW w:type="dxa" w:w="139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1.000</w:t>
            </w:r>
          </w:p>
        </w:tc>
        <w:tc>
          <w:tcPr>
            <w:tcW w:type="dxa" w:w="139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1.000</w:t>
            </w:r>
          </w:p>
        </w:tc>
      </w:tr>
      <w:tr>
        <w:trPr>
          <w:cantSplit/>
        </w:trPr>
        <w:tc>
          <w:tcPr>
            <w:tcW w:type="dxa" w:w="2496"/>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Source+target MinCovDet</w:t>
            </w:r>
          </w:p>
        </w:tc>
        <w:tc>
          <w:tcPr>
            <w:tcW w:type="dxa" w:w="139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0.698</w:t>
            </w:r>
          </w:p>
        </w:tc>
        <w:tc>
          <w:tcPr>
            <w:tcW w:type="dxa" w:w="139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0.917</w:t>
            </w:r>
          </w:p>
        </w:tc>
        <w:tc>
          <w:tcPr>
            <w:tcW w:type="dxa" w:w="139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1.000</w:t>
            </w:r>
          </w:p>
        </w:tc>
        <w:tc>
          <w:tcPr>
            <w:tcW w:type="dxa" w:w="139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0.969</w:t>
            </w:r>
          </w:p>
        </w:tc>
        <w:tc>
          <w:tcPr>
            <w:tcW w:type="dxa" w:w="139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0.932</w:t>
            </w:r>
          </w:p>
        </w:tc>
      </w:tr>
    </w:tbl>
    <w:p>
      <w:pPr>
        <w:spacing w:after="40"/>
      </w:pPr>
    </w:p>
    <w:p>
      <w:pPr>
        <w:keepNext/>
      </w:pPr>
      <w:r>
        <w:rPr>
          <w:rFonts w:ascii="Liberation Serif" w:hAnsi="Liberation Serif" w:eastAsia="Times New Roman"/>
          <w:sz w:val="22"/>
        </w:rPr>
        <w:t>Table S4.3b. AUROC matched by acceleration block (column group 2 of 2; continued).</w:t>
      </w:r>
    </w:p>
    <w:tbl>
      <w:tblPr>
        <w:tblStyle w:val="TableGrid"/>
        <w:tblW w:type="dxa" w:w="9460"/>
        <w:jc w:val="left"/>
        <w:tblLook w:firstColumn="1" w:firstRow="1" w:lastColumn="0" w:lastRow="0" w:noHBand="0" w:noVBand="1" w:val="04A0"/>
        <w:tblLayout w:type="fixed"/>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2315"/>
        <w:gridCol w:w="1329"/>
        <w:gridCol w:w="1329"/>
        <w:gridCol w:w="1329"/>
        <w:gridCol w:w="1776"/>
        <w:gridCol w:w="1382"/>
      </w:tblGrid>
      <w:tr>
        <w:trPr>
          <w:tblHeader w:val="true"/>
          <w:cantSplit/>
        </w:trPr>
        <w:tc>
          <w:tcPr>
            <w:tcW w:type="dxa" w:w="2315"/>
            <w:tcMar>
              <w:top w:w="80" w:type="dxa"/>
              <w:start w:w="120" w:type="dxa"/>
              <w:bottom w:w="80" w:type="dxa"/>
              <w:end w:w="120" w:type="dxa"/>
            </w:tcMar>
            <w:vAlign w:val="center"/>
            <w:shd w:fill="E7E6E6"/>
          </w:tcPr>
          <w:p>
            <w:pPr>
              <w:spacing w:before="0" w:after="0" w:line="276" w:lineRule="auto"/>
              <w:jc w:val="left"/>
            </w:pPr>
            <w:r>
              <w:rPr>
                <w:rFonts w:ascii="Liberation Serif" w:hAnsi="Liberation Serif" w:eastAsia="Times New Roman"/>
                <w:b/>
                <w:sz w:val="18"/>
              </w:rPr>
              <w:t>Method</w:t>
            </w:r>
          </w:p>
        </w:tc>
        <w:tc>
          <w:tcPr>
            <w:tcW w:type="dxa" w:w="1329"/>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B5</w:t>
            </w:r>
          </w:p>
        </w:tc>
        <w:tc>
          <w:tcPr>
            <w:tcW w:type="dxa" w:w="1329"/>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B6</w:t>
            </w:r>
          </w:p>
        </w:tc>
        <w:tc>
          <w:tcPr>
            <w:tcW w:type="dxa" w:w="1329"/>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B7</w:t>
            </w:r>
          </w:p>
        </w:tc>
        <w:tc>
          <w:tcPr>
            <w:tcW w:type="dxa" w:w="1776"/>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Equal-weight mean</w:t>
            </w:r>
          </w:p>
        </w:tc>
        <w:tc>
          <w:tcPr>
            <w:tcW w:type="dxa" w:w="1382"/>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Pooled</w:t>
            </w:r>
          </w:p>
        </w:tc>
      </w:tr>
      <w:tr>
        <w:trPr>
          <w:cantSplit/>
        </w:trPr>
        <w:tc>
          <w:tcPr>
            <w:tcW w:type="dxa" w:w="2315"/>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Target Ledoit-Wolf</w:t>
            </w:r>
          </w:p>
        </w:tc>
        <w:tc>
          <w:tcPr>
            <w:tcW w:type="dxa" w:w="132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1.000</w:t>
            </w:r>
          </w:p>
        </w:tc>
        <w:tc>
          <w:tcPr>
            <w:tcW w:type="dxa" w:w="132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1.000</w:t>
            </w:r>
          </w:p>
        </w:tc>
        <w:tc>
          <w:tcPr>
            <w:tcW w:type="dxa" w:w="132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1.000</w:t>
            </w:r>
          </w:p>
        </w:tc>
        <w:tc>
          <w:tcPr>
            <w:tcW w:type="dxa" w:w="177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0.913</w:t>
            </w:r>
          </w:p>
        </w:tc>
        <w:tc>
          <w:tcPr>
            <w:tcW w:type="dxa" w:w="138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0.767</w:t>
            </w:r>
          </w:p>
        </w:tc>
      </w:tr>
      <w:tr>
        <w:trPr>
          <w:cantSplit/>
        </w:trPr>
        <w:tc>
          <w:tcPr>
            <w:tcW w:type="dxa" w:w="2315"/>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Target sample covariance</w:t>
            </w:r>
          </w:p>
        </w:tc>
        <w:tc>
          <w:tcPr>
            <w:tcW w:type="dxa" w:w="132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1.000</w:t>
            </w:r>
          </w:p>
        </w:tc>
        <w:tc>
          <w:tcPr>
            <w:tcW w:type="dxa" w:w="132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1.000</w:t>
            </w:r>
          </w:p>
        </w:tc>
        <w:tc>
          <w:tcPr>
            <w:tcW w:type="dxa" w:w="132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1.000</w:t>
            </w:r>
          </w:p>
        </w:tc>
        <w:tc>
          <w:tcPr>
            <w:tcW w:type="dxa" w:w="177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0.962</w:t>
            </w:r>
          </w:p>
        </w:tc>
        <w:tc>
          <w:tcPr>
            <w:tcW w:type="dxa" w:w="138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0.876</w:t>
            </w:r>
          </w:p>
        </w:tc>
      </w:tr>
      <w:tr>
        <w:trPr>
          <w:cantSplit/>
        </w:trPr>
        <w:tc>
          <w:tcPr>
            <w:tcW w:type="dxa" w:w="2315"/>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Source covariance</w:t>
            </w:r>
          </w:p>
        </w:tc>
        <w:tc>
          <w:tcPr>
            <w:tcW w:type="dxa" w:w="132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1.000</w:t>
            </w:r>
          </w:p>
        </w:tc>
        <w:tc>
          <w:tcPr>
            <w:tcW w:type="dxa" w:w="132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1.000</w:t>
            </w:r>
          </w:p>
        </w:tc>
        <w:tc>
          <w:tcPr>
            <w:tcW w:type="dxa" w:w="132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1.000</w:t>
            </w:r>
          </w:p>
        </w:tc>
        <w:tc>
          <w:tcPr>
            <w:tcW w:type="dxa" w:w="177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0.943</w:t>
            </w:r>
          </w:p>
        </w:tc>
        <w:tc>
          <w:tcPr>
            <w:tcW w:type="dxa" w:w="138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0.575</w:t>
            </w:r>
          </w:p>
        </w:tc>
      </w:tr>
      <w:tr>
        <w:trPr>
          <w:cantSplit/>
        </w:trPr>
        <w:tc>
          <w:tcPr>
            <w:tcW w:type="dxa" w:w="2315"/>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Entity-balanced covariance</w:t>
            </w:r>
          </w:p>
        </w:tc>
        <w:tc>
          <w:tcPr>
            <w:tcW w:type="dxa" w:w="132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1.000</w:t>
            </w:r>
          </w:p>
        </w:tc>
        <w:tc>
          <w:tcPr>
            <w:tcW w:type="dxa" w:w="132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1.000</w:t>
            </w:r>
          </w:p>
        </w:tc>
        <w:tc>
          <w:tcPr>
            <w:tcW w:type="dxa" w:w="132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1.000</w:t>
            </w:r>
          </w:p>
        </w:tc>
        <w:tc>
          <w:tcPr>
            <w:tcW w:type="dxa" w:w="177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0.938</w:t>
            </w:r>
          </w:p>
        </w:tc>
        <w:tc>
          <w:tcPr>
            <w:tcW w:type="dxa" w:w="138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0.697</w:t>
            </w:r>
          </w:p>
        </w:tc>
      </w:tr>
      <w:tr>
        <w:trPr>
          <w:cantSplit/>
        </w:trPr>
        <w:tc>
          <w:tcPr>
            <w:tcW w:type="dxa" w:w="2315"/>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Proposed: Log-Euclidean entity covariance</w:t>
            </w:r>
          </w:p>
        </w:tc>
        <w:tc>
          <w:tcPr>
            <w:tcW w:type="dxa" w:w="132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0.958</w:t>
            </w:r>
          </w:p>
        </w:tc>
        <w:tc>
          <w:tcPr>
            <w:tcW w:type="dxa" w:w="132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1.000</w:t>
            </w:r>
          </w:p>
        </w:tc>
        <w:tc>
          <w:tcPr>
            <w:tcW w:type="dxa" w:w="132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1.000</w:t>
            </w:r>
          </w:p>
        </w:tc>
        <w:tc>
          <w:tcPr>
            <w:tcW w:type="dxa" w:w="177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0.805</w:t>
            </w:r>
          </w:p>
        </w:tc>
        <w:tc>
          <w:tcPr>
            <w:tcW w:type="dxa" w:w="138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0.635</w:t>
            </w:r>
          </w:p>
        </w:tc>
      </w:tr>
      <w:tr>
        <w:trPr>
          <w:cantSplit/>
        </w:trPr>
        <w:tc>
          <w:tcPr>
            <w:tcW w:type="dxa" w:w="2315"/>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Target OC-SVM (RBF)</w:t>
            </w:r>
          </w:p>
        </w:tc>
        <w:tc>
          <w:tcPr>
            <w:tcW w:type="dxa" w:w="132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1.000</w:t>
            </w:r>
          </w:p>
        </w:tc>
        <w:tc>
          <w:tcPr>
            <w:tcW w:type="dxa" w:w="132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1.000</w:t>
            </w:r>
          </w:p>
        </w:tc>
        <w:tc>
          <w:tcPr>
            <w:tcW w:type="dxa" w:w="132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0.891</w:t>
            </w:r>
          </w:p>
        </w:tc>
        <w:tc>
          <w:tcPr>
            <w:tcW w:type="dxa" w:w="177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0.890</w:t>
            </w:r>
          </w:p>
        </w:tc>
        <w:tc>
          <w:tcPr>
            <w:tcW w:type="dxa" w:w="138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0.721</w:t>
            </w:r>
          </w:p>
        </w:tc>
      </w:tr>
      <w:tr>
        <w:trPr>
          <w:cantSplit/>
        </w:trPr>
        <w:tc>
          <w:tcPr>
            <w:tcW w:type="dxa" w:w="2315"/>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Source+target OC-SVM (RBF)</w:t>
            </w:r>
          </w:p>
        </w:tc>
        <w:tc>
          <w:tcPr>
            <w:tcW w:type="dxa" w:w="132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1.000</w:t>
            </w:r>
          </w:p>
        </w:tc>
        <w:tc>
          <w:tcPr>
            <w:tcW w:type="dxa" w:w="132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1.000</w:t>
            </w:r>
          </w:p>
        </w:tc>
        <w:tc>
          <w:tcPr>
            <w:tcW w:type="dxa" w:w="132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0.917</w:t>
            </w:r>
          </w:p>
        </w:tc>
        <w:tc>
          <w:tcPr>
            <w:tcW w:type="dxa" w:w="177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0.889</w:t>
            </w:r>
          </w:p>
        </w:tc>
        <w:tc>
          <w:tcPr>
            <w:tcW w:type="dxa" w:w="138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0.688</w:t>
            </w:r>
          </w:p>
        </w:tc>
      </w:tr>
      <w:tr>
        <w:trPr>
          <w:cantSplit/>
        </w:trPr>
        <w:tc>
          <w:tcPr>
            <w:tcW w:type="dxa" w:w="2315"/>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Target Isolation Forest</w:t>
            </w:r>
          </w:p>
        </w:tc>
        <w:tc>
          <w:tcPr>
            <w:tcW w:type="dxa" w:w="132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0.984</w:t>
            </w:r>
          </w:p>
        </w:tc>
        <w:tc>
          <w:tcPr>
            <w:tcW w:type="dxa" w:w="132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1.000</w:t>
            </w:r>
          </w:p>
        </w:tc>
        <w:tc>
          <w:tcPr>
            <w:tcW w:type="dxa" w:w="132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1.000</w:t>
            </w:r>
          </w:p>
        </w:tc>
        <w:tc>
          <w:tcPr>
            <w:tcW w:type="dxa" w:w="177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0.885</w:t>
            </w:r>
          </w:p>
        </w:tc>
        <w:tc>
          <w:tcPr>
            <w:tcW w:type="dxa" w:w="138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0.867</w:t>
            </w:r>
          </w:p>
        </w:tc>
      </w:tr>
      <w:tr>
        <w:trPr>
          <w:cantSplit/>
        </w:trPr>
        <w:tc>
          <w:tcPr>
            <w:tcW w:type="dxa" w:w="2315"/>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Source+target Isolation Forest</w:t>
            </w:r>
          </w:p>
        </w:tc>
        <w:tc>
          <w:tcPr>
            <w:tcW w:type="dxa" w:w="132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1.000</w:t>
            </w:r>
          </w:p>
        </w:tc>
        <w:tc>
          <w:tcPr>
            <w:tcW w:type="dxa" w:w="132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1.000</w:t>
            </w:r>
          </w:p>
        </w:tc>
        <w:tc>
          <w:tcPr>
            <w:tcW w:type="dxa" w:w="132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1.000</w:t>
            </w:r>
          </w:p>
        </w:tc>
        <w:tc>
          <w:tcPr>
            <w:tcW w:type="dxa" w:w="177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0.897</w:t>
            </w:r>
          </w:p>
        </w:tc>
        <w:tc>
          <w:tcPr>
            <w:tcW w:type="dxa" w:w="138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0.825</w:t>
            </w:r>
          </w:p>
        </w:tc>
      </w:tr>
      <w:tr>
        <w:trPr>
          <w:cantSplit/>
        </w:trPr>
        <w:tc>
          <w:tcPr>
            <w:tcW w:type="dxa" w:w="2315"/>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Target MinCovDet</w:t>
            </w:r>
          </w:p>
        </w:tc>
        <w:tc>
          <w:tcPr>
            <w:tcW w:type="dxa" w:w="132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1.000</w:t>
            </w:r>
          </w:p>
        </w:tc>
        <w:tc>
          <w:tcPr>
            <w:tcW w:type="dxa" w:w="132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1.000</w:t>
            </w:r>
          </w:p>
        </w:tc>
        <w:tc>
          <w:tcPr>
            <w:tcW w:type="dxa" w:w="132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1.000</w:t>
            </w:r>
          </w:p>
        </w:tc>
        <w:tc>
          <w:tcPr>
            <w:tcW w:type="dxa" w:w="177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0.951</w:t>
            </w:r>
          </w:p>
        </w:tc>
        <w:tc>
          <w:tcPr>
            <w:tcW w:type="dxa" w:w="138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0.927</w:t>
            </w:r>
          </w:p>
        </w:tc>
      </w:tr>
      <w:tr>
        <w:trPr>
          <w:cantSplit/>
        </w:trPr>
        <w:tc>
          <w:tcPr>
            <w:tcW w:type="dxa" w:w="2315"/>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Source+target MinCovDet</w:t>
            </w:r>
          </w:p>
        </w:tc>
        <w:tc>
          <w:tcPr>
            <w:tcW w:type="dxa" w:w="132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0.979</w:t>
            </w:r>
          </w:p>
        </w:tc>
        <w:tc>
          <w:tcPr>
            <w:tcW w:type="dxa" w:w="132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1.000</w:t>
            </w:r>
          </w:p>
        </w:tc>
        <w:tc>
          <w:tcPr>
            <w:tcW w:type="dxa" w:w="132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1.000</w:t>
            </w:r>
          </w:p>
        </w:tc>
        <w:tc>
          <w:tcPr>
            <w:tcW w:type="dxa" w:w="177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0.937</w:t>
            </w:r>
          </w:p>
        </w:tc>
        <w:tc>
          <w:tcPr>
            <w:tcW w:type="dxa" w:w="138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0.701</w:t>
            </w:r>
          </w:p>
        </w:tc>
      </w:tr>
    </w:tbl>
    <w:p>
      <w:pPr>
        <w:spacing w:after="40"/>
      </w:pPr>
    </w:p>
    <w:p>
      <w:r>
        <w:rPr>
          <w:rFonts w:ascii="Liberation Serif" w:hAnsi="Liberation Serif" w:eastAsia="Times New Roman"/>
          <w:sz w:val="22"/>
        </w:rPr>
        <w:t>Blocks B0-B7 correspond to [12,15), [15,18), [18,21), [21,24), [24,27), [27,30), [30,33), and [33,36) s. Each position-specific AUROC compares four held-out healthy blocks with 48 fault blocks at the same position. The equal-weight mean describes matched-position discrimination; the pooled AUROC remains the frozen primary ranking metric. Neither treats the eight ordered blocks as independent motors.</w:t>
      </w:r>
    </w:p>
    <w:p>
      <w:pPr>
        <w:pStyle w:val="Heading1"/>
      </w:pPr>
      <w:r>
        <w:t>S5. Five-seed stochastic sensitivity</w:t>
      </w:r>
    </w:p>
    <w:p>
      <w:r>
        <w:rPr>
          <w:rFonts w:ascii="Liberation Serif" w:hAnsi="Liberation Serif" w:eastAsia="Times New Roman"/>
          <w:sz w:val="22"/>
        </w:rPr>
        <w:t>The following two column groups share the first-column identifiers and preserve every original row, value, and row order. Read corresponding rows together; splitting is a layout change only.</w:t>
      </w:r>
    </w:p>
    <w:p>
      <w:pPr>
        <w:keepNext/>
      </w:pPr>
      <w:r>
        <w:rPr>
          <w:rFonts w:ascii="Liberation Serif" w:hAnsi="Liberation Serif" w:eastAsia="Times New Roman"/>
          <w:sz w:val="22"/>
        </w:rPr>
        <w:t>Table S5a. Five-seed stochastic sensitivity (column group 1 of 2).</w:t>
      </w:r>
    </w:p>
    <w:tbl>
      <w:tblPr>
        <w:tblStyle w:val="TableGrid"/>
        <w:tblW w:type="dxa" w:w="9460"/>
        <w:jc w:val="left"/>
        <w:tblLook w:firstColumn="1" w:firstRow="1" w:lastColumn="0" w:lastRow="0" w:noHBand="0" w:noVBand="1" w:val="04A0"/>
        <w:tblLayout w:type="fixed"/>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776"/>
        <w:gridCol w:w="1534"/>
        <w:gridCol w:w="1576"/>
        <w:gridCol w:w="1304"/>
        <w:gridCol w:w="1691"/>
        <w:gridCol w:w="1579"/>
      </w:tblGrid>
      <w:tr>
        <w:trPr>
          <w:tblHeader w:val="true"/>
          <w:cantSplit/>
        </w:trPr>
        <w:tc>
          <w:tcPr>
            <w:tcW w:type="dxa" w:w="1776"/>
            <w:tcMar>
              <w:top w:w="80" w:type="dxa"/>
              <w:start w:w="120" w:type="dxa"/>
              <w:bottom w:w="80" w:type="dxa"/>
              <w:end w:w="120" w:type="dxa"/>
            </w:tcMar>
            <w:vAlign w:val="center"/>
            <w:shd w:fill="E7E6E6"/>
          </w:tcPr>
          <w:p>
            <w:pPr>
              <w:spacing w:before="0" w:after="0" w:line="276" w:lineRule="auto"/>
              <w:jc w:val="left"/>
            </w:pPr>
            <w:r>
              <w:rPr>
                <w:rFonts w:ascii="Liberation Serif" w:hAnsi="Liberation Serif" w:eastAsia="Times New Roman"/>
                <w:b/>
                <w:sz w:val="18"/>
              </w:rPr>
              <w:t>Stochastic method</w:t>
            </w:r>
          </w:p>
        </w:tc>
        <w:tc>
          <w:tcPr>
            <w:tcW w:type="dxa" w:w="1534"/>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Primary detection</w:t>
            </w:r>
          </w:p>
        </w:tc>
        <w:tc>
          <w:tcPr>
            <w:tcW w:type="dxa" w:w="1576"/>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Five-seed detection</w:t>
            </w:r>
          </w:p>
        </w:tc>
        <w:tc>
          <w:tcPr>
            <w:tcW w:type="dxa" w:w="1304"/>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Range</w:t>
            </w:r>
          </w:p>
        </w:tc>
        <w:tc>
          <w:tcPr>
            <w:tcW w:type="dxa" w:w="1691"/>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Max |change| from primary</w:t>
            </w:r>
          </w:p>
        </w:tc>
        <w:tc>
          <w:tcPr>
            <w:tcW w:type="dxa" w:w="1579"/>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Health FA range</w:t>
            </w:r>
          </w:p>
        </w:tc>
      </w:tr>
      <w:tr>
        <w:trPr>
          <w:cantSplit/>
        </w:trPr>
        <w:tc>
          <w:tcPr>
            <w:tcW w:type="dxa" w:w="1776"/>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Target Isolation Forest</w:t>
            </w:r>
          </w:p>
        </w:tc>
        <w:tc>
          <w:tcPr>
            <w:tcW w:type="dxa" w:w="153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59.90%</w:t>
            </w:r>
          </w:p>
        </w:tc>
        <w:tc>
          <w:tcPr>
            <w:tcW w:type="dxa" w:w="157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51.30-59.90%</w:t>
            </w:r>
          </w:p>
        </w:tc>
        <w:tc>
          <w:tcPr>
            <w:tcW w:type="dxa" w:w="130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8.59 pp</w:t>
            </w:r>
          </w:p>
        </w:tc>
        <w:tc>
          <w:tcPr>
            <w:tcW w:type="dxa" w:w="1691"/>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8.59 pp</w:t>
            </w:r>
          </w:p>
        </w:tc>
        <w:tc>
          <w:tcPr>
            <w:tcW w:type="dxa" w:w="157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1-3/32 (3.12-9.38%)</w:t>
            </w:r>
          </w:p>
        </w:tc>
      </w:tr>
      <w:tr>
        <w:trPr>
          <w:cantSplit/>
        </w:trPr>
        <w:tc>
          <w:tcPr>
            <w:tcW w:type="dxa" w:w="1776"/>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Source+target Isolation Forest</w:t>
            </w:r>
          </w:p>
        </w:tc>
        <w:tc>
          <w:tcPr>
            <w:tcW w:type="dxa" w:w="153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50.52%</w:t>
            </w:r>
          </w:p>
        </w:tc>
        <w:tc>
          <w:tcPr>
            <w:tcW w:type="dxa" w:w="157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47.92-53.65%</w:t>
            </w:r>
          </w:p>
        </w:tc>
        <w:tc>
          <w:tcPr>
            <w:tcW w:type="dxa" w:w="130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5.73 pp</w:t>
            </w:r>
          </w:p>
        </w:tc>
        <w:tc>
          <w:tcPr>
            <w:tcW w:type="dxa" w:w="1691"/>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3.12 pp</w:t>
            </w:r>
          </w:p>
        </w:tc>
        <w:tc>
          <w:tcPr>
            <w:tcW w:type="dxa" w:w="157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0-3/32 (0.00-9.38%)</w:t>
            </w:r>
          </w:p>
        </w:tc>
      </w:tr>
      <w:tr>
        <w:trPr>
          <w:cantSplit/>
        </w:trPr>
        <w:tc>
          <w:tcPr>
            <w:tcW w:type="dxa" w:w="1776"/>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Target MinCovDet</w:t>
            </w:r>
          </w:p>
        </w:tc>
        <w:tc>
          <w:tcPr>
            <w:tcW w:type="dxa" w:w="153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70.05%</w:t>
            </w:r>
          </w:p>
        </w:tc>
        <w:tc>
          <w:tcPr>
            <w:tcW w:type="dxa" w:w="157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65.36-77.08%</w:t>
            </w:r>
          </w:p>
        </w:tc>
        <w:tc>
          <w:tcPr>
            <w:tcW w:type="dxa" w:w="130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11.72 pp</w:t>
            </w:r>
          </w:p>
        </w:tc>
        <w:tc>
          <w:tcPr>
            <w:tcW w:type="dxa" w:w="1691"/>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7.03 pp</w:t>
            </w:r>
          </w:p>
        </w:tc>
        <w:tc>
          <w:tcPr>
            <w:tcW w:type="dxa" w:w="157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0-2/32 (0.00-6.25%)</w:t>
            </w:r>
          </w:p>
        </w:tc>
      </w:tr>
      <w:tr>
        <w:trPr>
          <w:cantSplit/>
        </w:trPr>
        <w:tc>
          <w:tcPr>
            <w:tcW w:type="dxa" w:w="1776"/>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Source+target MinCovDet</w:t>
            </w:r>
          </w:p>
        </w:tc>
        <w:tc>
          <w:tcPr>
            <w:tcW w:type="dxa" w:w="153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30.21%</w:t>
            </w:r>
          </w:p>
        </w:tc>
        <w:tc>
          <w:tcPr>
            <w:tcW w:type="dxa" w:w="157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30.21-33.85%</w:t>
            </w:r>
          </w:p>
        </w:tc>
        <w:tc>
          <w:tcPr>
            <w:tcW w:type="dxa" w:w="130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3.65 pp</w:t>
            </w:r>
          </w:p>
        </w:tc>
        <w:tc>
          <w:tcPr>
            <w:tcW w:type="dxa" w:w="1691"/>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3.65 pp</w:t>
            </w:r>
          </w:p>
        </w:tc>
        <w:tc>
          <w:tcPr>
            <w:tcW w:type="dxa" w:w="157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1-1/32 (3.12-3.12%)</w:t>
            </w:r>
          </w:p>
        </w:tc>
      </w:tr>
    </w:tbl>
    <w:p>
      <w:pPr>
        <w:spacing w:after="40"/>
      </w:pPr>
    </w:p>
    <w:p>
      <w:pPr>
        <w:keepNext/>
      </w:pPr>
      <w:r>
        <w:rPr>
          <w:rFonts w:ascii="Liberation Serif" w:hAnsi="Liberation Serif" w:eastAsia="Times New Roman"/>
          <w:sz w:val="22"/>
        </w:rPr>
        <w:t>Table S5b. Five-seed stochastic sensitivity (column group 2 of 2; continued).</w:t>
      </w:r>
    </w:p>
    <w:tbl>
      <w:tblPr>
        <w:tblStyle w:val="TableGrid"/>
        <w:tblW w:type="dxa" w:w="9460"/>
        <w:jc w:val="left"/>
        <w:tblLook w:firstColumn="1" w:firstRow="1" w:lastColumn="0" w:lastRow="0" w:noHBand="0" w:noVBand="1" w:val="04A0"/>
        <w:tblLayout w:type="fixed"/>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2915"/>
        <w:gridCol w:w="1958"/>
        <w:gridCol w:w="2392"/>
        <w:gridCol w:w="2195"/>
      </w:tblGrid>
      <w:tr>
        <w:trPr>
          <w:tblHeader w:val="true"/>
          <w:cantSplit/>
        </w:trPr>
        <w:tc>
          <w:tcPr>
            <w:tcW w:type="dxa" w:w="2915"/>
            <w:tcMar>
              <w:top w:w="80" w:type="dxa"/>
              <w:start w:w="120" w:type="dxa"/>
              <w:bottom w:w="80" w:type="dxa"/>
              <w:end w:w="120" w:type="dxa"/>
            </w:tcMar>
            <w:vAlign w:val="center"/>
            <w:shd w:fill="E7E6E6"/>
          </w:tcPr>
          <w:p>
            <w:pPr>
              <w:spacing w:before="0" w:after="0" w:line="276" w:lineRule="auto"/>
              <w:jc w:val="left"/>
            </w:pPr>
            <w:r>
              <w:rPr>
                <w:rFonts w:ascii="Liberation Serif" w:hAnsi="Liberation Serif" w:eastAsia="Times New Roman"/>
                <w:b/>
                <w:sz w:val="18"/>
              </w:rPr>
              <w:t>Stochastic method</w:t>
            </w:r>
          </w:p>
        </w:tc>
        <w:tc>
          <w:tcPr>
            <w:tcW w:type="dxa" w:w="1958"/>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H1 passes</w:t>
            </w:r>
          </w:p>
        </w:tc>
        <w:tc>
          <w:tcPr>
            <w:tcW w:type="dxa" w:w="2392"/>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Threshold range</w:t>
            </w:r>
          </w:p>
        </w:tc>
        <w:tc>
          <w:tcPr>
            <w:tcW w:type="dxa" w:w="2195"/>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AUROC range</w:t>
            </w:r>
          </w:p>
        </w:tc>
      </w:tr>
      <w:tr>
        <w:trPr>
          <w:cantSplit/>
        </w:trPr>
        <w:tc>
          <w:tcPr>
            <w:tcW w:type="dxa" w:w="2915"/>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Target Isolation Forest</w:t>
            </w:r>
          </w:p>
        </w:tc>
        <w:tc>
          <w:tcPr>
            <w:tcW w:type="dxa" w:w="195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0/5</w:t>
            </w:r>
          </w:p>
        </w:tc>
        <w:tc>
          <w:tcPr>
            <w:tcW w:type="dxa" w:w="239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0.562858-0.569218</w:t>
            </w:r>
          </w:p>
        </w:tc>
        <w:tc>
          <w:tcPr>
            <w:tcW w:type="dxa" w:w="2195"/>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0.8371-0.8906</w:t>
            </w:r>
          </w:p>
        </w:tc>
      </w:tr>
      <w:tr>
        <w:trPr>
          <w:cantSplit/>
        </w:trPr>
        <w:tc>
          <w:tcPr>
            <w:tcW w:type="dxa" w:w="2915"/>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Source+target Isolation Forest</w:t>
            </w:r>
          </w:p>
        </w:tc>
        <w:tc>
          <w:tcPr>
            <w:tcW w:type="dxa" w:w="195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2/5</w:t>
            </w:r>
          </w:p>
        </w:tc>
        <w:tc>
          <w:tcPr>
            <w:tcW w:type="dxa" w:w="239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0.578661-0.593532</w:t>
            </w:r>
          </w:p>
        </w:tc>
        <w:tc>
          <w:tcPr>
            <w:tcW w:type="dxa" w:w="2195"/>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0.8062-0.8530</w:t>
            </w:r>
          </w:p>
        </w:tc>
      </w:tr>
      <w:tr>
        <w:trPr>
          <w:cantSplit/>
        </w:trPr>
        <w:tc>
          <w:tcPr>
            <w:tcW w:type="dxa" w:w="2915"/>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Target MinCovDet</w:t>
            </w:r>
          </w:p>
        </w:tc>
        <w:tc>
          <w:tcPr>
            <w:tcW w:type="dxa" w:w="195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3/5</w:t>
            </w:r>
          </w:p>
        </w:tc>
        <w:tc>
          <w:tcPr>
            <w:tcW w:type="dxa" w:w="239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934.173-1396.26</w:t>
            </w:r>
          </w:p>
        </w:tc>
        <w:tc>
          <w:tcPr>
            <w:tcW w:type="dxa" w:w="2195"/>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0.9219-0.9352</w:t>
            </w:r>
          </w:p>
        </w:tc>
      </w:tr>
      <w:tr>
        <w:trPr>
          <w:cantSplit/>
        </w:trPr>
        <w:tc>
          <w:tcPr>
            <w:tcW w:type="dxa" w:w="2915"/>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Source+target MinCovDet</w:t>
            </w:r>
          </w:p>
        </w:tc>
        <w:tc>
          <w:tcPr>
            <w:tcW w:type="dxa" w:w="195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0/5</w:t>
            </w:r>
          </w:p>
        </w:tc>
        <w:tc>
          <w:tcPr>
            <w:tcW w:type="dxa" w:w="239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8857.36-9802.52</w:t>
            </w:r>
          </w:p>
        </w:tc>
        <w:tc>
          <w:tcPr>
            <w:tcW w:type="dxa" w:w="2195"/>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0.6795-0.7320</w:t>
            </w:r>
          </w:p>
        </w:tc>
      </w:tr>
    </w:tbl>
    <w:p>
      <w:pPr>
        <w:spacing w:after="40"/>
      </w:pPr>
    </w:p>
    <w:p>
      <w:r>
        <w:rPr>
          <w:rFonts w:ascii="Liberation Serif" w:hAnsi="Liberation Serif" w:eastAsia="Times New Roman"/>
          <w:sz w:val="22"/>
        </w:rPr>
        <w:t>The five-seed list 20260820, 1201, 2402, 3603, 4804 was fixed for exploratory KAIST baselines before external reveal; the external five-seed audit itself was post-reveal. Only 20260820 is the prespecified external seed. For each seed, the estimator is refitted only on the same frozen healthy training subset, and its threshold is mechanically recalibrated from the same 24 healthy calibration blocks at alpha 0.05. No fault score affects a threshold. Primary-seed reconciliation gave zero alarm mismatches for all four methods (maximum score discrepancy 1.46 × 10^-11). No formal seed-stability gate was specified before reveal, so the full ranges are descriptive and were not used to change the reported model or protocol.</w:t>
      </w:r>
    </w:p>
    <w:p>
      <w:pPr>
        <w:pStyle w:val="Heading1"/>
      </w:pPr>
      <w:r>
        <w:t>S6. Post-reveal feature drift and frozen-geometry reconstruction</w:t>
      </w:r>
    </w:p>
    <w:p>
      <w:r>
        <w:rPr>
          <w:rFonts w:ascii="Liberation Serif" w:hAnsi="Liberation Serif" w:eastAsia="Times New Roman"/>
          <w:sz w:val="22"/>
        </w:rPr>
        <w:t>The feature diagnostic is post-reveal and descriptive. Single-feature AUROC pools 64 healthy and 384 fault record-subsystem-block means over the four held-out healthy loads; each mean contains 15 windows. This is common-support pooled AUROC, not pair-conditional AUROC. Direction-free values equal max(AUROC, 1-AUROC), choosing orientation after reveal. The displayed top-eight ranking uses robust-z direction-free AUROC on these revealed labels; it is not independently validated feature performance. Matched differences and their dz separately match load, subsystem, and block position; one healthy condition is reused across six fault conditions. Here dz is the mean paired robust-z difference divided by its sample standard deviation (ddof=1). The matched units are not independent motor replications.</w:t>
      </w:r>
    </w:p>
    <w:p>
      <w:r>
        <w:rPr>
          <w:rFonts w:ascii="Liberation Serif" w:hAnsi="Liberation Serif" w:eastAsia="Times New Roman"/>
          <w:sz w:val="22"/>
        </w:rPr>
        <w:t>Frozen-score allocation instead uses the winning subsystem/window of each physical system block: 32 held-out health blocks and 384 fault blocks at all eight loads. For target-standardized coordinates z, c_j = z_j(Pz)_j sums to z^T Pz. Individual terms can be negative. Each winning window's absolute share is |c_j|/sum_k |c_k|, then averaged over blocks. Thus these allocation shares and single-feature AUROCs have different units and load support; they are not an ablation comparison.</w:t>
      </w:r>
    </w:p>
    <w:p>
      <w:r>
        <w:rPr>
          <w:rFonts w:ascii="Liberation Serif" w:hAnsi="Liberation Serif" w:eastAsia="Times New Roman"/>
          <w:sz w:val="22"/>
        </w:rPr>
        <w:t>The following two column groups share the first-column identifiers and preserve every original row, value, and row order. Read corresponding rows together; splitting is a layout change only.</w:t>
      </w:r>
    </w:p>
    <w:p>
      <w:pPr>
        <w:keepNext/>
      </w:pPr>
      <w:r>
        <w:rPr>
          <w:rFonts w:ascii="Liberation Serif" w:hAnsi="Liberation Serif" w:eastAsia="Times New Roman"/>
          <w:sz w:val="22"/>
        </w:rPr>
        <w:t>Table S6a. Post-reveal feature drift and frozen-geometry reconstruction (column group 1 of 2).</w:t>
      </w:r>
    </w:p>
    <w:tbl>
      <w:tblPr>
        <w:tblStyle w:val="TableGrid"/>
        <w:tblW w:type="dxa" w:w="9460"/>
        <w:jc w:val="left"/>
        <w:tblLook w:firstColumn="1" w:firstRow="1" w:lastColumn="0" w:lastRow="0" w:noHBand="0" w:noVBand="1" w:val="04A0"/>
        <w:tblLayout w:type="fixed"/>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590"/>
        <w:gridCol w:w="1484"/>
        <w:gridCol w:w="1590"/>
        <w:gridCol w:w="1668"/>
        <w:gridCol w:w="1503"/>
        <w:gridCol w:w="1625"/>
      </w:tblGrid>
      <w:tr>
        <w:trPr>
          <w:tblHeader w:val="true"/>
          <w:cantSplit/>
        </w:trPr>
        <w:tc>
          <w:tcPr>
            <w:tcW w:type="dxa" w:w="1590"/>
            <w:tcMar>
              <w:top w:w="80" w:type="dxa"/>
              <w:start w:w="120" w:type="dxa"/>
              <w:bottom w:w="80" w:type="dxa"/>
              <w:end w:w="120" w:type="dxa"/>
            </w:tcMar>
            <w:vAlign w:val="center"/>
            <w:shd w:fill="E7E6E6"/>
          </w:tcPr>
          <w:p>
            <w:pPr>
              <w:spacing w:before="0" w:after="0" w:line="276" w:lineRule="auto"/>
              <w:jc w:val="left"/>
            </w:pPr>
            <w:r>
              <w:rPr>
                <w:rFonts w:ascii="Liberation Serif" w:hAnsi="Liberation Serif" w:eastAsia="Times New Roman"/>
                <w:b/>
                <w:sz w:val="18"/>
              </w:rPr>
              <w:t>Feature</w:t>
            </w:r>
          </w:p>
        </w:tc>
        <w:tc>
          <w:tcPr>
            <w:tcW w:type="dxa" w:w="1484"/>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Family</w:t>
            </w:r>
          </w:p>
        </w:tc>
        <w:tc>
          <w:tcPr>
            <w:tcW w:type="dxa" w:w="1590"/>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Raw direction-free AUROC</w:t>
            </w:r>
          </w:p>
        </w:tc>
        <w:tc>
          <w:tcPr>
            <w:tcW w:type="dxa" w:w="1668"/>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Robust-z direction-free AUROC</w:t>
            </w:r>
          </w:p>
        </w:tc>
        <w:tc>
          <w:tcPr>
            <w:tcW w:type="dxa" w:w="1503"/>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Matched robust-z dz</w:t>
            </w:r>
          </w:p>
        </w:tc>
        <w:tc>
          <w:tcPr>
            <w:tcW w:type="dxa" w:w="1625"/>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Fault |contribution| share</w:t>
            </w:r>
          </w:p>
        </w:tc>
      </w:tr>
      <w:tr>
        <w:trPr>
          <w:cantSplit/>
        </w:trPr>
        <w:tc>
          <w:tcPr>
            <w:tcW w:type="dxa" w:w="1590"/>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harmonic_3_ratio_max</w:t>
            </w:r>
          </w:p>
        </w:tc>
        <w:tc>
          <w:tcPr>
            <w:tcW w:type="dxa" w:w="148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harmonic sideband</w:t>
            </w:r>
          </w:p>
        </w:tc>
        <w:tc>
          <w:tcPr>
            <w:tcW w:type="dxa" w:w="1590"/>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0.927</w:t>
            </w:r>
          </w:p>
        </w:tc>
        <w:tc>
          <w:tcPr>
            <w:tcW w:type="dxa" w:w="166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0.933</w:t>
            </w:r>
          </w:p>
        </w:tc>
        <w:tc>
          <w:tcPr>
            <w:tcW w:type="dxa" w:w="1503"/>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+1.032</w:t>
            </w:r>
          </w:p>
        </w:tc>
        <w:tc>
          <w:tcPr>
            <w:tcW w:type="dxa" w:w="1625"/>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0.35%</w:t>
            </w:r>
          </w:p>
        </w:tc>
      </w:tr>
      <w:tr>
        <w:trPr>
          <w:cantSplit/>
        </w:trPr>
        <w:tc>
          <w:tcPr>
            <w:tcW w:type="dxa" w:w="1590"/>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harmonic_3_ratio_mean</w:t>
            </w:r>
          </w:p>
        </w:tc>
        <w:tc>
          <w:tcPr>
            <w:tcW w:type="dxa" w:w="148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harmonic sideband</w:t>
            </w:r>
          </w:p>
        </w:tc>
        <w:tc>
          <w:tcPr>
            <w:tcW w:type="dxa" w:w="1590"/>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0.925</w:t>
            </w:r>
          </w:p>
        </w:tc>
        <w:tc>
          <w:tcPr>
            <w:tcW w:type="dxa" w:w="166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0.925</w:t>
            </w:r>
          </w:p>
        </w:tc>
        <w:tc>
          <w:tcPr>
            <w:tcW w:type="dxa" w:w="1503"/>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+0.992</w:t>
            </w:r>
          </w:p>
        </w:tc>
        <w:tc>
          <w:tcPr>
            <w:tcW w:type="dxa" w:w="1625"/>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0.24%</w:t>
            </w:r>
          </w:p>
        </w:tc>
      </w:tr>
      <w:tr>
        <w:trPr>
          <w:cantSplit/>
        </w:trPr>
        <w:tc>
          <w:tcPr>
            <w:tcW w:type="dxa" w:w="1590"/>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rms_ratio_a</w:t>
            </w:r>
          </w:p>
        </w:tc>
        <w:tc>
          <w:tcPr>
            <w:tcW w:type="dxa" w:w="148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current shape</w:t>
            </w:r>
          </w:p>
        </w:tc>
        <w:tc>
          <w:tcPr>
            <w:tcW w:type="dxa" w:w="1590"/>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0.815</w:t>
            </w:r>
          </w:p>
        </w:tc>
        <w:tc>
          <w:tcPr>
            <w:tcW w:type="dxa" w:w="166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0.862</w:t>
            </w:r>
          </w:p>
        </w:tc>
        <w:tc>
          <w:tcPr>
            <w:tcW w:type="dxa" w:w="1503"/>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+0.679</w:t>
            </w:r>
          </w:p>
        </w:tc>
        <w:tc>
          <w:tcPr>
            <w:tcW w:type="dxa" w:w="1625"/>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21.62%</w:t>
            </w:r>
          </w:p>
        </w:tc>
      </w:tr>
      <w:tr>
        <w:trPr>
          <w:cantSplit/>
        </w:trPr>
        <w:tc>
          <w:tcPr>
            <w:tcW w:type="dxa" w:w="1590"/>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phase_rms_cv</w:t>
            </w:r>
          </w:p>
        </w:tc>
        <w:tc>
          <w:tcPr>
            <w:tcW w:type="dxa" w:w="148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sequence imbalance</w:t>
            </w:r>
          </w:p>
        </w:tc>
        <w:tc>
          <w:tcPr>
            <w:tcW w:type="dxa" w:w="1590"/>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0.769</w:t>
            </w:r>
          </w:p>
        </w:tc>
        <w:tc>
          <w:tcPr>
            <w:tcW w:type="dxa" w:w="166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0.825</w:t>
            </w:r>
          </w:p>
        </w:tc>
        <w:tc>
          <w:tcPr>
            <w:tcW w:type="dxa" w:w="1503"/>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+0.662</w:t>
            </w:r>
          </w:p>
        </w:tc>
        <w:tc>
          <w:tcPr>
            <w:tcW w:type="dxa" w:w="1625"/>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9.42%</w:t>
            </w:r>
          </w:p>
        </w:tc>
      </w:tr>
      <w:tr>
        <w:trPr>
          <w:cantSplit/>
        </w:trPr>
        <w:tc>
          <w:tcPr>
            <w:tcW w:type="dxa" w:w="1590"/>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fundamental_amplitude_cv</w:t>
            </w:r>
          </w:p>
        </w:tc>
        <w:tc>
          <w:tcPr>
            <w:tcW w:type="dxa" w:w="148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current shape</w:t>
            </w:r>
          </w:p>
        </w:tc>
        <w:tc>
          <w:tcPr>
            <w:tcW w:type="dxa" w:w="1590"/>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0.769</w:t>
            </w:r>
          </w:p>
        </w:tc>
        <w:tc>
          <w:tcPr>
            <w:tcW w:type="dxa" w:w="166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0.797</w:t>
            </w:r>
          </w:p>
        </w:tc>
        <w:tc>
          <w:tcPr>
            <w:tcW w:type="dxa" w:w="1503"/>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+0.661</w:t>
            </w:r>
          </w:p>
        </w:tc>
        <w:tc>
          <w:tcPr>
            <w:tcW w:type="dxa" w:w="1625"/>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3.34%</w:t>
            </w:r>
          </w:p>
        </w:tc>
      </w:tr>
      <w:tr>
        <w:trPr>
          <w:cantSplit/>
        </w:trPr>
        <w:tc>
          <w:tcPr>
            <w:tcW w:type="dxa" w:w="1590"/>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thd_2_to_5_mean</w:t>
            </w:r>
          </w:p>
        </w:tc>
        <w:tc>
          <w:tcPr>
            <w:tcW w:type="dxa" w:w="148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harmonic sideband</w:t>
            </w:r>
          </w:p>
        </w:tc>
        <w:tc>
          <w:tcPr>
            <w:tcW w:type="dxa" w:w="1590"/>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0.788</w:t>
            </w:r>
          </w:p>
        </w:tc>
        <w:tc>
          <w:tcPr>
            <w:tcW w:type="dxa" w:w="166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0.795</w:t>
            </w:r>
          </w:p>
        </w:tc>
        <w:tc>
          <w:tcPr>
            <w:tcW w:type="dxa" w:w="1503"/>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+0.840</w:t>
            </w:r>
          </w:p>
        </w:tc>
        <w:tc>
          <w:tcPr>
            <w:tcW w:type="dxa" w:w="1625"/>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1.21%</w:t>
            </w:r>
          </w:p>
        </w:tc>
      </w:tr>
      <w:tr>
        <w:trPr>
          <w:cantSplit/>
        </w:trPr>
        <w:tc>
          <w:tcPr>
            <w:tcW w:type="dxa" w:w="1590"/>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rms_ratio_c</w:t>
            </w:r>
          </w:p>
        </w:tc>
        <w:tc>
          <w:tcPr>
            <w:tcW w:type="dxa" w:w="148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current shape</w:t>
            </w:r>
          </w:p>
        </w:tc>
        <w:tc>
          <w:tcPr>
            <w:tcW w:type="dxa" w:w="1590"/>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0.664</w:t>
            </w:r>
          </w:p>
        </w:tc>
        <w:tc>
          <w:tcPr>
            <w:tcW w:type="dxa" w:w="166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0.741</w:t>
            </w:r>
          </w:p>
        </w:tc>
        <w:tc>
          <w:tcPr>
            <w:tcW w:type="dxa" w:w="1503"/>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-0.179</w:t>
            </w:r>
          </w:p>
        </w:tc>
        <w:tc>
          <w:tcPr>
            <w:tcW w:type="dxa" w:w="1625"/>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2.30%</w:t>
            </w:r>
          </w:p>
        </w:tc>
      </w:tr>
      <w:tr>
        <w:trPr>
          <w:cantSplit/>
        </w:trPr>
        <w:tc>
          <w:tcPr>
            <w:tcW w:type="dxa" w:w="1590"/>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zero_sequence_ratio</w:t>
            </w:r>
          </w:p>
        </w:tc>
        <w:tc>
          <w:tcPr>
            <w:tcW w:type="dxa" w:w="148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sequence imbalance</w:t>
            </w:r>
          </w:p>
        </w:tc>
        <w:tc>
          <w:tcPr>
            <w:tcW w:type="dxa" w:w="1590"/>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0.695</w:t>
            </w:r>
          </w:p>
        </w:tc>
        <w:tc>
          <w:tcPr>
            <w:tcW w:type="dxa" w:w="166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0.701</w:t>
            </w:r>
          </w:p>
        </w:tc>
        <w:tc>
          <w:tcPr>
            <w:tcW w:type="dxa" w:w="1503"/>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-0.998</w:t>
            </w:r>
          </w:p>
        </w:tc>
        <w:tc>
          <w:tcPr>
            <w:tcW w:type="dxa" w:w="1625"/>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8.50%</w:t>
            </w:r>
          </w:p>
        </w:tc>
      </w:tr>
    </w:tbl>
    <w:p>
      <w:pPr>
        <w:spacing w:after="40"/>
      </w:pPr>
    </w:p>
    <w:p>
      <w:pPr>
        <w:keepNext/>
      </w:pPr>
      <w:r>
        <w:rPr>
          <w:rFonts w:ascii="Liberation Serif" w:hAnsi="Liberation Serif" w:eastAsia="Times New Roman"/>
          <w:sz w:val="22"/>
        </w:rPr>
        <w:t>Table S6b. Post-reveal feature drift and frozen-geometry reconstruction (column group 2 of 2; continued).</w:t>
      </w:r>
    </w:p>
    <w:tbl>
      <w:tblPr>
        <w:tblStyle w:val="TableGrid"/>
        <w:tblW w:type="dxa" w:w="9460"/>
        <w:jc w:val="left"/>
        <w:tblLook w:firstColumn="1" w:firstRow="1" w:lastColumn="0" w:lastRow="0" w:noHBand="0" w:noVBand="1" w:val="04A0"/>
        <w:tblLayout w:type="fixed"/>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3276"/>
        <w:gridCol w:w="3426"/>
        <w:gridCol w:w="2758"/>
      </w:tblGrid>
      <w:tr>
        <w:trPr>
          <w:tblHeader w:val="true"/>
          <w:cantSplit/>
        </w:trPr>
        <w:tc>
          <w:tcPr>
            <w:tcW w:type="dxa" w:w="3276"/>
            <w:tcMar>
              <w:top w:w="80" w:type="dxa"/>
              <w:start w:w="120" w:type="dxa"/>
              <w:bottom w:w="80" w:type="dxa"/>
              <w:end w:w="120" w:type="dxa"/>
            </w:tcMar>
            <w:vAlign w:val="center"/>
            <w:shd w:fill="E7E6E6"/>
          </w:tcPr>
          <w:p>
            <w:pPr>
              <w:spacing w:before="0" w:after="0" w:line="276" w:lineRule="auto"/>
              <w:jc w:val="left"/>
            </w:pPr>
            <w:r>
              <w:rPr>
                <w:rFonts w:ascii="Liberation Serif" w:hAnsi="Liberation Serif" w:eastAsia="Times New Roman"/>
                <w:b/>
                <w:sz w:val="18"/>
              </w:rPr>
              <w:t>Feature</w:t>
            </w:r>
          </w:p>
        </w:tc>
        <w:tc>
          <w:tcPr>
            <w:tcW w:type="dxa" w:w="3426"/>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Health |contribution| share</w:t>
            </w:r>
          </w:p>
        </w:tc>
        <w:tc>
          <w:tcPr>
            <w:tcW w:type="dxa" w:w="2758"/>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Max |speed rho|</w:t>
            </w:r>
          </w:p>
        </w:tc>
      </w:tr>
      <w:tr>
        <w:trPr>
          <w:cantSplit/>
        </w:trPr>
        <w:tc>
          <w:tcPr>
            <w:tcW w:type="dxa" w:w="3276"/>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harmonic_3_ratio_max</w:t>
            </w:r>
          </w:p>
        </w:tc>
        <w:tc>
          <w:tcPr>
            <w:tcW w:type="dxa" w:w="342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0.71%</w:t>
            </w:r>
          </w:p>
        </w:tc>
        <w:tc>
          <w:tcPr>
            <w:tcW w:type="dxa" w:w="275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0.509</w:t>
            </w:r>
          </w:p>
        </w:tc>
      </w:tr>
      <w:tr>
        <w:trPr>
          <w:cantSplit/>
        </w:trPr>
        <w:tc>
          <w:tcPr>
            <w:tcW w:type="dxa" w:w="3276"/>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harmonic_3_ratio_mean</w:t>
            </w:r>
          </w:p>
        </w:tc>
        <w:tc>
          <w:tcPr>
            <w:tcW w:type="dxa" w:w="342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0.52%</w:t>
            </w:r>
          </w:p>
        </w:tc>
        <w:tc>
          <w:tcPr>
            <w:tcW w:type="dxa" w:w="275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0.501</w:t>
            </w:r>
          </w:p>
        </w:tc>
      </w:tr>
      <w:tr>
        <w:trPr>
          <w:cantSplit/>
        </w:trPr>
        <w:tc>
          <w:tcPr>
            <w:tcW w:type="dxa" w:w="3276"/>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rms_ratio_a</w:t>
            </w:r>
          </w:p>
        </w:tc>
        <w:tc>
          <w:tcPr>
            <w:tcW w:type="dxa" w:w="342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3.86%</w:t>
            </w:r>
          </w:p>
        </w:tc>
        <w:tc>
          <w:tcPr>
            <w:tcW w:type="dxa" w:w="275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0.469</w:t>
            </w:r>
          </w:p>
        </w:tc>
      </w:tr>
      <w:tr>
        <w:trPr>
          <w:cantSplit/>
        </w:trPr>
        <w:tc>
          <w:tcPr>
            <w:tcW w:type="dxa" w:w="3276"/>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phase_rms_cv</w:t>
            </w:r>
          </w:p>
        </w:tc>
        <w:tc>
          <w:tcPr>
            <w:tcW w:type="dxa" w:w="342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8.08%</w:t>
            </w:r>
          </w:p>
        </w:tc>
        <w:tc>
          <w:tcPr>
            <w:tcW w:type="dxa" w:w="275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0.513</w:t>
            </w:r>
          </w:p>
        </w:tc>
      </w:tr>
      <w:tr>
        <w:trPr>
          <w:cantSplit/>
        </w:trPr>
        <w:tc>
          <w:tcPr>
            <w:tcW w:type="dxa" w:w="3276"/>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fundamental_amplitude_cv</w:t>
            </w:r>
          </w:p>
        </w:tc>
        <w:tc>
          <w:tcPr>
            <w:tcW w:type="dxa" w:w="342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1.26%</w:t>
            </w:r>
          </w:p>
        </w:tc>
        <w:tc>
          <w:tcPr>
            <w:tcW w:type="dxa" w:w="275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0.598</w:t>
            </w:r>
          </w:p>
        </w:tc>
      </w:tr>
      <w:tr>
        <w:trPr>
          <w:cantSplit/>
        </w:trPr>
        <w:tc>
          <w:tcPr>
            <w:tcW w:type="dxa" w:w="3276"/>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thd_2_to_5_mean</w:t>
            </w:r>
          </w:p>
        </w:tc>
        <w:tc>
          <w:tcPr>
            <w:tcW w:type="dxa" w:w="342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0.96%</w:t>
            </w:r>
          </w:p>
        </w:tc>
        <w:tc>
          <w:tcPr>
            <w:tcW w:type="dxa" w:w="275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0.588</w:t>
            </w:r>
          </w:p>
        </w:tc>
      </w:tr>
      <w:tr>
        <w:trPr>
          <w:cantSplit/>
        </w:trPr>
        <w:tc>
          <w:tcPr>
            <w:tcW w:type="dxa" w:w="3276"/>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rms_ratio_c</w:t>
            </w:r>
          </w:p>
        </w:tc>
        <w:tc>
          <w:tcPr>
            <w:tcW w:type="dxa" w:w="342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0.45%</w:t>
            </w:r>
          </w:p>
        </w:tc>
        <w:tc>
          <w:tcPr>
            <w:tcW w:type="dxa" w:w="275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0.080</w:t>
            </w:r>
          </w:p>
        </w:tc>
      </w:tr>
      <w:tr>
        <w:trPr>
          <w:cantSplit/>
        </w:trPr>
        <w:tc>
          <w:tcPr>
            <w:tcW w:type="dxa" w:w="3276"/>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zero_sequence_ratio</w:t>
            </w:r>
          </w:p>
        </w:tc>
        <w:tc>
          <w:tcPr>
            <w:tcW w:type="dxa" w:w="342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8.79%</w:t>
            </w:r>
          </w:p>
        </w:tc>
        <w:tc>
          <w:tcPr>
            <w:tcW w:type="dxa" w:w="275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0.067</w:t>
            </w:r>
          </w:p>
        </w:tc>
      </w:tr>
    </w:tbl>
    <w:p>
      <w:pPr>
        <w:spacing w:after="40"/>
      </w:pPr>
    </w:p>
    <w:p>
      <w:r>
        <w:rPr>
          <w:rFonts w:ascii="Liberation Serif" w:hAnsi="Liberation Serif" w:eastAsia="Times New Roman"/>
          <w:sz w:val="22"/>
        </w:rPr>
        <w:t xml:space="preserve">Harmonic-3 ratios discriminate fault from health individually but receive less than 1% of the frozen score's absolute contribution, whereas </w:t>
      </w:r>
      <w:r>
        <w:rPr>
          <w:rFonts w:ascii="Liberation Serif" w:hAnsi="Liberation Serif" w:eastAsia="Courier New"/>
          <w:sz w:val="22"/>
        </w:rPr>
        <w:t>rms_ratio_a</w:t>
      </w:r>
      <w:r>
        <w:rPr>
          <w:rFonts w:ascii="Liberation Serif" w:hAnsi="Liberation Serif" w:eastAsia="Times New Roman"/>
          <w:sz w:val="22"/>
        </w:rPr>
        <w:t xml:space="preserve"> receives 21.62%. These distinct summaries motivate a locked-reference misalignment hypothesis. Low absolute allocation does not establish feature irrelevance, and this coordinate- dependent, non-unique decomposition did not select or reweight features. Block and fundamental frequency co-move, and the reported speed associations do not identify causal fault features.</w:t>
      </w:r>
    </w:p>
    <w:p>
      <w:pPr>
        <w:pStyle w:val="Heading2"/>
      </w:pPr>
      <w:r>
        <w:t>S6.1. Exact reconstruction checks</w:t>
      </w:r>
    </w:p>
    <w:tbl>
      <w:tblPr>
        <w:tblStyle w:val="TableGrid"/>
        <w:tblW w:type="dxa" w:w="9460"/>
        <w:jc w:val="left"/>
        <w:tblLook w:firstColumn="1" w:firstRow="1" w:lastColumn="0" w:lastRow="0" w:noHBand="0" w:noVBand="1" w:val="04A0"/>
        <w:tblLayout w:type="fixed"/>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243"/>
        <w:gridCol w:w="1426"/>
        <w:gridCol w:w="1243"/>
        <w:gridCol w:w="1391"/>
        <w:gridCol w:w="1553"/>
        <w:gridCol w:w="1311"/>
        <w:gridCol w:w="1293"/>
      </w:tblGrid>
      <w:tr>
        <w:trPr>
          <w:tblHeader w:val="true"/>
          <w:cantSplit/>
        </w:trPr>
        <w:tc>
          <w:tcPr>
            <w:tcW w:type="dxa" w:w="1243"/>
            <w:tcMar>
              <w:top w:w="80" w:type="dxa"/>
              <w:start w:w="120" w:type="dxa"/>
              <w:bottom w:w="80" w:type="dxa"/>
              <w:end w:w="120" w:type="dxa"/>
            </w:tcMar>
            <w:vAlign w:val="center"/>
            <w:shd w:fill="E7E6E6"/>
          </w:tcPr>
          <w:p>
            <w:pPr>
              <w:keepNext/>
              <w:spacing w:before="0" w:after="0" w:line="276" w:lineRule="auto"/>
              <w:jc w:val="left"/>
            </w:pPr>
            <w:r>
              <w:rPr>
                <w:rFonts w:ascii="Liberation Serif" w:hAnsi="Liberation Serif" w:eastAsia="Times New Roman"/>
                <w:b/>
                <w:sz w:val="18"/>
              </w:rPr>
              <w:t>Subsystem</w:t>
            </w:r>
          </w:p>
        </w:tc>
        <w:tc>
          <w:tcPr>
            <w:tcW w:type="dxa" w:w="1426"/>
            <w:tcMar>
              <w:top w:w="80" w:type="dxa"/>
              <w:start w:w="120" w:type="dxa"/>
              <w:bottom w:w="80" w:type="dxa"/>
              <w:end w:w="120" w:type="dxa"/>
            </w:tcMar>
            <w:vAlign w:val="center"/>
            <w:shd w:fill="E7E6E6"/>
          </w:tcPr>
          <w:p>
            <w:pPr>
              <w:keepNext/>
              <w:spacing w:before="0" w:after="0" w:line="276" w:lineRule="auto"/>
              <w:jc w:val="center"/>
            </w:pPr>
            <w:r>
              <w:rPr>
                <w:rFonts w:ascii="Liberation Serif" w:hAnsi="Liberation Serif" w:eastAsia="Times New Roman"/>
                <w:b/>
                <w:sz w:val="18"/>
              </w:rPr>
              <w:t>Adaptation windows</w:t>
            </w:r>
          </w:p>
        </w:tc>
        <w:tc>
          <w:tcPr>
            <w:tcW w:type="dxa" w:w="1243"/>
            <w:tcMar>
              <w:top w:w="80" w:type="dxa"/>
              <w:start w:w="120" w:type="dxa"/>
              <w:bottom w:w="80" w:type="dxa"/>
              <w:end w:w="120" w:type="dxa"/>
            </w:tcMar>
            <w:vAlign w:val="center"/>
            <w:shd w:fill="E7E6E6"/>
          </w:tcPr>
          <w:p>
            <w:pPr>
              <w:keepNext/>
              <w:spacing w:before="0" w:after="0" w:line="276" w:lineRule="auto"/>
              <w:jc w:val="center"/>
            </w:pPr>
            <w:r>
              <w:rPr>
                <w:rFonts w:ascii="Liberation Serif" w:hAnsi="Liberation Serif" w:eastAsia="Times New Roman"/>
                <w:b/>
                <w:sz w:val="18"/>
              </w:rPr>
              <w:t>Rank / 27</w:t>
            </w:r>
          </w:p>
        </w:tc>
        <w:tc>
          <w:tcPr>
            <w:tcW w:type="dxa" w:w="1391"/>
            <w:tcMar>
              <w:top w:w="80" w:type="dxa"/>
              <w:start w:w="120" w:type="dxa"/>
              <w:bottom w:w="80" w:type="dxa"/>
              <w:end w:w="120" w:type="dxa"/>
            </w:tcMar>
            <w:vAlign w:val="center"/>
            <w:shd w:fill="E7E6E6"/>
          </w:tcPr>
          <w:p>
            <w:pPr>
              <w:keepNext/>
              <w:spacing w:before="0" w:after="0" w:line="276" w:lineRule="auto"/>
              <w:jc w:val="center"/>
            </w:pPr>
            <w:r>
              <w:rPr>
                <w:rFonts w:ascii="Liberation Serif" w:hAnsi="Liberation Serif" w:eastAsia="Times New Roman"/>
                <w:b/>
                <w:sz w:val="18"/>
              </w:rPr>
              <w:t>Condition number</w:t>
            </w:r>
          </w:p>
        </w:tc>
        <w:tc>
          <w:tcPr>
            <w:tcW w:type="dxa" w:w="1553"/>
            <w:tcMar>
              <w:top w:w="80" w:type="dxa"/>
              <w:start w:w="120" w:type="dxa"/>
              <w:bottom w:w="80" w:type="dxa"/>
              <w:end w:w="120" w:type="dxa"/>
            </w:tcMar>
            <w:vAlign w:val="center"/>
            <w:shd w:fill="E7E6E6"/>
          </w:tcPr>
          <w:p>
            <w:pPr>
              <w:keepNext/>
              <w:spacing w:before="0" w:after="0" w:line="276" w:lineRule="auto"/>
              <w:jc w:val="center"/>
            </w:pPr>
            <w:r>
              <w:rPr>
                <w:rFonts w:ascii="Liberation Serif" w:hAnsi="Liberation Serif" w:eastAsia="Times New Roman"/>
                <w:b/>
                <w:sz w:val="18"/>
              </w:rPr>
              <w:t>Max contribution-sum error</w:t>
            </w:r>
          </w:p>
        </w:tc>
        <w:tc>
          <w:tcPr>
            <w:tcW w:type="dxa" w:w="1311"/>
            <w:tcMar>
              <w:top w:w="80" w:type="dxa"/>
              <w:start w:w="120" w:type="dxa"/>
              <w:bottom w:w="80" w:type="dxa"/>
              <w:end w:w="120" w:type="dxa"/>
            </w:tcMar>
            <w:vAlign w:val="center"/>
            <w:shd w:fill="E7E6E6"/>
          </w:tcPr>
          <w:p>
            <w:pPr>
              <w:keepNext/>
              <w:spacing w:before="0" w:after="0" w:line="276" w:lineRule="auto"/>
              <w:jc w:val="center"/>
            </w:pPr>
            <w:r>
              <w:rPr>
                <w:rFonts w:ascii="Liberation Serif" w:hAnsi="Liberation Serif" w:eastAsia="Times New Roman"/>
                <w:b/>
                <w:sz w:val="18"/>
              </w:rPr>
              <w:t>Center match</w:t>
            </w:r>
          </w:p>
        </w:tc>
        <w:tc>
          <w:tcPr>
            <w:tcW w:type="dxa" w:w="1293"/>
            <w:tcMar>
              <w:top w:w="80" w:type="dxa"/>
              <w:start w:w="120" w:type="dxa"/>
              <w:bottom w:w="80" w:type="dxa"/>
              <w:end w:w="120" w:type="dxa"/>
            </w:tcMar>
            <w:vAlign w:val="center"/>
            <w:shd w:fill="E7E6E6"/>
          </w:tcPr>
          <w:p>
            <w:pPr>
              <w:keepNext/>
              <w:spacing w:before="0" w:after="0" w:line="276" w:lineRule="auto"/>
              <w:jc w:val="center"/>
            </w:pPr>
            <w:r>
              <w:rPr>
                <w:rFonts w:ascii="Liberation Serif" w:hAnsi="Liberation Serif" w:eastAsia="Times New Roman"/>
                <w:b/>
                <w:sz w:val="18"/>
              </w:rPr>
              <w:t>Scale match</w:t>
            </w:r>
          </w:p>
        </w:tc>
      </w:tr>
      <w:tr>
        <w:trPr>
          <w:cantSplit/>
        </w:trPr>
        <w:tc>
          <w:tcPr>
            <w:tcW w:type="dxa" w:w="1243"/>
            <w:tcMar>
              <w:top w:w="80" w:type="dxa"/>
              <w:start w:w="120" w:type="dxa"/>
              <w:bottom w:w="80" w:type="dxa"/>
              <w:end w:w="120" w:type="dxa"/>
            </w:tcMar>
            <w:vAlign w:val="center"/>
          </w:tcPr>
          <w:p>
            <w:pPr>
              <w:keepNext/>
              <w:spacing w:before="0" w:after="0" w:line="276" w:lineRule="auto"/>
              <w:jc w:val="left"/>
            </w:pPr>
            <w:r>
              <w:rPr>
                <w:rFonts w:ascii="Liberation Serif" w:hAnsi="Liberation Serif" w:eastAsia="Times New Roman"/>
                <w:b w:val="0"/>
                <w:sz w:val="18"/>
              </w:rPr>
              <w:t>SubSys1</w:t>
            </w:r>
          </w:p>
        </w:tc>
        <w:tc>
          <w:tcPr>
            <w:tcW w:type="dxa" w:w="1426"/>
            <w:tcMar>
              <w:top w:w="80" w:type="dxa"/>
              <w:start w:w="120" w:type="dxa"/>
              <w:bottom w:w="80" w:type="dxa"/>
              <w:end w:w="120" w:type="dxa"/>
            </w:tcMar>
            <w:vAlign w:val="center"/>
          </w:tcPr>
          <w:p>
            <w:pPr>
              <w:keepNext/>
              <w:spacing w:before="0" w:after="0" w:line="276" w:lineRule="auto"/>
              <w:jc w:val="center"/>
            </w:pPr>
            <w:r>
              <w:rPr>
                <w:rFonts w:ascii="Liberation Serif" w:hAnsi="Liberation Serif" w:eastAsia="Times New Roman"/>
                <w:b w:val="0"/>
                <w:sz w:val="18"/>
              </w:rPr>
              <w:t>60</w:t>
            </w:r>
          </w:p>
        </w:tc>
        <w:tc>
          <w:tcPr>
            <w:tcW w:type="dxa" w:w="1243"/>
            <w:tcMar>
              <w:top w:w="80" w:type="dxa"/>
              <w:start w:w="120" w:type="dxa"/>
              <w:bottom w:w="80" w:type="dxa"/>
              <w:end w:w="120" w:type="dxa"/>
            </w:tcMar>
            <w:vAlign w:val="center"/>
          </w:tcPr>
          <w:p>
            <w:pPr>
              <w:keepNext/>
              <w:spacing w:before="0" w:after="0" w:line="276" w:lineRule="auto"/>
              <w:jc w:val="center"/>
            </w:pPr>
            <w:r>
              <w:rPr>
                <w:rFonts w:ascii="Liberation Serif" w:hAnsi="Liberation Serif" w:eastAsia="Times New Roman"/>
                <w:b w:val="0"/>
                <w:sz w:val="18"/>
              </w:rPr>
              <w:t>27</w:t>
            </w:r>
          </w:p>
        </w:tc>
        <w:tc>
          <w:tcPr>
            <w:tcW w:type="dxa" w:w="1391"/>
            <w:tcMar>
              <w:top w:w="80" w:type="dxa"/>
              <w:start w:w="120" w:type="dxa"/>
              <w:bottom w:w="80" w:type="dxa"/>
              <w:end w:w="120" w:type="dxa"/>
            </w:tcMar>
            <w:vAlign w:val="center"/>
          </w:tcPr>
          <w:p>
            <w:pPr>
              <w:keepNext/>
              <w:spacing w:before="0" w:after="0" w:line="276" w:lineRule="auto"/>
              <w:jc w:val="center"/>
            </w:pPr>
            <w:r>
              <w:rPr>
                <w:rFonts w:ascii="Liberation Serif" w:hAnsi="Liberation Serif" w:eastAsia="Times New Roman"/>
                <w:b w:val="0"/>
                <w:sz w:val="18"/>
              </w:rPr>
              <w:t>309.53</w:t>
            </w:r>
          </w:p>
        </w:tc>
        <w:tc>
          <w:tcPr>
            <w:tcW w:type="dxa" w:w="1553"/>
            <w:tcMar>
              <w:top w:w="80" w:type="dxa"/>
              <w:start w:w="120" w:type="dxa"/>
              <w:bottom w:w="80" w:type="dxa"/>
              <w:end w:w="120" w:type="dxa"/>
            </w:tcMar>
            <w:vAlign w:val="center"/>
          </w:tcPr>
          <w:p>
            <w:pPr>
              <w:keepNext/>
              <w:spacing w:before="0" w:after="0" w:line="276" w:lineRule="auto"/>
              <w:jc w:val="center"/>
            </w:pPr>
            <w:r>
              <w:rPr>
                <w:rFonts w:ascii="Liberation Serif" w:hAnsi="Liberation Serif" w:eastAsia="Times New Roman"/>
                <w:b w:val="0"/>
                <w:sz w:val="18"/>
              </w:rPr>
              <w:t>2.910e-11</w:t>
            </w:r>
          </w:p>
        </w:tc>
        <w:tc>
          <w:tcPr>
            <w:tcW w:type="dxa" w:w="1311"/>
            <w:tcMar>
              <w:top w:w="80" w:type="dxa"/>
              <w:start w:w="120" w:type="dxa"/>
              <w:bottom w:w="80" w:type="dxa"/>
              <w:end w:w="120" w:type="dxa"/>
            </w:tcMar>
            <w:vAlign w:val="center"/>
          </w:tcPr>
          <w:p>
            <w:pPr>
              <w:keepNext/>
              <w:spacing w:before="0" w:after="0" w:line="276" w:lineRule="auto"/>
              <w:jc w:val="center"/>
            </w:pPr>
            <w:r>
              <w:rPr>
                <w:rFonts w:ascii="Liberation Serif" w:hAnsi="Liberation Serif" w:eastAsia="Times New Roman"/>
                <w:b w:val="0"/>
                <w:sz w:val="18"/>
              </w:rPr>
              <w:t>yes</w:t>
            </w:r>
          </w:p>
        </w:tc>
        <w:tc>
          <w:tcPr>
            <w:tcW w:type="dxa" w:w="1293"/>
            <w:tcMar>
              <w:top w:w="80" w:type="dxa"/>
              <w:start w:w="120" w:type="dxa"/>
              <w:bottom w:w="80" w:type="dxa"/>
              <w:end w:w="120" w:type="dxa"/>
            </w:tcMar>
            <w:vAlign w:val="center"/>
          </w:tcPr>
          <w:p>
            <w:pPr>
              <w:keepNext/>
              <w:spacing w:before="0" w:after="0" w:line="276" w:lineRule="auto"/>
              <w:jc w:val="center"/>
            </w:pPr>
            <w:r>
              <w:rPr>
                <w:rFonts w:ascii="Liberation Serif" w:hAnsi="Liberation Serif" w:eastAsia="Times New Roman"/>
                <w:b w:val="0"/>
                <w:sz w:val="18"/>
              </w:rPr>
              <w:t>yes</w:t>
            </w:r>
          </w:p>
        </w:tc>
      </w:tr>
      <w:tr>
        <w:trPr>
          <w:cantSplit/>
        </w:trPr>
        <w:tc>
          <w:tcPr>
            <w:tcW w:type="dxa" w:w="1243"/>
            <w:tcMar>
              <w:top w:w="80" w:type="dxa"/>
              <w:start w:w="120" w:type="dxa"/>
              <w:bottom w:w="80" w:type="dxa"/>
              <w:end w:w="120" w:type="dxa"/>
            </w:tcMar>
            <w:vAlign w:val="center"/>
          </w:tcPr>
          <w:p>
            <w:pPr>
              <w:keepNext w:val="0"/>
              <w:spacing w:before="0" w:after="0" w:line="276" w:lineRule="auto"/>
              <w:jc w:val="left"/>
            </w:pPr>
            <w:r>
              <w:rPr>
                <w:rFonts w:ascii="Liberation Serif" w:hAnsi="Liberation Serif" w:eastAsia="Times New Roman"/>
                <w:b w:val="0"/>
                <w:sz w:val="18"/>
              </w:rPr>
              <w:t>SubSys2</w:t>
            </w:r>
          </w:p>
        </w:tc>
        <w:tc>
          <w:tcPr>
            <w:tcW w:type="dxa" w:w="1426"/>
            <w:tcMar>
              <w:top w:w="80" w:type="dxa"/>
              <w:start w:w="120" w:type="dxa"/>
              <w:bottom w:w="80" w:type="dxa"/>
              <w:end w:w="120" w:type="dxa"/>
            </w:tcMar>
            <w:vAlign w:val="center"/>
          </w:tcPr>
          <w:p>
            <w:pPr>
              <w:keepNext w:val="0"/>
              <w:spacing w:before="0" w:after="0" w:line="276" w:lineRule="auto"/>
              <w:jc w:val="center"/>
            </w:pPr>
            <w:r>
              <w:rPr>
                <w:rFonts w:ascii="Liberation Serif" w:hAnsi="Liberation Serif" w:eastAsia="Times New Roman"/>
                <w:b w:val="0"/>
                <w:sz w:val="18"/>
              </w:rPr>
              <w:t>60</w:t>
            </w:r>
          </w:p>
        </w:tc>
        <w:tc>
          <w:tcPr>
            <w:tcW w:type="dxa" w:w="1243"/>
            <w:tcMar>
              <w:top w:w="80" w:type="dxa"/>
              <w:start w:w="120" w:type="dxa"/>
              <w:bottom w:w="80" w:type="dxa"/>
              <w:end w:w="120" w:type="dxa"/>
            </w:tcMar>
            <w:vAlign w:val="center"/>
          </w:tcPr>
          <w:p>
            <w:pPr>
              <w:keepNext w:val="0"/>
              <w:spacing w:before="0" w:after="0" w:line="276" w:lineRule="auto"/>
              <w:jc w:val="center"/>
            </w:pPr>
            <w:r>
              <w:rPr>
                <w:rFonts w:ascii="Liberation Serif" w:hAnsi="Liberation Serif" w:eastAsia="Times New Roman"/>
                <w:b w:val="0"/>
                <w:sz w:val="18"/>
              </w:rPr>
              <w:t>27</w:t>
            </w:r>
          </w:p>
        </w:tc>
        <w:tc>
          <w:tcPr>
            <w:tcW w:type="dxa" w:w="1391"/>
            <w:tcMar>
              <w:top w:w="80" w:type="dxa"/>
              <w:start w:w="120" w:type="dxa"/>
              <w:bottom w:w="80" w:type="dxa"/>
              <w:end w:w="120" w:type="dxa"/>
            </w:tcMar>
            <w:vAlign w:val="center"/>
          </w:tcPr>
          <w:p>
            <w:pPr>
              <w:keepNext w:val="0"/>
              <w:spacing w:before="0" w:after="0" w:line="276" w:lineRule="auto"/>
              <w:jc w:val="center"/>
            </w:pPr>
            <w:r>
              <w:rPr>
                <w:rFonts w:ascii="Liberation Serif" w:hAnsi="Liberation Serif" w:eastAsia="Times New Roman"/>
                <w:b w:val="0"/>
                <w:sz w:val="18"/>
              </w:rPr>
              <w:t>300.11</w:t>
            </w:r>
          </w:p>
        </w:tc>
        <w:tc>
          <w:tcPr>
            <w:tcW w:type="dxa" w:w="1553"/>
            <w:tcMar>
              <w:top w:w="80" w:type="dxa"/>
              <w:start w:w="120" w:type="dxa"/>
              <w:bottom w:w="80" w:type="dxa"/>
              <w:end w:w="120" w:type="dxa"/>
            </w:tcMar>
            <w:vAlign w:val="center"/>
          </w:tcPr>
          <w:p>
            <w:pPr>
              <w:keepNext w:val="0"/>
              <w:spacing w:before="0" w:after="0" w:line="276" w:lineRule="auto"/>
              <w:jc w:val="center"/>
            </w:pPr>
            <w:r>
              <w:rPr>
                <w:rFonts w:ascii="Liberation Serif" w:hAnsi="Liberation Serif" w:eastAsia="Times New Roman"/>
                <w:b w:val="0"/>
                <w:sz w:val="18"/>
              </w:rPr>
              <w:t>7.276e-11</w:t>
            </w:r>
          </w:p>
        </w:tc>
        <w:tc>
          <w:tcPr>
            <w:tcW w:type="dxa" w:w="1311"/>
            <w:tcMar>
              <w:top w:w="80" w:type="dxa"/>
              <w:start w:w="120" w:type="dxa"/>
              <w:bottom w:w="80" w:type="dxa"/>
              <w:end w:w="120" w:type="dxa"/>
            </w:tcMar>
            <w:vAlign w:val="center"/>
          </w:tcPr>
          <w:p>
            <w:pPr>
              <w:keepNext w:val="0"/>
              <w:spacing w:before="0" w:after="0" w:line="276" w:lineRule="auto"/>
              <w:jc w:val="center"/>
            </w:pPr>
            <w:r>
              <w:rPr>
                <w:rFonts w:ascii="Liberation Serif" w:hAnsi="Liberation Serif" w:eastAsia="Times New Roman"/>
                <w:b w:val="0"/>
                <w:sz w:val="18"/>
              </w:rPr>
              <w:t>yes</w:t>
            </w:r>
          </w:p>
        </w:tc>
        <w:tc>
          <w:tcPr>
            <w:tcW w:type="dxa" w:w="1293"/>
            <w:tcMar>
              <w:top w:w="80" w:type="dxa"/>
              <w:start w:w="120" w:type="dxa"/>
              <w:bottom w:w="80" w:type="dxa"/>
              <w:end w:w="120" w:type="dxa"/>
            </w:tcMar>
            <w:vAlign w:val="center"/>
          </w:tcPr>
          <w:p>
            <w:pPr>
              <w:keepNext w:val="0"/>
              <w:spacing w:before="0" w:after="0" w:line="276" w:lineRule="auto"/>
              <w:jc w:val="center"/>
            </w:pPr>
            <w:r>
              <w:rPr>
                <w:rFonts w:ascii="Liberation Serif" w:hAnsi="Liberation Serif" w:eastAsia="Times New Roman"/>
                <w:b w:val="0"/>
                <w:sz w:val="18"/>
              </w:rPr>
              <w:t>yes</w:t>
            </w:r>
          </w:p>
        </w:tc>
      </w:tr>
    </w:tbl>
    <w:p>
      <w:pPr>
        <w:spacing w:after="40"/>
      </w:pPr>
    </w:p>
    <w:p>
      <w:r>
        <w:rPr>
          <w:rFonts w:ascii="Liberation Serif" w:hAnsi="Liberation Serif" w:eastAsia="Times New Roman"/>
          <w:sz w:val="22"/>
        </w:rPr>
        <w:t>Across all 448 physical-record block scores, the maximum absolute reconstructed- versus-frozen score error was 3.638e-12; the maximum feature-contribution sum error was 7.276e-11. The reconstructed center, scale, Log-Euclidean covariance, winning subsystem/window, system maximum, p-value, and alarm were checked without fitting a new model or recomputing a threshold. Fault labels did not enter covariance reconstruction.</w:t>
      </w:r>
    </w:p>
    <w:p>
      <w:pPr>
        <w:pStyle w:val="Heading1"/>
      </w:pPr>
      <w:r>
        <w:t>S7. Post-reveal 100 kHz to 10 kHz sampling-rate sensitivity</w:t>
      </w:r>
    </w:p>
    <w:p>
      <w:r>
        <w:rPr>
          <w:rFonts w:ascii="Liberation Serif" w:hAnsi="Liberation Serif" w:eastAsia="Times New Roman"/>
          <w:sz w:val="22"/>
        </w:rPr>
        <w:t xml:space="preserve">The KAIST three-phase current was mechanically anti-aliased and decimated from 100 kHz to 10 kHz with </w:t>
      </w:r>
      <w:r>
        <w:rPr>
          <w:rFonts w:ascii="Liberation Serif" w:hAnsi="Liberation Serif" w:eastAsia="Courier New"/>
          <w:sz w:val="22"/>
        </w:rPr>
        <w:t>scipy.signal.resample_poly</w:t>
      </w:r>
      <w:r>
        <w:rPr>
          <w:rFonts w:ascii="Liberation Serif" w:hAnsi="Liberation Serif" w:eastAsia="Times New Roman"/>
          <w:sz w:val="22"/>
        </w:rPr>
        <w:t xml:space="preserve"> (</w:t>
      </w:r>
      <w:r>
        <w:rPr>
          <w:rFonts w:ascii="Liberation Serif" w:hAnsi="Liberation Serif" w:eastAsia="Courier New"/>
          <w:sz w:val="22"/>
        </w:rPr>
        <w:t>up=1</w:t>
      </w:r>
      <w:r>
        <w:rPr>
          <w:rFonts w:ascii="Liberation Serif" w:hAnsi="Liberation Serif" w:eastAsia="Times New Roman"/>
          <w:sz w:val="22"/>
        </w:rPr>
        <w:t xml:space="preserve">, </w:t>
      </w:r>
      <w:r>
        <w:rPr>
          <w:rFonts w:ascii="Liberation Serif" w:hAnsi="Liberation Serif" w:eastAsia="Courier New"/>
          <w:sz w:val="22"/>
        </w:rPr>
        <w:t>down=10</w:t>
      </w:r>
      <w:r>
        <w:rPr>
          <w:rFonts w:ascii="Liberation Serif" w:hAnsi="Liberation Serif" w:eastAsia="Times New Roman"/>
          <w:sz w:val="22"/>
        </w:rPr>
        <w:t>, Kaiser beta 5.0, line padding) over each complete leading 120 s record before the frozen 0.2 s windows were cut. The feature definitions, 3 s maximum block aggregation, splits, ridge values, methods, seeds, calibration rule, and external feature table were unchanged. This analysis was specified after fault reveal and was not used for model or protocol selection.</w:t>
      </w:r>
    </w:p>
    <w:tbl>
      <w:tblPr>
        <w:tblStyle w:val="TableGrid"/>
        <w:tblW w:type="dxa" w:w="9460"/>
        <w:jc w:val="left"/>
        <w:tblLook w:firstColumn="1" w:firstRow="1" w:lastColumn="0" w:lastRow="0" w:noHBand="0" w:noVBand="1" w:val="04A0"/>
        <w:tblLayout w:type="fixed"/>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461"/>
        <w:gridCol w:w="1148"/>
        <w:gridCol w:w="1212"/>
        <w:gridCol w:w="1424"/>
        <w:gridCol w:w="1404"/>
        <w:gridCol w:w="1383"/>
        <w:gridCol w:w="1428"/>
      </w:tblGrid>
      <w:tr>
        <w:trPr>
          <w:tblHeader w:val="true"/>
          <w:cantSplit/>
        </w:trPr>
        <w:tc>
          <w:tcPr>
            <w:tcW w:type="dxa" w:w="1461"/>
            <w:tcMar>
              <w:top w:w="80" w:type="dxa"/>
              <w:start w:w="120" w:type="dxa"/>
              <w:bottom w:w="80" w:type="dxa"/>
              <w:end w:w="120" w:type="dxa"/>
            </w:tcMar>
            <w:vAlign w:val="center"/>
            <w:shd w:fill="E7E6E6"/>
          </w:tcPr>
          <w:p>
            <w:pPr>
              <w:keepNext/>
              <w:spacing w:before="0" w:after="0" w:line="276" w:lineRule="auto"/>
              <w:jc w:val="left"/>
            </w:pPr>
            <w:r>
              <w:rPr>
                <w:rFonts w:ascii="Liberation Serif" w:hAnsi="Liberation Serif" w:eastAsia="Times New Roman"/>
                <w:b/>
                <w:sz w:val="18"/>
              </w:rPr>
              <w:t>Source feature arm</w:t>
            </w:r>
          </w:p>
        </w:tc>
        <w:tc>
          <w:tcPr>
            <w:tcW w:type="dxa" w:w="1148"/>
            <w:tcMar>
              <w:top w:w="80" w:type="dxa"/>
              <w:start w:w="120" w:type="dxa"/>
              <w:bottom w:w="80" w:type="dxa"/>
              <w:end w:w="120" w:type="dxa"/>
            </w:tcMar>
            <w:vAlign w:val="center"/>
            <w:shd w:fill="E7E6E6"/>
          </w:tcPr>
          <w:p>
            <w:pPr>
              <w:keepNext/>
              <w:spacing w:before="0" w:after="0" w:line="276" w:lineRule="auto"/>
              <w:jc w:val="center"/>
            </w:pPr>
            <w:r>
              <w:rPr>
                <w:rFonts w:ascii="Liberation Serif" w:hAnsi="Liberation Serif" w:eastAsia="Times New Roman"/>
                <w:b/>
                <w:sz w:val="18"/>
              </w:rPr>
              <w:t>Rows</w:t>
            </w:r>
          </w:p>
        </w:tc>
        <w:tc>
          <w:tcPr>
            <w:tcW w:type="dxa" w:w="1212"/>
            <w:tcMar>
              <w:top w:w="80" w:type="dxa"/>
              <w:start w:w="120" w:type="dxa"/>
              <w:bottom w:w="80" w:type="dxa"/>
              <w:end w:w="120" w:type="dxa"/>
            </w:tcMar>
            <w:vAlign w:val="center"/>
            <w:shd w:fill="E7E6E6"/>
          </w:tcPr>
          <w:p>
            <w:pPr>
              <w:keepNext/>
              <w:spacing w:before="0" w:after="0" w:line="276" w:lineRule="auto"/>
              <w:jc w:val="center"/>
            </w:pPr>
            <w:r>
              <w:rPr>
                <w:rFonts w:ascii="Liberation Serif" w:hAnsi="Liberation Serif" w:eastAsia="Times New Roman"/>
                <w:b/>
                <w:sz w:val="18"/>
              </w:rPr>
              <w:t>Records</w:t>
            </w:r>
          </w:p>
        </w:tc>
        <w:tc>
          <w:tcPr>
            <w:tcW w:type="dxa" w:w="1424"/>
            <w:tcMar>
              <w:top w:w="80" w:type="dxa"/>
              <w:start w:w="120" w:type="dxa"/>
              <w:bottom w:w="80" w:type="dxa"/>
              <w:end w:w="120" w:type="dxa"/>
            </w:tcMar>
            <w:vAlign w:val="center"/>
            <w:shd w:fill="E7E6E6"/>
          </w:tcPr>
          <w:p>
            <w:pPr>
              <w:keepNext/>
              <w:spacing w:before="0" w:after="0" w:line="276" w:lineRule="auto"/>
              <w:jc w:val="center"/>
            </w:pPr>
            <w:r>
              <w:rPr>
                <w:rFonts w:ascii="Liberation Serif" w:hAnsi="Liberation Serif" w:eastAsia="Times New Roman"/>
                <w:b/>
                <w:sz w:val="18"/>
              </w:rPr>
              <w:t>Windows / record</w:t>
            </w:r>
          </w:p>
        </w:tc>
        <w:tc>
          <w:tcPr>
            <w:tcW w:type="dxa" w:w="1404"/>
            <w:tcMar>
              <w:top w:w="80" w:type="dxa"/>
              <w:start w:w="120" w:type="dxa"/>
              <w:bottom w:w="80" w:type="dxa"/>
              <w:end w:w="120" w:type="dxa"/>
            </w:tcMar>
            <w:vAlign w:val="center"/>
            <w:shd w:fill="E7E6E6"/>
          </w:tcPr>
          <w:p>
            <w:pPr>
              <w:keepNext/>
              <w:spacing w:before="0" w:after="0" w:line="276" w:lineRule="auto"/>
              <w:jc w:val="center"/>
            </w:pPr>
            <w:r>
              <w:rPr>
                <w:rFonts w:ascii="Liberation Serif" w:hAnsi="Liberation Serif" w:eastAsia="Times New Roman"/>
                <w:b/>
                <w:sz w:val="18"/>
              </w:rPr>
              <w:t>Blocks / record</w:t>
            </w:r>
          </w:p>
        </w:tc>
        <w:tc>
          <w:tcPr>
            <w:tcW w:type="dxa" w:w="1383"/>
            <w:tcMar>
              <w:top w:w="80" w:type="dxa"/>
              <w:start w:w="120" w:type="dxa"/>
              <w:bottom w:w="80" w:type="dxa"/>
              <w:end w:w="120" w:type="dxa"/>
            </w:tcMar>
            <w:vAlign w:val="center"/>
            <w:shd w:fill="E7E6E6"/>
          </w:tcPr>
          <w:p>
            <w:pPr>
              <w:keepNext/>
              <w:spacing w:before="0" w:after="0" w:line="276" w:lineRule="auto"/>
              <w:jc w:val="center"/>
            </w:pPr>
            <w:r>
              <w:rPr>
                <w:rFonts w:ascii="Liberation Serif" w:hAnsi="Liberation Serif" w:eastAsia="Times New Roman"/>
                <w:b/>
                <w:sz w:val="18"/>
              </w:rPr>
              <w:t>Duplicate keys</w:t>
            </w:r>
          </w:p>
        </w:tc>
        <w:tc>
          <w:tcPr>
            <w:tcW w:type="dxa" w:w="1428"/>
            <w:tcMar>
              <w:top w:w="80" w:type="dxa"/>
              <w:start w:w="120" w:type="dxa"/>
              <w:bottom w:w="80" w:type="dxa"/>
              <w:end w:w="120" w:type="dxa"/>
            </w:tcMar>
            <w:vAlign w:val="center"/>
            <w:shd w:fill="E7E6E6"/>
          </w:tcPr>
          <w:p>
            <w:pPr>
              <w:keepNext/>
              <w:spacing w:before="0" w:after="0" w:line="276" w:lineRule="auto"/>
              <w:jc w:val="center"/>
            </w:pPr>
            <w:r>
              <w:rPr>
                <w:rFonts w:ascii="Liberation Serif" w:hAnsi="Liberation Serif" w:eastAsia="Times New Roman"/>
                <w:b/>
                <w:sz w:val="18"/>
              </w:rPr>
              <w:t>Nonfinite values</w:t>
            </w:r>
          </w:p>
        </w:tc>
      </w:tr>
      <w:tr>
        <w:trPr>
          <w:cantSplit/>
        </w:trPr>
        <w:tc>
          <w:tcPr>
            <w:tcW w:type="dxa" w:w="1461"/>
            <w:tcMar>
              <w:top w:w="80" w:type="dxa"/>
              <w:start w:w="120" w:type="dxa"/>
              <w:bottom w:w="80" w:type="dxa"/>
              <w:end w:w="120" w:type="dxa"/>
            </w:tcMar>
            <w:vAlign w:val="center"/>
          </w:tcPr>
          <w:p>
            <w:pPr>
              <w:keepNext/>
              <w:spacing w:before="0" w:after="0" w:line="276" w:lineRule="auto"/>
              <w:jc w:val="left"/>
            </w:pPr>
            <w:r>
              <w:rPr>
                <w:rFonts w:ascii="Liberation Serif" w:hAnsi="Liberation Serif" w:eastAsia="Times New Roman"/>
                <w:b w:val="0"/>
                <w:sz w:val="18"/>
              </w:rPr>
              <w:t>native_100khz</w:t>
            </w:r>
          </w:p>
        </w:tc>
        <w:tc>
          <w:tcPr>
            <w:tcW w:type="dxa" w:w="1148"/>
            <w:tcMar>
              <w:top w:w="80" w:type="dxa"/>
              <w:start w:w="120" w:type="dxa"/>
              <w:bottom w:w="80" w:type="dxa"/>
              <w:end w:w="120" w:type="dxa"/>
            </w:tcMar>
            <w:vAlign w:val="center"/>
          </w:tcPr>
          <w:p>
            <w:pPr>
              <w:keepNext/>
              <w:spacing w:before="0" w:after="0" w:line="276" w:lineRule="auto"/>
              <w:jc w:val="center"/>
            </w:pPr>
            <w:r>
              <w:rPr>
                <w:rFonts w:ascii="Liberation Serif" w:hAnsi="Liberation Serif" w:eastAsia="Times New Roman"/>
                <w:b w:val="0"/>
                <w:sz w:val="18"/>
              </w:rPr>
              <w:t>27000</w:t>
            </w:r>
          </w:p>
        </w:tc>
        <w:tc>
          <w:tcPr>
            <w:tcW w:type="dxa" w:w="1212"/>
            <w:tcMar>
              <w:top w:w="80" w:type="dxa"/>
              <w:start w:w="120" w:type="dxa"/>
              <w:bottom w:w="80" w:type="dxa"/>
              <w:end w:w="120" w:type="dxa"/>
            </w:tcMar>
            <w:vAlign w:val="center"/>
          </w:tcPr>
          <w:p>
            <w:pPr>
              <w:keepNext/>
              <w:spacing w:before="0" w:after="0" w:line="276" w:lineRule="auto"/>
              <w:jc w:val="center"/>
            </w:pPr>
            <w:r>
              <w:rPr>
                <w:rFonts w:ascii="Liberation Serif" w:hAnsi="Liberation Serif" w:eastAsia="Times New Roman"/>
                <w:b w:val="0"/>
                <w:sz w:val="18"/>
              </w:rPr>
              <w:t>45</w:t>
            </w:r>
          </w:p>
        </w:tc>
        <w:tc>
          <w:tcPr>
            <w:tcW w:type="dxa" w:w="1424"/>
            <w:tcMar>
              <w:top w:w="80" w:type="dxa"/>
              <w:start w:w="120" w:type="dxa"/>
              <w:bottom w:w="80" w:type="dxa"/>
              <w:end w:w="120" w:type="dxa"/>
            </w:tcMar>
            <w:vAlign w:val="center"/>
          </w:tcPr>
          <w:p>
            <w:pPr>
              <w:keepNext/>
              <w:spacing w:before="0" w:after="0" w:line="276" w:lineRule="auto"/>
              <w:jc w:val="center"/>
            </w:pPr>
            <w:r>
              <w:rPr>
                <w:rFonts w:ascii="Liberation Serif" w:hAnsi="Liberation Serif" w:eastAsia="Times New Roman"/>
                <w:b w:val="0"/>
                <w:sz w:val="18"/>
              </w:rPr>
              <w:t>600-600</w:t>
            </w:r>
          </w:p>
        </w:tc>
        <w:tc>
          <w:tcPr>
            <w:tcW w:type="dxa" w:w="1404"/>
            <w:tcMar>
              <w:top w:w="80" w:type="dxa"/>
              <w:start w:w="120" w:type="dxa"/>
              <w:bottom w:w="80" w:type="dxa"/>
              <w:end w:w="120" w:type="dxa"/>
            </w:tcMar>
            <w:vAlign w:val="center"/>
          </w:tcPr>
          <w:p>
            <w:pPr>
              <w:keepNext/>
              <w:spacing w:before="0" w:after="0" w:line="276" w:lineRule="auto"/>
              <w:jc w:val="center"/>
            </w:pPr>
            <w:r>
              <w:rPr>
                <w:rFonts w:ascii="Liberation Serif" w:hAnsi="Liberation Serif" w:eastAsia="Times New Roman"/>
                <w:b w:val="0"/>
                <w:sz w:val="18"/>
              </w:rPr>
              <w:t>40-40</w:t>
            </w:r>
          </w:p>
        </w:tc>
        <w:tc>
          <w:tcPr>
            <w:tcW w:type="dxa" w:w="1383"/>
            <w:tcMar>
              <w:top w:w="80" w:type="dxa"/>
              <w:start w:w="120" w:type="dxa"/>
              <w:bottom w:w="80" w:type="dxa"/>
              <w:end w:w="120" w:type="dxa"/>
            </w:tcMar>
            <w:vAlign w:val="center"/>
          </w:tcPr>
          <w:p>
            <w:pPr>
              <w:keepNext/>
              <w:spacing w:before="0" w:after="0" w:line="276" w:lineRule="auto"/>
              <w:jc w:val="center"/>
            </w:pPr>
            <w:r>
              <w:rPr>
                <w:rFonts w:ascii="Liberation Serif" w:hAnsi="Liberation Serif" w:eastAsia="Times New Roman"/>
                <w:b w:val="0"/>
                <w:sz w:val="18"/>
              </w:rPr>
              <w:t>0</w:t>
            </w:r>
          </w:p>
        </w:tc>
        <w:tc>
          <w:tcPr>
            <w:tcW w:type="dxa" w:w="1428"/>
            <w:tcMar>
              <w:top w:w="80" w:type="dxa"/>
              <w:start w:w="120" w:type="dxa"/>
              <w:bottom w:w="80" w:type="dxa"/>
              <w:end w:w="120" w:type="dxa"/>
            </w:tcMar>
            <w:vAlign w:val="center"/>
          </w:tcPr>
          <w:p>
            <w:pPr>
              <w:keepNext/>
              <w:spacing w:before="0" w:after="0" w:line="276" w:lineRule="auto"/>
              <w:jc w:val="center"/>
            </w:pPr>
            <w:r>
              <w:rPr>
                <w:rFonts w:ascii="Liberation Serif" w:hAnsi="Liberation Serif" w:eastAsia="Times New Roman"/>
                <w:b w:val="0"/>
                <w:sz w:val="18"/>
              </w:rPr>
              <w:t>0</w:t>
            </w:r>
          </w:p>
        </w:tc>
      </w:tr>
      <w:tr>
        <w:trPr>
          <w:cantSplit/>
        </w:trPr>
        <w:tc>
          <w:tcPr>
            <w:tcW w:type="dxa" w:w="1461"/>
            <w:tcMar>
              <w:top w:w="80" w:type="dxa"/>
              <w:start w:w="120" w:type="dxa"/>
              <w:bottom w:w="80" w:type="dxa"/>
              <w:end w:w="120" w:type="dxa"/>
            </w:tcMar>
            <w:vAlign w:val="center"/>
          </w:tcPr>
          <w:p>
            <w:pPr>
              <w:keepNext w:val="0"/>
              <w:spacing w:before="0" w:after="0" w:line="276" w:lineRule="auto"/>
              <w:jc w:val="left"/>
            </w:pPr>
            <w:r>
              <w:rPr>
                <w:rFonts w:ascii="Liberation Serif" w:hAnsi="Liberation Serif" w:eastAsia="Times New Roman"/>
                <w:b w:val="0"/>
                <w:sz w:val="18"/>
              </w:rPr>
              <w:t>polyphase_10khz</w:t>
            </w:r>
          </w:p>
        </w:tc>
        <w:tc>
          <w:tcPr>
            <w:tcW w:type="dxa" w:w="1148"/>
            <w:tcMar>
              <w:top w:w="80" w:type="dxa"/>
              <w:start w:w="120" w:type="dxa"/>
              <w:bottom w:w="80" w:type="dxa"/>
              <w:end w:w="120" w:type="dxa"/>
            </w:tcMar>
            <w:vAlign w:val="center"/>
          </w:tcPr>
          <w:p>
            <w:pPr>
              <w:keepNext w:val="0"/>
              <w:spacing w:before="0" w:after="0" w:line="276" w:lineRule="auto"/>
              <w:jc w:val="center"/>
            </w:pPr>
            <w:r>
              <w:rPr>
                <w:rFonts w:ascii="Liberation Serif" w:hAnsi="Liberation Serif" w:eastAsia="Times New Roman"/>
                <w:b w:val="0"/>
                <w:sz w:val="18"/>
              </w:rPr>
              <w:t>27000</w:t>
            </w:r>
          </w:p>
        </w:tc>
        <w:tc>
          <w:tcPr>
            <w:tcW w:type="dxa" w:w="1212"/>
            <w:tcMar>
              <w:top w:w="80" w:type="dxa"/>
              <w:start w:w="120" w:type="dxa"/>
              <w:bottom w:w="80" w:type="dxa"/>
              <w:end w:w="120" w:type="dxa"/>
            </w:tcMar>
            <w:vAlign w:val="center"/>
          </w:tcPr>
          <w:p>
            <w:pPr>
              <w:keepNext w:val="0"/>
              <w:spacing w:before="0" w:after="0" w:line="276" w:lineRule="auto"/>
              <w:jc w:val="center"/>
            </w:pPr>
            <w:r>
              <w:rPr>
                <w:rFonts w:ascii="Liberation Serif" w:hAnsi="Liberation Serif" w:eastAsia="Times New Roman"/>
                <w:b w:val="0"/>
                <w:sz w:val="18"/>
              </w:rPr>
              <w:t>45</w:t>
            </w:r>
          </w:p>
        </w:tc>
        <w:tc>
          <w:tcPr>
            <w:tcW w:type="dxa" w:w="1424"/>
            <w:tcMar>
              <w:top w:w="80" w:type="dxa"/>
              <w:start w:w="120" w:type="dxa"/>
              <w:bottom w:w="80" w:type="dxa"/>
              <w:end w:w="120" w:type="dxa"/>
            </w:tcMar>
            <w:vAlign w:val="center"/>
          </w:tcPr>
          <w:p>
            <w:pPr>
              <w:keepNext w:val="0"/>
              <w:spacing w:before="0" w:after="0" w:line="276" w:lineRule="auto"/>
              <w:jc w:val="center"/>
            </w:pPr>
            <w:r>
              <w:rPr>
                <w:rFonts w:ascii="Liberation Serif" w:hAnsi="Liberation Serif" w:eastAsia="Times New Roman"/>
                <w:b w:val="0"/>
                <w:sz w:val="18"/>
              </w:rPr>
              <w:t>600-600</w:t>
            </w:r>
          </w:p>
        </w:tc>
        <w:tc>
          <w:tcPr>
            <w:tcW w:type="dxa" w:w="1404"/>
            <w:tcMar>
              <w:top w:w="80" w:type="dxa"/>
              <w:start w:w="120" w:type="dxa"/>
              <w:bottom w:w="80" w:type="dxa"/>
              <w:end w:w="120" w:type="dxa"/>
            </w:tcMar>
            <w:vAlign w:val="center"/>
          </w:tcPr>
          <w:p>
            <w:pPr>
              <w:keepNext w:val="0"/>
              <w:spacing w:before="0" w:after="0" w:line="276" w:lineRule="auto"/>
              <w:jc w:val="center"/>
            </w:pPr>
            <w:r>
              <w:rPr>
                <w:rFonts w:ascii="Liberation Serif" w:hAnsi="Liberation Serif" w:eastAsia="Times New Roman"/>
                <w:b w:val="0"/>
                <w:sz w:val="18"/>
              </w:rPr>
              <w:t>40-40</w:t>
            </w:r>
          </w:p>
        </w:tc>
        <w:tc>
          <w:tcPr>
            <w:tcW w:type="dxa" w:w="1383"/>
            <w:tcMar>
              <w:top w:w="80" w:type="dxa"/>
              <w:start w:w="120" w:type="dxa"/>
              <w:bottom w:w="80" w:type="dxa"/>
              <w:end w:w="120" w:type="dxa"/>
            </w:tcMar>
            <w:vAlign w:val="center"/>
          </w:tcPr>
          <w:p>
            <w:pPr>
              <w:keepNext w:val="0"/>
              <w:spacing w:before="0" w:after="0" w:line="276" w:lineRule="auto"/>
              <w:jc w:val="center"/>
            </w:pPr>
            <w:r>
              <w:rPr>
                <w:rFonts w:ascii="Liberation Serif" w:hAnsi="Liberation Serif" w:eastAsia="Times New Roman"/>
                <w:b w:val="0"/>
                <w:sz w:val="18"/>
              </w:rPr>
              <w:t>0</w:t>
            </w:r>
          </w:p>
        </w:tc>
        <w:tc>
          <w:tcPr>
            <w:tcW w:type="dxa" w:w="1428"/>
            <w:tcMar>
              <w:top w:w="80" w:type="dxa"/>
              <w:start w:w="120" w:type="dxa"/>
              <w:bottom w:w="80" w:type="dxa"/>
              <w:end w:w="120" w:type="dxa"/>
            </w:tcMar>
            <w:vAlign w:val="center"/>
          </w:tcPr>
          <w:p>
            <w:pPr>
              <w:keepNext w:val="0"/>
              <w:spacing w:before="0" w:after="0" w:line="276" w:lineRule="auto"/>
              <w:jc w:val="center"/>
            </w:pPr>
            <w:r>
              <w:rPr>
                <w:rFonts w:ascii="Liberation Serif" w:hAnsi="Liberation Serif" w:eastAsia="Times New Roman"/>
                <w:b w:val="0"/>
                <w:sz w:val="18"/>
              </w:rPr>
              <w:t>0</w:t>
            </w:r>
          </w:p>
        </w:tc>
      </w:tr>
    </w:tbl>
    <w:p>
      <w:pPr>
        <w:spacing w:after="40"/>
      </w:pPr>
    </w:p>
    <w:p>
      <w:r>
        <w:rPr>
          <w:rFonts w:ascii="Liberation Serif" w:hAnsi="Liberation Serif" w:eastAsia="Times New Roman"/>
          <w:sz w:val="22"/>
        </w:rPr>
        <w:t>The following two column groups share the first-column identifiers and preserve every original row, value, and row order. Read corresponding rows together; splitting is a layout change only.</w:t>
      </w:r>
    </w:p>
    <w:p>
      <w:pPr>
        <w:keepNext/>
      </w:pPr>
      <w:r>
        <w:rPr>
          <w:rFonts w:ascii="Liberation Serif" w:hAnsi="Liberation Serif" w:eastAsia="Times New Roman"/>
          <w:sz w:val="22"/>
        </w:rPr>
        <w:t>Table S7a. Post-reveal 100 kHz to 10 kHz sampling-rate sensitivity (column group 1 of 2).</w:t>
      </w:r>
    </w:p>
    <w:tbl>
      <w:tblPr>
        <w:tblStyle w:val="TableGrid"/>
        <w:tblW w:type="dxa" w:w="9460"/>
        <w:jc w:val="left"/>
        <w:tblLook w:firstColumn="1" w:firstRow="1" w:lastColumn="0" w:lastRow="0" w:noHBand="0" w:noVBand="1" w:val="04A0"/>
        <w:tblLayout w:type="fixed"/>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1529"/>
        <w:gridCol w:w="1636"/>
        <w:gridCol w:w="1619"/>
        <w:gridCol w:w="1273"/>
        <w:gridCol w:w="1532"/>
      </w:tblGrid>
      <w:tr>
        <w:trPr>
          <w:tblHeader w:val="true"/>
          <w:cantSplit/>
        </w:trPr>
        <w:tc>
          <w:tcPr>
            <w:tcW w:type="dxa" w:w="1871"/>
            <w:tcMar>
              <w:top w:w="80" w:type="dxa"/>
              <w:start w:w="120" w:type="dxa"/>
              <w:bottom w:w="80" w:type="dxa"/>
              <w:end w:w="120" w:type="dxa"/>
            </w:tcMar>
            <w:vAlign w:val="center"/>
            <w:shd w:fill="E7E6E6"/>
          </w:tcPr>
          <w:p>
            <w:pPr>
              <w:spacing w:before="0" w:after="0" w:line="276" w:lineRule="auto"/>
              <w:jc w:val="left"/>
            </w:pPr>
            <w:r>
              <w:rPr>
                <w:rFonts w:ascii="Liberation Serif" w:hAnsi="Liberation Serif" w:eastAsia="Times New Roman"/>
                <w:b/>
                <w:sz w:val="18"/>
              </w:rPr>
              <w:t>Method</w:t>
            </w:r>
          </w:p>
        </w:tc>
        <w:tc>
          <w:tcPr>
            <w:tcW w:type="dxa" w:w="1529"/>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Sampling dependency</w:t>
            </w:r>
          </w:p>
        </w:tc>
        <w:tc>
          <w:tcPr>
            <w:tcW w:type="dxa" w:w="1636"/>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Detection, 100 kHz source</w:t>
            </w:r>
          </w:p>
        </w:tc>
        <w:tc>
          <w:tcPr>
            <w:tcW w:type="dxa" w:w="1619"/>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Detection, 10 kHz source</w:t>
            </w:r>
          </w:p>
        </w:tc>
        <w:tc>
          <w:tcPr>
            <w:tcW w:type="dxa" w:w="1273"/>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Change</w:t>
            </w:r>
          </w:p>
        </w:tc>
        <w:tc>
          <w:tcPr>
            <w:tcW w:type="dxa" w:w="1532"/>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Health FAR, 100 kHz</w:t>
            </w:r>
          </w:p>
        </w:tc>
      </w:tr>
      <w:tr>
        <w:trPr>
          <w:cantSplit/>
        </w:trPr>
        <w:tc>
          <w:tcPr>
            <w:tcW w:type="dxa" w:w="1871"/>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Target Ledoit-Wolf</w:t>
            </w:r>
          </w:p>
        </w:tc>
        <w:tc>
          <w:tcPr>
            <w:tcW w:type="dxa" w:w="152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target-only control</w:t>
            </w:r>
          </w:p>
        </w:tc>
        <w:tc>
          <w:tcPr>
            <w:tcW w:type="dxa" w:w="163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36.72%</w:t>
            </w:r>
          </w:p>
        </w:tc>
        <w:tc>
          <w:tcPr>
            <w:tcW w:type="dxa" w:w="161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36.72%</w:t>
            </w:r>
          </w:p>
        </w:tc>
        <w:tc>
          <w:tcPr>
            <w:tcW w:type="dxa" w:w="1273"/>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+0.00 pp</w:t>
            </w:r>
          </w:p>
        </w:tc>
        <w:tc>
          <w:tcPr>
            <w:tcW w:type="dxa" w:w="153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3.12%</w:t>
            </w:r>
          </w:p>
        </w:tc>
      </w:tr>
      <w:tr>
        <w:trPr>
          <w:cantSplit/>
        </w:trPr>
        <w:tc>
          <w:tcPr>
            <w:tcW w:type="dxa" w:w="1871"/>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Target sample covariance</w:t>
            </w:r>
          </w:p>
        </w:tc>
        <w:tc>
          <w:tcPr>
            <w:tcW w:type="dxa" w:w="152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target-only control</w:t>
            </w:r>
          </w:p>
        </w:tc>
        <w:tc>
          <w:tcPr>
            <w:tcW w:type="dxa" w:w="163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55.99%</w:t>
            </w:r>
          </w:p>
        </w:tc>
        <w:tc>
          <w:tcPr>
            <w:tcW w:type="dxa" w:w="161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55.99%</w:t>
            </w:r>
          </w:p>
        </w:tc>
        <w:tc>
          <w:tcPr>
            <w:tcW w:type="dxa" w:w="1273"/>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+0.00 pp</w:t>
            </w:r>
          </w:p>
        </w:tc>
        <w:tc>
          <w:tcPr>
            <w:tcW w:type="dxa" w:w="153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3.12%</w:t>
            </w:r>
          </w:p>
        </w:tc>
      </w:tr>
      <w:tr>
        <w:trPr>
          <w:cantSplit/>
        </w:trPr>
        <w:tc>
          <w:tcPr>
            <w:tcW w:type="dxa" w:w="1871"/>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Source covariance</w:t>
            </w:r>
          </w:p>
        </w:tc>
        <w:tc>
          <w:tcPr>
            <w:tcW w:type="dxa" w:w="152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source-sensitive</w:t>
            </w:r>
          </w:p>
        </w:tc>
        <w:tc>
          <w:tcPr>
            <w:tcW w:type="dxa" w:w="163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12.76%</w:t>
            </w:r>
          </w:p>
        </w:tc>
        <w:tc>
          <w:tcPr>
            <w:tcW w:type="dxa" w:w="161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12.50%</w:t>
            </w:r>
          </w:p>
        </w:tc>
        <w:tc>
          <w:tcPr>
            <w:tcW w:type="dxa" w:w="1273"/>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-0.26 pp</w:t>
            </w:r>
          </w:p>
        </w:tc>
        <w:tc>
          <w:tcPr>
            <w:tcW w:type="dxa" w:w="153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3.12%</w:t>
            </w:r>
          </w:p>
        </w:tc>
      </w:tr>
      <w:tr>
        <w:trPr>
          <w:cantSplit/>
        </w:trPr>
        <w:tc>
          <w:tcPr>
            <w:tcW w:type="dxa" w:w="1871"/>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Entity-balanced covariance</w:t>
            </w:r>
          </w:p>
        </w:tc>
        <w:tc>
          <w:tcPr>
            <w:tcW w:type="dxa" w:w="152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source-sensitive</w:t>
            </w:r>
          </w:p>
        </w:tc>
        <w:tc>
          <w:tcPr>
            <w:tcW w:type="dxa" w:w="163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27.34%</w:t>
            </w:r>
          </w:p>
        </w:tc>
        <w:tc>
          <w:tcPr>
            <w:tcW w:type="dxa" w:w="161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25.26%</w:t>
            </w:r>
          </w:p>
        </w:tc>
        <w:tc>
          <w:tcPr>
            <w:tcW w:type="dxa" w:w="1273"/>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-2.08 pp</w:t>
            </w:r>
          </w:p>
        </w:tc>
        <w:tc>
          <w:tcPr>
            <w:tcW w:type="dxa" w:w="153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3.12%</w:t>
            </w:r>
          </w:p>
        </w:tc>
      </w:tr>
      <w:tr>
        <w:trPr>
          <w:cantSplit/>
        </w:trPr>
        <w:tc>
          <w:tcPr>
            <w:tcW w:type="dxa" w:w="1871"/>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Proposed: Log-Euclidean entity covariance</w:t>
            </w:r>
          </w:p>
        </w:tc>
        <w:tc>
          <w:tcPr>
            <w:tcW w:type="dxa" w:w="152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source-sensitive</w:t>
            </w:r>
          </w:p>
        </w:tc>
        <w:tc>
          <w:tcPr>
            <w:tcW w:type="dxa" w:w="163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25.00%</w:t>
            </w:r>
          </w:p>
        </w:tc>
        <w:tc>
          <w:tcPr>
            <w:tcW w:type="dxa" w:w="161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24.74%</w:t>
            </w:r>
          </w:p>
        </w:tc>
        <w:tc>
          <w:tcPr>
            <w:tcW w:type="dxa" w:w="1273"/>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-0.26 pp</w:t>
            </w:r>
          </w:p>
        </w:tc>
        <w:tc>
          <w:tcPr>
            <w:tcW w:type="dxa" w:w="153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3.12%</w:t>
            </w:r>
          </w:p>
        </w:tc>
      </w:tr>
      <w:tr>
        <w:trPr>
          <w:cantSplit/>
        </w:trPr>
        <w:tc>
          <w:tcPr>
            <w:tcW w:type="dxa" w:w="1871"/>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Target OC-SVM (RBF)</w:t>
            </w:r>
          </w:p>
        </w:tc>
        <w:tc>
          <w:tcPr>
            <w:tcW w:type="dxa" w:w="152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target-only control</w:t>
            </w:r>
          </w:p>
        </w:tc>
        <w:tc>
          <w:tcPr>
            <w:tcW w:type="dxa" w:w="163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12.76%</w:t>
            </w:r>
          </w:p>
        </w:tc>
        <w:tc>
          <w:tcPr>
            <w:tcW w:type="dxa" w:w="161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12.76%</w:t>
            </w:r>
          </w:p>
        </w:tc>
        <w:tc>
          <w:tcPr>
            <w:tcW w:type="dxa" w:w="1273"/>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+0.00 pp</w:t>
            </w:r>
          </w:p>
        </w:tc>
        <w:tc>
          <w:tcPr>
            <w:tcW w:type="dxa" w:w="153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3.12%</w:t>
            </w:r>
          </w:p>
        </w:tc>
      </w:tr>
      <w:tr>
        <w:trPr>
          <w:cantSplit/>
        </w:trPr>
        <w:tc>
          <w:tcPr>
            <w:tcW w:type="dxa" w:w="1871"/>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Source+target OC-SVM (RBF)</w:t>
            </w:r>
          </w:p>
        </w:tc>
        <w:tc>
          <w:tcPr>
            <w:tcW w:type="dxa" w:w="152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source-sensitive</w:t>
            </w:r>
          </w:p>
        </w:tc>
        <w:tc>
          <w:tcPr>
            <w:tcW w:type="dxa" w:w="163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12.76%</w:t>
            </w:r>
          </w:p>
        </w:tc>
        <w:tc>
          <w:tcPr>
            <w:tcW w:type="dxa" w:w="161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12.50%</w:t>
            </w:r>
          </w:p>
        </w:tc>
        <w:tc>
          <w:tcPr>
            <w:tcW w:type="dxa" w:w="1273"/>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-0.26 pp</w:t>
            </w:r>
          </w:p>
        </w:tc>
        <w:tc>
          <w:tcPr>
            <w:tcW w:type="dxa" w:w="153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3.12%</w:t>
            </w:r>
          </w:p>
        </w:tc>
      </w:tr>
      <w:tr>
        <w:trPr>
          <w:cantSplit/>
        </w:trPr>
        <w:tc>
          <w:tcPr>
            <w:tcW w:type="dxa" w:w="1871"/>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Target Isolation Forest</w:t>
            </w:r>
          </w:p>
        </w:tc>
        <w:tc>
          <w:tcPr>
            <w:tcW w:type="dxa" w:w="152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target-only control</w:t>
            </w:r>
          </w:p>
        </w:tc>
        <w:tc>
          <w:tcPr>
            <w:tcW w:type="dxa" w:w="163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59.90%</w:t>
            </w:r>
          </w:p>
        </w:tc>
        <w:tc>
          <w:tcPr>
            <w:tcW w:type="dxa" w:w="161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59.90%</w:t>
            </w:r>
          </w:p>
        </w:tc>
        <w:tc>
          <w:tcPr>
            <w:tcW w:type="dxa" w:w="1273"/>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+0.00 pp</w:t>
            </w:r>
          </w:p>
        </w:tc>
        <w:tc>
          <w:tcPr>
            <w:tcW w:type="dxa" w:w="153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9.38%</w:t>
            </w:r>
          </w:p>
        </w:tc>
      </w:tr>
      <w:tr>
        <w:trPr>
          <w:cantSplit/>
        </w:trPr>
        <w:tc>
          <w:tcPr>
            <w:tcW w:type="dxa" w:w="1871"/>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Source+target Isolation Forest</w:t>
            </w:r>
          </w:p>
        </w:tc>
        <w:tc>
          <w:tcPr>
            <w:tcW w:type="dxa" w:w="152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source-sensitive</w:t>
            </w:r>
          </w:p>
        </w:tc>
        <w:tc>
          <w:tcPr>
            <w:tcW w:type="dxa" w:w="163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50.52%</w:t>
            </w:r>
          </w:p>
        </w:tc>
        <w:tc>
          <w:tcPr>
            <w:tcW w:type="dxa" w:w="161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52.08%</w:t>
            </w:r>
          </w:p>
        </w:tc>
        <w:tc>
          <w:tcPr>
            <w:tcW w:type="dxa" w:w="1273"/>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+1.56 pp</w:t>
            </w:r>
          </w:p>
        </w:tc>
        <w:tc>
          <w:tcPr>
            <w:tcW w:type="dxa" w:w="153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6.25%</w:t>
            </w:r>
          </w:p>
        </w:tc>
      </w:tr>
      <w:tr>
        <w:trPr>
          <w:cantSplit/>
        </w:trPr>
        <w:tc>
          <w:tcPr>
            <w:tcW w:type="dxa" w:w="1871"/>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Target MinCovDet</w:t>
            </w:r>
          </w:p>
        </w:tc>
        <w:tc>
          <w:tcPr>
            <w:tcW w:type="dxa" w:w="152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target-only control</w:t>
            </w:r>
          </w:p>
        </w:tc>
        <w:tc>
          <w:tcPr>
            <w:tcW w:type="dxa" w:w="163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70.05%</w:t>
            </w:r>
          </w:p>
        </w:tc>
        <w:tc>
          <w:tcPr>
            <w:tcW w:type="dxa" w:w="161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70.05%</w:t>
            </w:r>
          </w:p>
        </w:tc>
        <w:tc>
          <w:tcPr>
            <w:tcW w:type="dxa" w:w="1273"/>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+0.00 pp</w:t>
            </w:r>
          </w:p>
        </w:tc>
        <w:tc>
          <w:tcPr>
            <w:tcW w:type="dxa" w:w="153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0.00%</w:t>
            </w:r>
          </w:p>
        </w:tc>
      </w:tr>
      <w:tr>
        <w:trPr>
          <w:cantSplit/>
        </w:trPr>
        <w:tc>
          <w:tcPr>
            <w:tcW w:type="dxa" w:w="1871"/>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Source+target MinCovDet</w:t>
            </w:r>
          </w:p>
        </w:tc>
        <w:tc>
          <w:tcPr>
            <w:tcW w:type="dxa" w:w="152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source-sensitive</w:t>
            </w:r>
          </w:p>
        </w:tc>
        <w:tc>
          <w:tcPr>
            <w:tcW w:type="dxa" w:w="163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30.21%</w:t>
            </w:r>
          </w:p>
        </w:tc>
        <w:tc>
          <w:tcPr>
            <w:tcW w:type="dxa" w:w="161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27.60%</w:t>
            </w:r>
          </w:p>
        </w:tc>
        <w:tc>
          <w:tcPr>
            <w:tcW w:type="dxa" w:w="1273"/>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-2.60 pp</w:t>
            </w:r>
          </w:p>
        </w:tc>
        <w:tc>
          <w:tcPr>
            <w:tcW w:type="dxa" w:w="153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3.12%</w:t>
            </w:r>
          </w:p>
        </w:tc>
      </w:tr>
    </w:tbl>
    <w:p>
      <w:pPr>
        <w:spacing w:after="40"/>
      </w:pPr>
    </w:p>
    <w:p>
      <w:pPr>
        <w:keepNext/>
      </w:pPr>
      <w:r>
        <w:rPr>
          <w:rFonts w:ascii="Liberation Serif" w:hAnsi="Liberation Serif" w:eastAsia="Times New Roman"/>
          <w:sz w:val="22"/>
        </w:rPr>
        <w:t>Table S7b. Post-reveal 100 kHz to 10 kHz sampling-rate sensitivity (column group 2 of 2; continued).</w:t>
      </w:r>
    </w:p>
    <w:tbl>
      <w:tblPr>
        <w:tblStyle w:val="TableGrid"/>
        <w:tblW w:type="dxa" w:w="9460"/>
        <w:jc w:val="left"/>
        <w:tblLook w:firstColumn="1" w:firstRow="1" w:lastColumn="0" w:lastRow="0" w:noHBand="0" w:noVBand="1" w:val="04A0"/>
        <w:tblLayout w:type="fixed"/>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3027"/>
        <w:gridCol w:w="2276"/>
        <w:gridCol w:w="2101"/>
        <w:gridCol w:w="2056"/>
      </w:tblGrid>
      <w:tr>
        <w:trPr>
          <w:tblHeader w:val="true"/>
          <w:cantSplit/>
        </w:trPr>
        <w:tc>
          <w:tcPr>
            <w:tcW w:type="dxa" w:w="3027"/>
            <w:tcMar>
              <w:top w:w="80" w:type="dxa"/>
              <w:start w:w="120" w:type="dxa"/>
              <w:bottom w:w="80" w:type="dxa"/>
              <w:end w:w="120" w:type="dxa"/>
            </w:tcMar>
            <w:vAlign w:val="center"/>
            <w:shd w:fill="E7E6E6"/>
          </w:tcPr>
          <w:p>
            <w:pPr>
              <w:spacing w:before="0" w:after="0" w:line="276" w:lineRule="auto"/>
              <w:jc w:val="left"/>
            </w:pPr>
            <w:r>
              <w:rPr>
                <w:rFonts w:ascii="Liberation Serif" w:hAnsi="Liberation Serif" w:eastAsia="Times New Roman"/>
                <w:b/>
                <w:sz w:val="18"/>
              </w:rPr>
              <w:t>Method</w:t>
            </w:r>
          </w:p>
        </w:tc>
        <w:tc>
          <w:tcPr>
            <w:tcW w:type="dxa" w:w="2276"/>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Health FAR, 10 kHz</w:t>
            </w:r>
          </w:p>
        </w:tc>
        <w:tc>
          <w:tcPr>
            <w:tcW w:type="dxa" w:w="2101"/>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AUROC, 100 kHz</w:t>
            </w:r>
          </w:p>
        </w:tc>
        <w:tc>
          <w:tcPr>
            <w:tcW w:type="dxa" w:w="2056"/>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AUROC, 10 kHz</w:t>
            </w:r>
          </w:p>
        </w:tc>
      </w:tr>
      <w:tr>
        <w:trPr>
          <w:cantSplit/>
        </w:trPr>
        <w:tc>
          <w:tcPr>
            <w:tcW w:type="dxa" w:w="3027"/>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Target Ledoit-Wolf</w:t>
            </w:r>
          </w:p>
        </w:tc>
        <w:tc>
          <w:tcPr>
            <w:tcW w:type="dxa" w:w="227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3.12%</w:t>
            </w:r>
          </w:p>
        </w:tc>
        <w:tc>
          <w:tcPr>
            <w:tcW w:type="dxa" w:w="2101"/>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0.7675</w:t>
            </w:r>
          </w:p>
        </w:tc>
        <w:tc>
          <w:tcPr>
            <w:tcW w:type="dxa" w:w="205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0.7675</w:t>
            </w:r>
          </w:p>
        </w:tc>
      </w:tr>
      <w:tr>
        <w:trPr>
          <w:cantSplit/>
        </w:trPr>
        <w:tc>
          <w:tcPr>
            <w:tcW w:type="dxa" w:w="3027"/>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Target sample covariance</w:t>
            </w:r>
          </w:p>
        </w:tc>
        <w:tc>
          <w:tcPr>
            <w:tcW w:type="dxa" w:w="227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3.12%</w:t>
            </w:r>
          </w:p>
        </w:tc>
        <w:tc>
          <w:tcPr>
            <w:tcW w:type="dxa" w:w="2101"/>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0.8757</w:t>
            </w:r>
          </w:p>
        </w:tc>
        <w:tc>
          <w:tcPr>
            <w:tcW w:type="dxa" w:w="205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0.8757</w:t>
            </w:r>
          </w:p>
        </w:tc>
      </w:tr>
      <w:tr>
        <w:trPr>
          <w:cantSplit/>
        </w:trPr>
        <w:tc>
          <w:tcPr>
            <w:tcW w:type="dxa" w:w="3027"/>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Source covariance</w:t>
            </w:r>
          </w:p>
        </w:tc>
        <w:tc>
          <w:tcPr>
            <w:tcW w:type="dxa" w:w="227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3.12%</w:t>
            </w:r>
          </w:p>
        </w:tc>
        <w:tc>
          <w:tcPr>
            <w:tcW w:type="dxa" w:w="2101"/>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0.5747</w:t>
            </w:r>
          </w:p>
        </w:tc>
        <w:tc>
          <w:tcPr>
            <w:tcW w:type="dxa" w:w="205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0.5496</w:t>
            </w:r>
          </w:p>
        </w:tc>
      </w:tr>
      <w:tr>
        <w:trPr>
          <w:cantSplit/>
        </w:trPr>
        <w:tc>
          <w:tcPr>
            <w:tcW w:type="dxa" w:w="3027"/>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Entity-balanced covariance</w:t>
            </w:r>
          </w:p>
        </w:tc>
        <w:tc>
          <w:tcPr>
            <w:tcW w:type="dxa" w:w="227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6.25%</w:t>
            </w:r>
          </w:p>
        </w:tc>
        <w:tc>
          <w:tcPr>
            <w:tcW w:type="dxa" w:w="2101"/>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0.6972</w:t>
            </w:r>
          </w:p>
        </w:tc>
        <w:tc>
          <w:tcPr>
            <w:tcW w:type="dxa" w:w="205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0.6849</w:t>
            </w:r>
          </w:p>
        </w:tc>
      </w:tr>
      <w:tr>
        <w:trPr>
          <w:cantSplit/>
        </w:trPr>
        <w:tc>
          <w:tcPr>
            <w:tcW w:type="dxa" w:w="3027"/>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Proposed: Log-Euclidean entity covariance</w:t>
            </w:r>
          </w:p>
        </w:tc>
        <w:tc>
          <w:tcPr>
            <w:tcW w:type="dxa" w:w="227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3.12%</w:t>
            </w:r>
          </w:p>
        </w:tc>
        <w:tc>
          <w:tcPr>
            <w:tcW w:type="dxa" w:w="2101"/>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0.6354</w:t>
            </w:r>
          </w:p>
        </w:tc>
        <w:tc>
          <w:tcPr>
            <w:tcW w:type="dxa" w:w="205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0.6331</w:t>
            </w:r>
          </w:p>
        </w:tc>
      </w:tr>
      <w:tr>
        <w:trPr>
          <w:cantSplit/>
        </w:trPr>
        <w:tc>
          <w:tcPr>
            <w:tcW w:type="dxa" w:w="3027"/>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Target OC-SVM (RBF)</w:t>
            </w:r>
          </w:p>
        </w:tc>
        <w:tc>
          <w:tcPr>
            <w:tcW w:type="dxa" w:w="227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3.12%</w:t>
            </w:r>
          </w:p>
        </w:tc>
        <w:tc>
          <w:tcPr>
            <w:tcW w:type="dxa" w:w="2101"/>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0.7209</w:t>
            </w:r>
          </w:p>
        </w:tc>
        <w:tc>
          <w:tcPr>
            <w:tcW w:type="dxa" w:w="205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0.7209</w:t>
            </w:r>
          </w:p>
        </w:tc>
      </w:tr>
      <w:tr>
        <w:trPr>
          <w:cantSplit/>
        </w:trPr>
        <w:tc>
          <w:tcPr>
            <w:tcW w:type="dxa" w:w="3027"/>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Source+target OC-SVM (RBF)</w:t>
            </w:r>
          </w:p>
        </w:tc>
        <w:tc>
          <w:tcPr>
            <w:tcW w:type="dxa" w:w="227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3.12%</w:t>
            </w:r>
          </w:p>
        </w:tc>
        <w:tc>
          <w:tcPr>
            <w:tcW w:type="dxa" w:w="2101"/>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0.6876</w:t>
            </w:r>
          </w:p>
        </w:tc>
        <w:tc>
          <w:tcPr>
            <w:tcW w:type="dxa" w:w="205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0.6977</w:t>
            </w:r>
          </w:p>
        </w:tc>
      </w:tr>
      <w:tr>
        <w:trPr>
          <w:cantSplit/>
        </w:trPr>
        <w:tc>
          <w:tcPr>
            <w:tcW w:type="dxa" w:w="3027"/>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Target Isolation Forest</w:t>
            </w:r>
          </w:p>
        </w:tc>
        <w:tc>
          <w:tcPr>
            <w:tcW w:type="dxa" w:w="227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9.38%</w:t>
            </w:r>
          </w:p>
        </w:tc>
        <w:tc>
          <w:tcPr>
            <w:tcW w:type="dxa" w:w="2101"/>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0.8670</w:t>
            </w:r>
          </w:p>
        </w:tc>
        <w:tc>
          <w:tcPr>
            <w:tcW w:type="dxa" w:w="205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0.8670</w:t>
            </w:r>
          </w:p>
        </w:tc>
      </w:tr>
      <w:tr>
        <w:trPr>
          <w:cantSplit/>
        </w:trPr>
        <w:tc>
          <w:tcPr>
            <w:tcW w:type="dxa" w:w="3027"/>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Source+target Isolation Forest</w:t>
            </w:r>
          </w:p>
        </w:tc>
        <w:tc>
          <w:tcPr>
            <w:tcW w:type="dxa" w:w="227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3.12%</w:t>
            </w:r>
          </w:p>
        </w:tc>
        <w:tc>
          <w:tcPr>
            <w:tcW w:type="dxa" w:w="2101"/>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0.8245</w:t>
            </w:r>
          </w:p>
        </w:tc>
        <w:tc>
          <w:tcPr>
            <w:tcW w:type="dxa" w:w="205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0.8643</w:t>
            </w:r>
          </w:p>
        </w:tc>
      </w:tr>
      <w:tr>
        <w:trPr>
          <w:cantSplit/>
        </w:trPr>
        <w:tc>
          <w:tcPr>
            <w:tcW w:type="dxa" w:w="3027"/>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Target MinCovDet</w:t>
            </w:r>
          </w:p>
        </w:tc>
        <w:tc>
          <w:tcPr>
            <w:tcW w:type="dxa" w:w="227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0.00%</w:t>
            </w:r>
          </w:p>
        </w:tc>
        <w:tc>
          <w:tcPr>
            <w:tcW w:type="dxa" w:w="2101"/>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0.9268</w:t>
            </w:r>
          </w:p>
        </w:tc>
        <w:tc>
          <w:tcPr>
            <w:tcW w:type="dxa" w:w="205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0.9268</w:t>
            </w:r>
          </w:p>
        </w:tc>
      </w:tr>
      <w:tr>
        <w:trPr>
          <w:cantSplit/>
        </w:trPr>
        <w:tc>
          <w:tcPr>
            <w:tcW w:type="dxa" w:w="3027"/>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Source+target MinCovDet</w:t>
            </w:r>
          </w:p>
        </w:tc>
        <w:tc>
          <w:tcPr>
            <w:tcW w:type="dxa" w:w="227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3.12%</w:t>
            </w:r>
          </w:p>
        </w:tc>
        <w:tc>
          <w:tcPr>
            <w:tcW w:type="dxa" w:w="2101"/>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0.7013</w:t>
            </w:r>
          </w:p>
        </w:tc>
        <w:tc>
          <w:tcPr>
            <w:tcW w:type="dxa" w:w="205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0.6966</w:t>
            </w:r>
          </w:p>
        </w:tc>
      </w:tr>
    </w:tbl>
    <w:p>
      <w:pPr>
        <w:spacing w:after="40"/>
      </w:pPr>
    </w:p>
    <w:p>
      <w:r>
        <w:rPr>
          <w:rFonts w:ascii="Liberation Serif" w:hAnsi="Liberation Serif" w:eastAsia="Times New Roman"/>
          <w:sz w:val="22"/>
        </w:rPr>
        <w:t>Proposed detection changed from 25.00% to 24.74% (-0.26 percentage points), and AUROC changed from 0.6354 to 0.6331. Across the 48 physical fault records, alarm rate improved for 0, tied for 47, and worsened for 1. Its KAIST leave-one-motor-out source detection remained 91.96% (100 kHz: 95.71%) and AUROC remained 0.9947 (100 kHz: 0.9993), so the 10 kHz arm was not globally unusable. All five target-only controls reproduced 448/448 block scores, p-values, and alarms with zero mismatches. Matching the nominal source sampling rate by this procedure did not recover performance. It narrows that explanation under the fixed extractor, while leaving sensor, analog-filter, controller, noise, and other acquisition-chain differences unresolved.</w:t>
      </w:r>
    </w:p>
    <w:p>
      <w:pPr>
        <w:pStyle w:val="Heading1"/>
      </w:pPr>
      <w:r>
        <w:t>S8. Hash registry, interpretation limits, and next validation step</w:t>
      </w:r>
    </w:p>
    <w:tbl>
      <w:tblPr>
        <w:tblStyle w:val="TableGrid"/>
        <w:tblW w:type="dxa" w:w="9460"/>
        <w:jc w:val="left"/>
        <w:tblLook w:firstColumn="1" w:firstRow="1" w:lastColumn="0" w:lastRow="0" w:noHBand="0" w:noVBand="1" w:val="04A0"/>
        <w:tblLayout w:type="fixed"/>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2355"/>
        <w:gridCol w:w="3652"/>
        <w:gridCol w:w="3453"/>
      </w:tblGrid>
      <w:tr>
        <w:trPr>
          <w:tblHeader w:val="true"/>
          <w:cantSplit/>
        </w:trPr>
        <w:tc>
          <w:tcPr>
            <w:tcW w:type="dxa" w:w="2355"/>
            <w:tcMar>
              <w:top w:w="80" w:type="dxa"/>
              <w:start w:w="120" w:type="dxa"/>
              <w:bottom w:w="80" w:type="dxa"/>
              <w:end w:w="120" w:type="dxa"/>
            </w:tcMar>
            <w:vAlign w:val="center"/>
            <w:shd w:fill="E7E6E6"/>
          </w:tcPr>
          <w:p>
            <w:pPr>
              <w:spacing w:before="0" w:after="0" w:line="276" w:lineRule="auto"/>
              <w:jc w:val="left"/>
            </w:pPr>
            <w:r>
              <w:rPr>
                <w:rFonts w:ascii="Liberation Serif" w:hAnsi="Liberation Serif" w:eastAsia="Times New Roman"/>
                <w:b/>
                <w:sz w:val="18"/>
              </w:rPr>
              <w:t>Role</w:t>
            </w:r>
          </w:p>
        </w:tc>
        <w:tc>
          <w:tcPr>
            <w:tcW w:type="dxa" w:w="3652"/>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Artifact</w:t>
            </w:r>
          </w:p>
        </w:tc>
        <w:tc>
          <w:tcPr>
            <w:tcW w:type="dxa" w:w="3453"/>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SHA-256</w:t>
            </w:r>
          </w:p>
        </w:tc>
      </w:tr>
      <w:tr>
        <w:trPr>
          <w:cantSplit/>
        </w:trPr>
        <w:tc>
          <w:tcPr>
            <w:tcW w:type="dxa" w:w="2355"/>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processed input</w:t>
            </w:r>
          </w:p>
        </w:tc>
        <w:tc>
          <w:tcPr>
            <w:tcW w:type="dxa" w:w="365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data/processed/kaist_current_features.csv.gz</w:t>
            </w:r>
          </w:p>
        </w:tc>
        <w:tc>
          <w:tcPr>
            <w:tcW w:type="dxa" w:w="3453"/>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6276bfae67169f0e70a3b1bd3c4fdbf42c08631a4d4dcfd097ef8246ef970d20</w:t>
            </w:r>
          </w:p>
        </w:tc>
      </w:tr>
      <w:tr>
        <w:trPr>
          <w:cantSplit/>
        </w:trPr>
        <w:tc>
          <w:tcPr>
            <w:tcW w:type="dxa" w:w="2355"/>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processed input</w:t>
            </w:r>
          </w:p>
        </w:tc>
        <w:tc>
          <w:tcPr>
            <w:tcW w:type="dxa" w:w="365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data/processed/external_dual_three_phase_health_features.csv.gz</w:t>
            </w:r>
          </w:p>
        </w:tc>
        <w:tc>
          <w:tcPr>
            <w:tcW w:type="dxa" w:w="3453"/>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cef907bd7c7fef66170a87672df937827bd9a0e8c3f2083599ab277a19de9f0e</w:t>
            </w:r>
          </w:p>
        </w:tc>
      </w:tr>
      <w:tr>
        <w:trPr>
          <w:cantSplit/>
        </w:trPr>
        <w:tc>
          <w:tcPr>
            <w:tcW w:type="dxa" w:w="2355"/>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sampling input</w:t>
            </w:r>
          </w:p>
        </w:tc>
        <w:tc>
          <w:tcPr>
            <w:tcW w:type="dxa" w:w="365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data/processed/kaist_current_features_10khz.csv.gz</w:t>
            </w:r>
          </w:p>
        </w:tc>
        <w:tc>
          <w:tcPr>
            <w:tcW w:type="dxa" w:w="3453"/>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4d196d756b01ab43bd6431a2334a5922787eaf83df7836927c4f1d4d436b13ad</w:t>
            </w:r>
          </w:p>
        </w:tc>
      </w:tr>
      <w:tr>
        <w:trPr>
          <w:cantSplit/>
        </w:trPr>
        <w:tc>
          <w:tcPr>
            <w:tcW w:type="dxa" w:w="2355"/>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raw-file hash registry</w:t>
            </w:r>
          </w:p>
        </w:tc>
        <w:tc>
          <w:tcPr>
            <w:tcW w:type="dxa" w:w="365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data/processed/external_dual_three_phase_health_features.csv.metadata.json</w:t>
            </w:r>
          </w:p>
        </w:tc>
        <w:tc>
          <w:tcPr>
            <w:tcW w:type="dxa" w:w="3453"/>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f5a2925970af69db85eaa3699841600b4f9457396ba7250078147a8beb9448ad</w:t>
            </w:r>
          </w:p>
        </w:tc>
      </w:tr>
      <w:tr>
        <w:trPr>
          <w:cantSplit/>
        </w:trPr>
        <w:tc>
          <w:tcPr>
            <w:tcW w:type="dxa" w:w="2355"/>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primary result</w:t>
            </w:r>
          </w:p>
        </w:tc>
        <w:tc>
          <w:tcPr>
            <w:tcW w:type="dxa" w:w="365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results/external_pmsm_validation/aggregate_summary.csv</w:t>
            </w:r>
          </w:p>
        </w:tc>
        <w:tc>
          <w:tcPr>
            <w:tcW w:type="dxa" w:w="3453"/>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d21ae9068e39ecfb0c3d4b597fdf150f490079ccd0739bfc4b14a79cdad38cfa</w:t>
            </w:r>
          </w:p>
        </w:tc>
      </w:tr>
      <w:tr>
        <w:trPr>
          <w:cantSplit/>
        </w:trPr>
        <w:tc>
          <w:tcPr>
            <w:tcW w:type="dxa" w:w="2355"/>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paired diagnostic</w:t>
            </w:r>
          </w:p>
        </w:tc>
        <w:tc>
          <w:tcPr>
            <w:tcW w:type="dxa" w:w="365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results/external_failure_diagnostics/paired_vs_proposed.csv</w:t>
            </w:r>
          </w:p>
        </w:tc>
        <w:tc>
          <w:tcPr>
            <w:tcW w:type="dxa" w:w="3453"/>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7a5794bb4470c1bd97a17776b40ed469eac8322270dea79d1e5f84410cb1122b</w:t>
            </w:r>
          </w:p>
        </w:tc>
      </w:tr>
      <w:tr>
        <w:trPr>
          <w:cantSplit/>
        </w:trPr>
        <w:tc>
          <w:tcPr>
            <w:tcW w:type="dxa" w:w="2355"/>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horizon diagnostic</w:t>
            </w:r>
          </w:p>
        </w:tc>
        <w:tc>
          <w:tcPr>
            <w:tcW w:type="dxa" w:w="365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results/external_failure_diagnostics/horizon_detection_record_any.csv</w:t>
            </w:r>
          </w:p>
        </w:tc>
        <w:tc>
          <w:tcPr>
            <w:tcW w:type="dxa" w:w="3453"/>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658e1136d0d3cbac95b7a261139fbf4730e93dc41332e505321bf5fb78db25c4</w:t>
            </w:r>
          </w:p>
        </w:tc>
      </w:tr>
      <w:tr>
        <w:trPr>
          <w:cantSplit/>
        </w:trPr>
        <w:tc>
          <w:tcPr>
            <w:tcW w:type="dxa" w:w="2355"/>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position diagnostic</w:t>
            </w:r>
          </w:p>
        </w:tc>
        <w:tc>
          <w:tcPr>
            <w:tcW w:type="dxa" w:w="365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results/external_failure_diagnostics/block_auroc.csv</w:t>
            </w:r>
          </w:p>
        </w:tc>
        <w:tc>
          <w:tcPr>
            <w:tcW w:type="dxa" w:w="3453"/>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225cc74409c08cedeb292eadd3c664381062aab180c36cd93c402d8c61e969a5</w:t>
            </w:r>
          </w:p>
        </w:tc>
      </w:tr>
      <w:tr>
        <w:trPr>
          <w:cantSplit/>
        </w:trPr>
        <w:tc>
          <w:tcPr>
            <w:tcW w:type="dxa" w:w="2355"/>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seed diagnostic</w:t>
            </w:r>
          </w:p>
        </w:tc>
        <w:tc>
          <w:tcPr>
            <w:tcW w:type="dxa" w:w="365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results/external_seed_sensitivity/aggregate_seed_ranges.csv</w:t>
            </w:r>
          </w:p>
        </w:tc>
        <w:tc>
          <w:tcPr>
            <w:tcW w:type="dxa" w:w="3453"/>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f8634fc426c6bed9091a2cdd246b08bd014c74f07992658b2f47da95c182a8bb</w:t>
            </w:r>
          </w:p>
        </w:tc>
      </w:tr>
      <w:tr>
        <w:trPr>
          <w:cantSplit/>
        </w:trPr>
        <w:tc>
          <w:tcPr>
            <w:tcW w:type="dxa" w:w="2355"/>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feature diagnostic</w:t>
            </w:r>
          </w:p>
        </w:tc>
        <w:tc>
          <w:tcPr>
            <w:tcW w:type="dxa" w:w="365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results/external_feature_drift/feature_diagnostic_summary.csv</w:t>
            </w:r>
          </w:p>
        </w:tc>
        <w:tc>
          <w:tcPr>
            <w:tcW w:type="dxa" w:w="3453"/>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6eda1b2d27f262d23782774d58c9887ae1161e58e84499c94eca9e1349fc1720</w:t>
            </w:r>
          </w:p>
        </w:tc>
      </w:tr>
      <w:tr>
        <w:trPr>
          <w:cantSplit/>
        </w:trPr>
        <w:tc>
          <w:tcPr>
            <w:tcW w:type="dxa" w:w="2355"/>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geometry check</w:t>
            </w:r>
          </w:p>
        </w:tc>
        <w:tc>
          <w:tcPr>
            <w:tcW w:type="dxa" w:w="365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results/external_feature_drift/score_reconstruction_checks.csv</w:t>
            </w:r>
          </w:p>
        </w:tc>
        <w:tc>
          <w:tcPr>
            <w:tcW w:type="dxa" w:w="3453"/>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1607861e42f0dbd0ad10422c64dc42a0551e7bf159a2e7af2d0ab138b10eac18</w:t>
            </w:r>
          </w:p>
        </w:tc>
      </w:tr>
      <w:tr>
        <w:trPr>
          <w:cantSplit/>
        </w:trPr>
        <w:tc>
          <w:tcPr>
            <w:tcW w:type="dxa" w:w="2355"/>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sampling diagnostic</w:t>
            </w:r>
          </w:p>
        </w:tc>
        <w:tc>
          <w:tcPr>
            <w:tcW w:type="dxa" w:w="365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results/sampling_rate_sensitivity/external_method_comparison.csv</w:t>
            </w:r>
          </w:p>
        </w:tc>
        <w:tc>
          <w:tcPr>
            <w:tcW w:type="dxa" w:w="3453"/>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77697abc45ab32648118e23f468b499e5b52c8383ac73b94aa4ccb8ed2931373</w:t>
            </w:r>
          </w:p>
        </w:tc>
      </w:tr>
    </w:tbl>
    <w:p>
      <w:pPr>
        <w:spacing w:after="40"/>
      </w:pPr>
    </w:p>
    <w:p>
      <w:r>
        <w:rPr>
          <w:rFonts w:ascii="Liberation Serif" w:hAnsi="Liberation Serif" w:eastAsia="Times New Roman"/>
          <w:sz w:val="22"/>
        </w:rPr>
        <w:t>The external processed-feature metadata JSON contains the individual SHA-256 hash, sampling rate, length, health/fault metadata, and subsystem/window counts for all 56 MAT records. The hash registry above fixes the inputs and derived result tables from which this supplement was mechanically generated.</w:t>
      </w:r>
    </w:p>
    <w:p>
      <w:pPr>
        <w:pStyle w:val="Heading2"/>
      </w:pPr>
      <w:r>
        <w:t>S8.1. Limits on inference</w:t>
      </w:r>
    </w:p>
    <w:p>
      <w:pPr>
        <w:pStyle w:val="ListBullet"/>
      </w:pPr>
      <w:r>
        <w:rPr>
          <w:rFonts w:ascii="Liberation Serif" w:hAnsi="Liberation Serif" w:eastAsia="Times New Roman"/>
          <w:b/>
          <w:sz w:val="22"/>
        </w:rPr>
        <w:t>One external motor.</w:t>
      </w:r>
      <w:r>
        <w:rPr>
          <w:rFonts w:ascii="Liberation Serif" w:hAnsi="Liberation Serif" w:eastAsia="Times New Roman"/>
          <w:sz w:val="22"/>
        </w:rPr>
        <w:t xml:space="preserve"> The eight loads, six fault-turn configurations, two subsystems, and eight ordered blocks are repeated conditions on one physical dual-three-phase motor. Neither record bootstrap nor Holm correction creates independent motor replication.</w:t>
      </w:r>
    </w:p>
    <w:p>
      <w:pPr>
        <w:pStyle w:val="ListBullet"/>
      </w:pPr>
      <w:r>
        <w:rPr>
          <w:rFonts w:ascii="Liberation Serif" w:hAnsi="Liberation Serif" w:eastAsia="Times New Roman"/>
          <w:b/>
          <w:sz w:val="22"/>
        </w:rPr>
        <w:t>Dependent calibration and test blocks.</w:t>
      </w:r>
      <w:r>
        <w:rPr>
          <w:rFonts w:ascii="Liberation Serif" w:hAnsi="Liberation Serif" w:eastAsia="Times New Roman"/>
          <w:sz w:val="22"/>
        </w:rPr>
        <w:t xml:space="preserve"> The 24 calibration blocks come from three healthy load records and the 32 held-out health blocks from four records. Conformal p-values and Wilson intervals are therefore empirical/descriptive, not guarantees under arbitrary within-record dependence.</w:t>
      </w:r>
    </w:p>
    <w:p>
      <w:pPr>
        <w:pStyle w:val="ListBullet"/>
      </w:pPr>
      <w:r>
        <w:rPr>
          <w:rFonts w:ascii="Liberation Serif" w:hAnsi="Liberation Serif" w:eastAsia="Times New Roman"/>
          <w:b/>
          <w:sz w:val="22"/>
        </w:rPr>
        <w:t>Post-reveal diagnostics.</w:t>
      </w:r>
      <w:r>
        <w:rPr>
          <w:rFonts w:ascii="Liberation Serif" w:hAnsi="Liberation Serif" w:eastAsia="Times New Roman"/>
          <w:sz w:val="22"/>
        </w:rPr>
        <w:t xml:space="preserve"> Sections S3-S7 were specified after external fault reveal. They retain the frozen predictions or mechanically rerun an explicitly defined sampling arm; they introduce no new selected model, feature, ridge, threshold, aggregation, or primary claim.</w:t>
      </w:r>
    </w:p>
    <w:p>
      <w:pPr>
        <w:pStyle w:val="ListBullet"/>
      </w:pPr>
      <w:r>
        <w:rPr>
          <w:rFonts w:ascii="Liberation Serif" w:hAnsi="Liberation Serif" w:eastAsia="Times New Roman"/>
          <w:b/>
          <w:sz w:val="22"/>
        </w:rPr>
        <w:t>Speed-position coupling.</w:t>
      </w:r>
      <w:r>
        <w:rPr>
          <w:rFonts w:ascii="Liberation Serif" w:hAnsi="Liberation Serif" w:eastAsia="Times New Roman"/>
          <w:sz w:val="22"/>
        </w:rPr>
        <w:t xml:space="preserve"> The analyzed record segment is an acceleration ramp. Block ID, time, electrical-frequency proxy, and speed co-move, so first-alarm and feature associations cannot isolate causal effects or stationary detection delay.</w:t>
      </w:r>
    </w:p>
    <w:p>
      <w:pPr>
        <w:pStyle w:val="ListBullet"/>
      </w:pPr>
      <w:r>
        <w:rPr>
          <w:rFonts w:ascii="Liberation Serif" w:hAnsi="Liberation Serif" w:eastAsia="Times New Roman"/>
          <w:b/>
          <w:sz w:val="22"/>
        </w:rPr>
        <w:t>Current-only scope.</w:t>
      </w:r>
      <w:r>
        <w:rPr>
          <w:rFonts w:ascii="Liberation Serif" w:hAnsi="Liberation Serif" w:eastAsia="Times New Roman"/>
          <w:sz w:val="22"/>
        </w:rPr>
        <w:t xml:space="preserve"> The pipeline reads only the two three-phase current sets. Voltage, dq variables, and other modalities were not used. The test therefore does not cover faults whose detectable signature requires those channels.</w:t>
      </w:r>
    </w:p>
    <w:p>
      <w:pPr>
        <w:pStyle w:val="ListBullet"/>
      </w:pPr>
      <w:r>
        <w:rPr>
          <w:rFonts w:ascii="Liberation Serif" w:hAnsi="Liberation Serif" w:eastAsia="Times New Roman"/>
          <w:b/>
          <w:sz w:val="22"/>
        </w:rPr>
        <w:t>Dataset-specific target adaptation.</w:t>
      </w:r>
      <w:r>
        <w:rPr>
          <w:rFonts w:ascii="Liberation Serif" w:hAnsi="Liberation Serif" w:eastAsia="Times New Roman"/>
          <w:sz w:val="22"/>
        </w:rPr>
        <w:t xml:space="preserve"> Target-only methods use 60 healthy adaptation windows per subsystem, while source-balanced variants combine these with source healthy references. Performance gaps describe this locked protocol, not every possible transfer strategy.</w:t>
      </w:r>
    </w:p>
    <w:p>
      <w:r>
        <w:rPr>
          <w:rFonts w:ascii="Liberation Serif" w:hAnsi="Liberation Serif" w:eastAsia="Times New Roman"/>
          <w:sz w:val="22"/>
        </w:rPr>
        <w:t>The decisive next validation is a prospectively frozen replication on additional independent external motors, preferably with stationary speed/load segments as well as ramps. Until that experiment, external uncertainty is conditional on the single observed motor and the failure of source balancing should not be generalized as a population-level effect.</w:t>
      </w:r>
    </w:p>
    <w:p>
      <w:pPr>
        <w:pStyle w:val="Heading1"/>
      </w:pPr>
      <w:r>
        <w:t>S9. Prospectively logged secondary transient-set audit</w:t>
      </w:r>
    </w:p>
    <w:p>
      <w:r>
        <w:rPr>
          <w:rFonts w:ascii="Liberation Serif" w:hAnsi="Liberation Serif" w:eastAsia="Times New Roman"/>
          <w:sz w:val="22"/>
        </w:rPr>
        <w:t>This audit used Zenodo 10.5281/zenodo.15631383: 12 records from one 200 W PMSM and nine records from one 20 kW PMSM, all sampled at 10 kHz and all containing a transition from prefault operation to an interturn short circuit. It has no separate healthy-only records. Signal values remained sealed until the parser, onset rule, whole-record split, 80% motor-compatibility gate, detector family, and outputs had been frozen.</w:t>
      </w:r>
    </w:p>
    <w:p>
      <w:r>
        <w:rPr>
          <w:rFonts w:ascii="Liberation Serif" w:hAnsi="Liberation Serif" w:eastAsia="Times New Roman"/>
          <w:sz w:val="22"/>
        </w:rPr>
        <w:t xml:space="preserve">The predefined detector input is measured </w:t>
      </w:r>
      <w:r>
        <w:rPr>
          <w:rFonts w:ascii="Liberation Serif" w:hAnsi="Liberation Serif" w:eastAsia="Courier New"/>
          <w:sz w:val="22"/>
        </w:rPr>
        <w:t>ialbt_meas</w:t>
      </w:r>
      <w:r>
        <w:rPr>
          <w:rFonts w:ascii="Liberation Serif" w:hAnsi="Liberation Serif" w:eastAsia="Times New Roman"/>
          <w:sz w:val="22"/>
        </w:rPr>
        <w:t xml:space="preserve"> alpha-beta current, mechanically mapped to pseudo three-phase currents: ia = alpha, ib = (-alpha + sqrt(3) beta)/2, and ic = (-alpha - sqrt(3) beta)/2. True zero sequence is unobservable, not demonstrated to be zero. Both source and target therefore use the predeclared 26-feature arm excluding </w:t>
      </w:r>
      <w:r>
        <w:rPr>
          <w:rFonts w:ascii="Liberation Serif" w:hAnsi="Liberation Serif" w:eastAsia="Courier New"/>
          <w:sz w:val="22"/>
        </w:rPr>
        <w:t>zero_sequence_ratio</w:t>
      </w:r>
      <w:r>
        <w:rPr>
          <w:rFonts w:ascii="Liberation Serif" w:hAnsi="Liberation Serif" w:eastAsia="Times New Roman"/>
          <w:sz w:val="22"/>
        </w:rPr>
        <w:t xml:space="preserve">; KAIST 10 kHz features are the fixed source. The independent </w:t>
      </w:r>
      <w:r>
        <w:rPr>
          <w:rFonts w:ascii="Liberation Serif" w:hAnsi="Liberation Serif" w:eastAsia="Courier New"/>
          <w:sz w:val="22"/>
        </w:rPr>
        <w:t>if_meas</w:t>
      </w:r>
      <w:r>
        <w:rPr>
          <w:rFonts w:ascii="Liberation Serif" w:hAnsi="Liberation Serif" w:eastAsia="Times New Roman"/>
          <w:sz w:val="22"/>
        </w:rPr>
        <w:t xml:space="preserve"> onset rule uses 10 ms causal RMS and threshold max(b + 10 sigma, 0.02 max(RMS)), where b is the median of the initial min(0.5 s, 20% of record duration) baseline and sigma is 1.4826 times its median absolute deviation. Onset is the start of the first 20 ms interval continuously at or above the threshold, with a 0.2 s prefault guard. Detector scores do not set onset. Unlike the primary external 3 s system-block analysis, this protocol calibrates and alarms 0.2 s windows at alpha 0.05.</w:t>
      </w:r>
    </w:p>
    <w:p>
      <w:pPr>
        <w:pStyle w:val="Heading2"/>
      </w:pPr>
      <w:r>
        <w:t>S9.1. Compatibility gate and preserved primary failure</w:t>
      </w:r>
    </w:p>
    <w:tbl>
      <w:tblPr>
        <w:tblStyle w:val="TableGrid"/>
        <w:tblW w:type="dxa" w:w="9460"/>
        <w:jc w:val="left"/>
        <w:tblLook w:firstColumn="1" w:firstRow="1" w:lastColumn="0" w:lastRow="0" w:noHBand="0" w:noVBand="1" w:val="04A0"/>
        <w:tblLayout w:type="fixed"/>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2241"/>
        <w:gridCol w:w="1369"/>
        <w:gridCol w:w="1880"/>
        <w:gridCol w:w="1682"/>
        <w:gridCol w:w="2288"/>
      </w:tblGrid>
      <w:tr>
        <w:trPr>
          <w:tblHeader w:val="true"/>
          <w:cantSplit/>
        </w:trPr>
        <w:tc>
          <w:tcPr>
            <w:tcW w:type="dxa" w:w="2241"/>
            <w:tcMar>
              <w:top w:w="80" w:type="dxa"/>
              <w:start w:w="120" w:type="dxa"/>
              <w:bottom w:w="80" w:type="dxa"/>
              <w:end w:w="120" w:type="dxa"/>
            </w:tcMar>
            <w:vAlign w:val="center"/>
            <w:shd w:fill="E7E6E6"/>
          </w:tcPr>
          <w:p>
            <w:pPr>
              <w:spacing w:before="0" w:after="0" w:line="276" w:lineRule="auto"/>
              <w:jc w:val="left"/>
            </w:pPr>
            <w:r>
              <w:rPr>
                <w:rFonts w:ascii="Liberation Serif" w:hAnsi="Liberation Serif" w:eastAsia="Times New Roman"/>
                <w:b/>
                <w:sz w:val="18"/>
              </w:rPr>
              <w:t>Stage</w:t>
            </w:r>
          </w:p>
        </w:tc>
        <w:tc>
          <w:tcPr>
            <w:tcW w:type="dxa" w:w="1369"/>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Motor</w:t>
            </w:r>
          </w:p>
        </w:tc>
        <w:tc>
          <w:tcPr>
            <w:tcW w:type="dxa" w:w="1880"/>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Compatible records</w:t>
            </w:r>
          </w:p>
        </w:tc>
        <w:tc>
          <w:tcPr>
            <w:tcW w:type="dxa" w:w="1682"/>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Fraction (%)</w:t>
            </w:r>
          </w:p>
        </w:tc>
        <w:tc>
          <w:tcPr>
            <w:tcW w:type="dxa" w:w="2288"/>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Use</w:t>
            </w:r>
          </w:p>
        </w:tc>
      </w:tr>
      <w:tr>
        <w:trPr>
          <w:cantSplit/>
        </w:trPr>
        <w:tc>
          <w:tcPr>
            <w:tcW w:type="dxa" w:w="2241"/>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Frozen primary parser</w:t>
            </w:r>
          </w:p>
        </w:tc>
        <w:tc>
          <w:tcPr>
            <w:tcW w:type="dxa" w:w="136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200W</w:t>
            </w:r>
          </w:p>
        </w:tc>
        <w:tc>
          <w:tcPr>
            <w:tcW w:type="dxa" w:w="1880"/>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0/12</w:t>
            </w:r>
          </w:p>
        </w:tc>
        <w:tc>
          <w:tcPr>
            <w:tcW w:type="dxa" w:w="168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0.00</w:t>
            </w:r>
          </w:p>
        </w:tc>
        <w:tc>
          <w:tcPr>
            <w:tcW w:type="dxa" w:w="228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no features or scores</w:t>
            </w:r>
          </w:p>
        </w:tc>
      </w:tr>
      <w:tr>
        <w:trPr>
          <w:cantSplit/>
        </w:trPr>
        <w:tc>
          <w:tcPr>
            <w:tcW w:type="dxa" w:w="2241"/>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Frozen primary parser</w:t>
            </w:r>
          </w:p>
        </w:tc>
        <w:tc>
          <w:tcPr>
            <w:tcW w:type="dxa" w:w="136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20kW</w:t>
            </w:r>
          </w:p>
        </w:tc>
        <w:tc>
          <w:tcPr>
            <w:tcW w:type="dxa" w:w="1880"/>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0/9</w:t>
            </w:r>
          </w:p>
        </w:tc>
        <w:tc>
          <w:tcPr>
            <w:tcW w:type="dxa" w:w="168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0.00</w:t>
            </w:r>
          </w:p>
        </w:tc>
        <w:tc>
          <w:tcPr>
            <w:tcW w:type="dxa" w:w="228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no features or scores</w:t>
            </w:r>
          </w:p>
        </w:tc>
      </w:tr>
      <w:tr>
        <w:trPr>
          <w:cantSplit/>
        </w:trPr>
        <w:tc>
          <w:tcPr>
            <w:tcW w:type="dxa" w:w="2241"/>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Post-reveal implicit-time repair</w:t>
            </w:r>
          </w:p>
        </w:tc>
        <w:tc>
          <w:tcPr>
            <w:tcW w:type="dxa" w:w="136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200W</w:t>
            </w:r>
          </w:p>
        </w:tc>
        <w:tc>
          <w:tcPr>
            <w:tcW w:type="dxa" w:w="1880"/>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12/12</w:t>
            </w:r>
          </w:p>
        </w:tc>
        <w:tc>
          <w:tcPr>
            <w:tcW w:type="dxa" w:w="168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100.00</w:t>
            </w:r>
          </w:p>
        </w:tc>
        <w:tc>
          <w:tcPr>
            <w:tcW w:type="dxa" w:w="228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descriptive sensitivity only</w:t>
            </w:r>
          </w:p>
        </w:tc>
      </w:tr>
      <w:tr>
        <w:trPr>
          <w:cantSplit/>
        </w:trPr>
        <w:tc>
          <w:tcPr>
            <w:tcW w:type="dxa" w:w="2241"/>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Post-reveal implicit-time repair</w:t>
            </w:r>
          </w:p>
        </w:tc>
        <w:tc>
          <w:tcPr>
            <w:tcW w:type="dxa" w:w="136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20kW</w:t>
            </w:r>
          </w:p>
        </w:tc>
        <w:tc>
          <w:tcPr>
            <w:tcW w:type="dxa" w:w="1880"/>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4/9</w:t>
            </w:r>
          </w:p>
        </w:tc>
        <w:tc>
          <w:tcPr>
            <w:tcW w:type="dxa" w:w="168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44.44</w:t>
            </w:r>
          </w:p>
        </w:tc>
        <w:tc>
          <w:tcPr>
            <w:tcW w:type="dxa" w:w="228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44.44%; failed the frozen 80% gate</w:t>
            </w:r>
          </w:p>
        </w:tc>
      </w:tr>
    </w:tbl>
    <w:p>
      <w:pPr>
        <w:spacing w:after="40"/>
      </w:pPr>
    </w:p>
    <w:p>
      <w:r>
        <w:rPr>
          <w:rFonts w:ascii="Liberation Serif" w:hAnsi="Liberation Serif" w:eastAsia="Times New Roman"/>
          <w:sz w:val="22"/>
        </w:rPr>
        <w:t xml:space="preserve">The frozen primary parser required an explicit monotonic 10 kHz time candidate. All 21 MATLAB </w:t>
      </w:r>
      <w:r>
        <w:rPr>
          <w:rFonts w:ascii="Liberation Serif" w:hAnsi="Liberation Serif" w:eastAsia="Courier New"/>
          <w:sz w:val="22"/>
        </w:rPr>
        <w:t>timeseries</w:t>
      </w:r>
      <w:r>
        <w:rPr>
          <w:rFonts w:ascii="Liberation Serif" w:hAnsi="Liberation Serif" w:eastAsia="Times New Roman"/>
          <w:sz w:val="22"/>
        </w:rPr>
        <w:t xml:space="preserve"> objects instead stored uniform timing in </w:t>
      </w:r>
      <w:r>
        <w:rPr>
          <w:rFonts w:ascii="Liberation Serif" w:hAnsi="Liberation Serif" w:eastAsia="Courier New"/>
          <w:sz w:val="22"/>
        </w:rPr>
        <w:t>TimeInfo</w:t>
      </w:r>
      <w:r>
        <w:rPr>
          <w:rFonts w:ascii="Liberation Serif" w:hAnsi="Liberation Serif" w:eastAsia="Times New Roman"/>
          <w:sz w:val="22"/>
        </w:rPr>
        <w:t xml:space="preserve"> while their explicit </w:t>
      </w:r>
      <w:r>
        <w:rPr>
          <w:rFonts w:ascii="Liberation Serif" w:hAnsi="Liberation Serif" w:eastAsia="Courier New"/>
          <w:sz w:val="22"/>
        </w:rPr>
        <w:t>Time_</w:t>
      </w:r>
      <w:r>
        <w:rPr>
          <w:rFonts w:ascii="Liberation Serif" w:hAnsi="Liberation Serif" w:eastAsia="Times New Roman"/>
          <w:sz w:val="22"/>
        </w:rPr>
        <w:t xml:space="preserve"> arrays were empty. The run therefore stopped before feature extraction and produced no detector scores. After that failure was committed, a separate opt-in parser reconstructed time from the stored start, increment, and length. Five 20 kW records then remained incompatible because detected onset overlapped the frozen 0.5 s baseline. No alternative baseline or record subset was selected, so the 20 kW motor has no quantitative endpoint.</w:t>
      </w:r>
    </w:p>
    <w:p>
      <w:pPr>
        <w:pStyle w:val="Heading2"/>
      </w:pPr>
      <w:r>
        <w:t>S9.2. Post-reveal 200 W single-motor sensitivity</w:t>
      </w:r>
    </w:p>
    <w:p>
      <w:r>
        <w:rPr>
          <w:rFonts w:ascii="Liberation Serif" w:hAnsi="Liberation Serif" w:eastAsia="Times New Roman"/>
          <w:sz w:val="22"/>
        </w:rPr>
        <w:t>The secondary protocol specified twelve configurations, adding a target-only log-ridge covariance control to the primary evaluation's eleven configurations. Each of 12 200 W records was held out in turn. Depending on the hash split, 6 other records supplied prefault fit windows and 5 records supplied 67-88 calibration windows. Across all twelve held-out records there were 176 prefault test windows, 60 primary first-second windows, and 120 windows over the full 2 s post-onset horizon. Each record contributed five first-second and ten 2 s post-onset windows; the 176 prefault windows are a pooled total rather than a per-record count.</w:t>
      </w:r>
    </w:p>
    <w:tbl>
      <w:tblPr>
        <w:tblStyle w:val="TableGrid"/>
        <w:tblW w:type="dxa" w:w="9460"/>
        <w:jc w:val="left"/>
        <w:tblLook w:firstColumn="1" w:firstRow="1" w:lastColumn="0" w:lastRow="0" w:noHBand="0" w:noVBand="1" w:val="04A0"/>
        <w:tblLayout w:type="fixed"/>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835"/>
        <w:gridCol w:w="1592"/>
        <w:gridCol w:w="1558"/>
        <w:gridCol w:w="1466"/>
        <w:gridCol w:w="1540"/>
        <w:gridCol w:w="1469"/>
      </w:tblGrid>
      <w:tr>
        <w:trPr>
          <w:tblHeader w:val="true"/>
          <w:cantSplit/>
        </w:trPr>
        <w:tc>
          <w:tcPr>
            <w:tcW w:type="dxa" w:w="1835"/>
            <w:tcMar>
              <w:top w:w="80" w:type="dxa"/>
              <w:start w:w="120" w:type="dxa"/>
              <w:bottom w:w="80" w:type="dxa"/>
              <w:end w:w="120" w:type="dxa"/>
            </w:tcMar>
            <w:vAlign w:val="center"/>
            <w:shd w:fill="E7E6E6"/>
          </w:tcPr>
          <w:p>
            <w:pPr>
              <w:spacing w:before="0" w:after="0" w:line="276" w:lineRule="auto"/>
              <w:jc w:val="left"/>
            </w:pPr>
            <w:r>
              <w:rPr>
                <w:rFonts w:ascii="Liberation Serif" w:hAnsi="Liberation Serif" w:eastAsia="Times New Roman"/>
                <w:b/>
                <w:sz w:val="18"/>
              </w:rPr>
              <w:t>Method</w:t>
            </w:r>
          </w:p>
        </w:tc>
        <w:tc>
          <w:tcPr>
            <w:tcW w:type="dxa" w:w="1592"/>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Held-out prefault alarms</w:t>
            </w:r>
          </w:p>
        </w:tc>
        <w:tc>
          <w:tcPr>
            <w:tcW w:type="dxa" w:w="1558"/>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First 1 s fault alarms</w:t>
            </w:r>
          </w:p>
        </w:tc>
        <w:tc>
          <w:tcPr>
            <w:tcW w:type="dxa" w:w="1466"/>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Record-any alarms</w:t>
            </w:r>
          </w:p>
        </w:tc>
        <w:tc>
          <w:tcPr>
            <w:tcW w:type="dxa" w:w="1540"/>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Full 2 s fault alarms</w:t>
            </w:r>
          </w:p>
        </w:tc>
        <w:tc>
          <w:tcPr>
            <w:tcW w:type="dxa" w:w="1469"/>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Mean record AUROC</w:t>
            </w:r>
          </w:p>
        </w:tc>
      </w:tr>
      <w:tr>
        <w:trPr>
          <w:cantSplit/>
        </w:trPr>
        <w:tc>
          <w:tcPr>
            <w:tcW w:type="dxa" w:w="1835"/>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Target Ledoit-Wolf</w:t>
            </w:r>
          </w:p>
        </w:tc>
        <w:tc>
          <w:tcPr>
            <w:tcW w:type="dxa" w:w="159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7/176</w:t>
            </w:r>
          </w:p>
        </w:tc>
        <w:tc>
          <w:tcPr>
            <w:tcW w:type="dxa" w:w="155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0/60</w:t>
            </w:r>
          </w:p>
        </w:tc>
        <w:tc>
          <w:tcPr>
            <w:tcW w:type="dxa" w:w="146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0/12</w:t>
            </w:r>
          </w:p>
        </w:tc>
        <w:tc>
          <w:tcPr>
            <w:tcW w:type="dxa" w:w="1540"/>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0/120</w:t>
            </w:r>
          </w:p>
        </w:tc>
        <w:tc>
          <w:tcPr>
            <w:tcW w:type="dxa" w:w="146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0.280</w:t>
            </w:r>
          </w:p>
        </w:tc>
      </w:tr>
      <w:tr>
        <w:trPr>
          <w:cantSplit/>
        </w:trPr>
        <w:tc>
          <w:tcPr>
            <w:tcW w:type="dxa" w:w="1835"/>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Target sample covariance</w:t>
            </w:r>
          </w:p>
        </w:tc>
        <w:tc>
          <w:tcPr>
            <w:tcW w:type="dxa" w:w="159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11/176</w:t>
            </w:r>
          </w:p>
        </w:tc>
        <w:tc>
          <w:tcPr>
            <w:tcW w:type="dxa" w:w="155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0/60</w:t>
            </w:r>
          </w:p>
        </w:tc>
        <w:tc>
          <w:tcPr>
            <w:tcW w:type="dxa" w:w="146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0/12</w:t>
            </w:r>
          </w:p>
        </w:tc>
        <w:tc>
          <w:tcPr>
            <w:tcW w:type="dxa" w:w="1540"/>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0/120</w:t>
            </w:r>
          </w:p>
        </w:tc>
        <w:tc>
          <w:tcPr>
            <w:tcW w:type="dxa" w:w="146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0.562</w:t>
            </w:r>
          </w:p>
        </w:tc>
      </w:tr>
      <w:tr>
        <w:trPr>
          <w:cantSplit/>
        </w:trPr>
        <w:tc>
          <w:tcPr>
            <w:tcW w:type="dxa" w:w="1835"/>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Target Log-Euclidean covariance</w:t>
            </w:r>
          </w:p>
        </w:tc>
        <w:tc>
          <w:tcPr>
            <w:tcW w:type="dxa" w:w="159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11/176</w:t>
            </w:r>
          </w:p>
        </w:tc>
        <w:tc>
          <w:tcPr>
            <w:tcW w:type="dxa" w:w="155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0/60</w:t>
            </w:r>
          </w:p>
        </w:tc>
        <w:tc>
          <w:tcPr>
            <w:tcW w:type="dxa" w:w="146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0/12</w:t>
            </w:r>
          </w:p>
        </w:tc>
        <w:tc>
          <w:tcPr>
            <w:tcW w:type="dxa" w:w="1540"/>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0/120</w:t>
            </w:r>
          </w:p>
        </w:tc>
        <w:tc>
          <w:tcPr>
            <w:tcW w:type="dxa" w:w="146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0.546</w:t>
            </w:r>
          </w:p>
        </w:tc>
      </w:tr>
      <w:tr>
        <w:trPr>
          <w:cantSplit/>
        </w:trPr>
        <w:tc>
          <w:tcPr>
            <w:tcW w:type="dxa" w:w="1835"/>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Source covariance</w:t>
            </w:r>
          </w:p>
        </w:tc>
        <w:tc>
          <w:tcPr>
            <w:tcW w:type="dxa" w:w="159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9/176</w:t>
            </w:r>
          </w:p>
        </w:tc>
        <w:tc>
          <w:tcPr>
            <w:tcW w:type="dxa" w:w="155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0/60</w:t>
            </w:r>
          </w:p>
        </w:tc>
        <w:tc>
          <w:tcPr>
            <w:tcW w:type="dxa" w:w="146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0/12</w:t>
            </w:r>
          </w:p>
        </w:tc>
        <w:tc>
          <w:tcPr>
            <w:tcW w:type="dxa" w:w="1540"/>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0/120</w:t>
            </w:r>
          </w:p>
        </w:tc>
        <w:tc>
          <w:tcPr>
            <w:tcW w:type="dxa" w:w="146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0.532</w:t>
            </w:r>
          </w:p>
        </w:tc>
      </w:tr>
      <w:tr>
        <w:trPr>
          <w:cantSplit/>
        </w:trPr>
        <w:tc>
          <w:tcPr>
            <w:tcW w:type="dxa" w:w="1835"/>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Entity-balanced covariance</w:t>
            </w:r>
          </w:p>
        </w:tc>
        <w:tc>
          <w:tcPr>
            <w:tcW w:type="dxa" w:w="159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13/176</w:t>
            </w:r>
          </w:p>
        </w:tc>
        <w:tc>
          <w:tcPr>
            <w:tcW w:type="dxa" w:w="155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0/60</w:t>
            </w:r>
          </w:p>
        </w:tc>
        <w:tc>
          <w:tcPr>
            <w:tcW w:type="dxa" w:w="146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0/12</w:t>
            </w:r>
          </w:p>
        </w:tc>
        <w:tc>
          <w:tcPr>
            <w:tcW w:type="dxa" w:w="1540"/>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0/120</w:t>
            </w:r>
          </w:p>
        </w:tc>
        <w:tc>
          <w:tcPr>
            <w:tcW w:type="dxa" w:w="146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0.559</w:t>
            </w:r>
          </w:p>
        </w:tc>
      </w:tr>
      <w:tr>
        <w:trPr>
          <w:cantSplit/>
        </w:trPr>
        <w:tc>
          <w:tcPr>
            <w:tcW w:type="dxa" w:w="1835"/>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Proposed: Log-Euclidean entity covariance</w:t>
            </w:r>
          </w:p>
        </w:tc>
        <w:tc>
          <w:tcPr>
            <w:tcW w:type="dxa" w:w="159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8/176</w:t>
            </w:r>
          </w:p>
        </w:tc>
        <w:tc>
          <w:tcPr>
            <w:tcW w:type="dxa" w:w="155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0/60</w:t>
            </w:r>
          </w:p>
        </w:tc>
        <w:tc>
          <w:tcPr>
            <w:tcW w:type="dxa" w:w="146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0/12</w:t>
            </w:r>
          </w:p>
        </w:tc>
        <w:tc>
          <w:tcPr>
            <w:tcW w:type="dxa" w:w="1540"/>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0/120</w:t>
            </w:r>
          </w:p>
        </w:tc>
        <w:tc>
          <w:tcPr>
            <w:tcW w:type="dxa" w:w="146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0.541</w:t>
            </w:r>
          </w:p>
        </w:tc>
      </w:tr>
      <w:tr>
        <w:trPr>
          <w:cantSplit/>
        </w:trPr>
        <w:tc>
          <w:tcPr>
            <w:tcW w:type="dxa" w:w="1835"/>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Target OC-SVM (RBF)</w:t>
            </w:r>
          </w:p>
        </w:tc>
        <w:tc>
          <w:tcPr>
            <w:tcW w:type="dxa" w:w="159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9/176</w:t>
            </w:r>
          </w:p>
        </w:tc>
        <w:tc>
          <w:tcPr>
            <w:tcW w:type="dxa" w:w="155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0/60</w:t>
            </w:r>
          </w:p>
        </w:tc>
        <w:tc>
          <w:tcPr>
            <w:tcW w:type="dxa" w:w="146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0/12</w:t>
            </w:r>
          </w:p>
        </w:tc>
        <w:tc>
          <w:tcPr>
            <w:tcW w:type="dxa" w:w="1540"/>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0/120</w:t>
            </w:r>
          </w:p>
        </w:tc>
        <w:tc>
          <w:tcPr>
            <w:tcW w:type="dxa" w:w="146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0.389</w:t>
            </w:r>
          </w:p>
        </w:tc>
      </w:tr>
      <w:tr>
        <w:trPr>
          <w:cantSplit/>
        </w:trPr>
        <w:tc>
          <w:tcPr>
            <w:tcW w:type="dxa" w:w="1835"/>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Source+target OC-SVM (RBF)</w:t>
            </w:r>
          </w:p>
        </w:tc>
        <w:tc>
          <w:tcPr>
            <w:tcW w:type="dxa" w:w="159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8/176</w:t>
            </w:r>
          </w:p>
        </w:tc>
        <w:tc>
          <w:tcPr>
            <w:tcW w:type="dxa" w:w="155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0/60</w:t>
            </w:r>
          </w:p>
        </w:tc>
        <w:tc>
          <w:tcPr>
            <w:tcW w:type="dxa" w:w="146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0/12</w:t>
            </w:r>
          </w:p>
        </w:tc>
        <w:tc>
          <w:tcPr>
            <w:tcW w:type="dxa" w:w="1540"/>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0/120</w:t>
            </w:r>
          </w:p>
        </w:tc>
        <w:tc>
          <w:tcPr>
            <w:tcW w:type="dxa" w:w="146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0.161</w:t>
            </w:r>
          </w:p>
        </w:tc>
      </w:tr>
      <w:tr>
        <w:trPr>
          <w:cantSplit/>
        </w:trPr>
        <w:tc>
          <w:tcPr>
            <w:tcW w:type="dxa" w:w="1835"/>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Target Isolation Forest</w:t>
            </w:r>
          </w:p>
        </w:tc>
        <w:tc>
          <w:tcPr>
            <w:tcW w:type="dxa" w:w="159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11/176</w:t>
            </w:r>
          </w:p>
        </w:tc>
        <w:tc>
          <w:tcPr>
            <w:tcW w:type="dxa" w:w="155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0/60</w:t>
            </w:r>
          </w:p>
        </w:tc>
        <w:tc>
          <w:tcPr>
            <w:tcW w:type="dxa" w:w="146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0/12</w:t>
            </w:r>
          </w:p>
        </w:tc>
        <w:tc>
          <w:tcPr>
            <w:tcW w:type="dxa" w:w="1540"/>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0/120</w:t>
            </w:r>
          </w:p>
        </w:tc>
        <w:tc>
          <w:tcPr>
            <w:tcW w:type="dxa" w:w="146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0.447</w:t>
            </w:r>
          </w:p>
        </w:tc>
      </w:tr>
      <w:tr>
        <w:trPr>
          <w:cantSplit/>
        </w:trPr>
        <w:tc>
          <w:tcPr>
            <w:tcW w:type="dxa" w:w="1835"/>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Source+target Isolation Forest</w:t>
            </w:r>
          </w:p>
        </w:tc>
        <w:tc>
          <w:tcPr>
            <w:tcW w:type="dxa" w:w="159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12/176</w:t>
            </w:r>
          </w:p>
        </w:tc>
        <w:tc>
          <w:tcPr>
            <w:tcW w:type="dxa" w:w="155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0/60</w:t>
            </w:r>
          </w:p>
        </w:tc>
        <w:tc>
          <w:tcPr>
            <w:tcW w:type="dxa" w:w="146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0/12</w:t>
            </w:r>
          </w:p>
        </w:tc>
        <w:tc>
          <w:tcPr>
            <w:tcW w:type="dxa" w:w="1540"/>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0/120</w:t>
            </w:r>
          </w:p>
        </w:tc>
        <w:tc>
          <w:tcPr>
            <w:tcW w:type="dxa" w:w="146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0.524</w:t>
            </w:r>
          </w:p>
        </w:tc>
      </w:tr>
      <w:tr>
        <w:trPr>
          <w:cantSplit/>
        </w:trPr>
        <w:tc>
          <w:tcPr>
            <w:tcW w:type="dxa" w:w="1835"/>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Target MinCovDet</w:t>
            </w:r>
          </w:p>
        </w:tc>
        <w:tc>
          <w:tcPr>
            <w:tcW w:type="dxa" w:w="159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9/176</w:t>
            </w:r>
          </w:p>
        </w:tc>
        <w:tc>
          <w:tcPr>
            <w:tcW w:type="dxa" w:w="155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0/60</w:t>
            </w:r>
          </w:p>
        </w:tc>
        <w:tc>
          <w:tcPr>
            <w:tcW w:type="dxa" w:w="146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0/12</w:t>
            </w:r>
          </w:p>
        </w:tc>
        <w:tc>
          <w:tcPr>
            <w:tcW w:type="dxa" w:w="1540"/>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0/120</w:t>
            </w:r>
          </w:p>
        </w:tc>
        <w:tc>
          <w:tcPr>
            <w:tcW w:type="dxa" w:w="146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0.564</w:t>
            </w:r>
          </w:p>
        </w:tc>
      </w:tr>
      <w:tr>
        <w:trPr>
          <w:cantSplit/>
        </w:trPr>
        <w:tc>
          <w:tcPr>
            <w:tcW w:type="dxa" w:w="1835"/>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Source+target MinCovDet</w:t>
            </w:r>
          </w:p>
        </w:tc>
        <w:tc>
          <w:tcPr>
            <w:tcW w:type="dxa" w:w="159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9/176</w:t>
            </w:r>
          </w:p>
        </w:tc>
        <w:tc>
          <w:tcPr>
            <w:tcW w:type="dxa" w:w="155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0/60</w:t>
            </w:r>
          </w:p>
        </w:tc>
        <w:tc>
          <w:tcPr>
            <w:tcW w:type="dxa" w:w="146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0/12</w:t>
            </w:r>
          </w:p>
        </w:tc>
        <w:tc>
          <w:tcPr>
            <w:tcW w:type="dxa" w:w="1540"/>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0/120</w:t>
            </w:r>
          </w:p>
        </w:tc>
        <w:tc>
          <w:tcPr>
            <w:tcW w:type="dxa" w:w="146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0.539</w:t>
            </w:r>
          </w:p>
        </w:tc>
      </w:tr>
    </w:tbl>
    <w:p>
      <w:pPr>
        <w:spacing w:after="40"/>
      </w:pPr>
    </w:p>
    <w:p>
      <w:r>
        <w:rPr>
          <w:rFonts w:ascii="Liberation Serif" w:hAnsi="Liberation Serif" w:eastAsia="Times New Roman"/>
          <w:sz w:val="22"/>
        </w:rPr>
        <w:t>Mean record AUROC averages twelve within-record AUROCs comparing each held-out record's eligible prefault windows with its five first-second fault windows; it is not the full-2-second AUROC.</w:t>
      </w:r>
    </w:p>
    <w:p>
      <w:r>
        <w:rPr>
          <w:rFonts w:ascii="Liberation Serif" w:hAnsi="Liberation Serif" w:eastAsia="Times New Roman"/>
          <w:sz w:val="22"/>
        </w:rPr>
        <w:t>Every method produced zero thresholded alarms in both post-onset horizons. Held-out prefault alarms ranged from 7/176 to 13/176. Proposed produced 8/176 prefault alarms and mean record AUROC 0.541; Target MinCovDet produced 9/176 and AUROC 0.564. Because all 12 methods tie at zero detection, paired thresholded transfer comparisons are uninformative; score-ranking differences do not rescue the missed early alarms. This analysis is post-reveal, contains one physical motor, and reuses prefault and fault segments from the same transition records. It cannot confirm cross-capacity transfer or support population inference.</w:t>
      </w:r>
    </w:p>
    <w:p>
      <w:pPr>
        <w:pStyle w:val="Heading2"/>
      </w:pPr>
      <w:r>
        <w:t>S9.3. Audit hashes</w:t>
      </w:r>
    </w:p>
    <w:tbl>
      <w:tblPr>
        <w:tblStyle w:val="TableGrid"/>
        <w:tblW w:type="dxa" w:w="9460"/>
        <w:jc w:val="left"/>
        <w:tblLook w:firstColumn="1" w:firstRow="1" w:lastColumn="0" w:lastRow="0" w:noHBand="0" w:noVBand="1" w:val="04A0"/>
        <w:tblLayout w:type="fixed"/>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2709"/>
        <w:gridCol w:w="3534"/>
        <w:gridCol w:w="3217"/>
      </w:tblGrid>
      <w:tr>
        <w:trPr>
          <w:tblHeader w:val="true"/>
          <w:cantSplit/>
        </w:trPr>
        <w:tc>
          <w:tcPr>
            <w:tcW w:type="dxa" w:w="2709"/>
            <w:tcMar>
              <w:top w:w="80" w:type="dxa"/>
              <w:start w:w="120" w:type="dxa"/>
              <w:bottom w:w="80" w:type="dxa"/>
              <w:end w:w="120" w:type="dxa"/>
            </w:tcMar>
            <w:vAlign w:val="center"/>
            <w:shd w:fill="E7E6E6"/>
          </w:tcPr>
          <w:p>
            <w:pPr>
              <w:spacing w:before="0" w:after="0" w:line="276" w:lineRule="auto"/>
              <w:jc w:val="left"/>
            </w:pPr>
            <w:r>
              <w:rPr>
                <w:rFonts w:ascii="Liberation Serif" w:hAnsi="Liberation Serif" w:eastAsia="Times New Roman"/>
                <w:b/>
                <w:sz w:val="18"/>
              </w:rPr>
              <w:t>Role</w:t>
            </w:r>
          </w:p>
        </w:tc>
        <w:tc>
          <w:tcPr>
            <w:tcW w:type="dxa" w:w="3534"/>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Artifact</w:t>
            </w:r>
          </w:p>
        </w:tc>
        <w:tc>
          <w:tcPr>
            <w:tcW w:type="dxa" w:w="3217"/>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SHA-256</w:t>
            </w:r>
          </w:p>
        </w:tc>
      </w:tr>
      <w:tr>
        <w:trPr>
          <w:cantSplit/>
        </w:trPr>
        <w:tc>
          <w:tcPr>
            <w:tcW w:type="dxa" w:w="2709"/>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prospectively frozen pre-reveal protocol</w:t>
            </w:r>
          </w:p>
        </w:tc>
        <w:tc>
          <w:tcPr>
            <w:tcW w:type="dxa" w:w="353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docs/secondary_transient_validation_protocol.md</w:t>
            </w:r>
          </w:p>
        </w:tc>
        <w:tc>
          <w:tcPr>
            <w:tcW w:type="dxa" w:w="3217"/>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d5f072dd6b494e6b09c1ec6c8956c5d0e60310fc724711d4a66792a78b1b8a08</w:t>
            </w:r>
          </w:p>
        </w:tc>
      </w:tr>
      <w:tr>
        <w:trPr>
          <w:cantSplit/>
        </w:trPr>
        <w:tc>
          <w:tcPr>
            <w:tcW w:type="dxa" w:w="2709"/>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chronological reveal log</w:t>
            </w:r>
          </w:p>
        </w:tc>
        <w:tc>
          <w:tcPr>
            <w:tcW w:type="dxa" w:w="353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docs/secondary_transient_reveal_log.md</w:t>
            </w:r>
          </w:p>
        </w:tc>
        <w:tc>
          <w:tcPr>
            <w:tcW w:type="dxa" w:w="3217"/>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2620b53b6a6ef16d093d74f9b7522fd937dff8c3d61f6bef2ecbb515ad374801</w:t>
            </w:r>
          </w:p>
        </w:tc>
      </w:tr>
      <w:tr>
        <w:trPr>
          <w:cantSplit/>
        </w:trPr>
        <w:tc>
          <w:tcPr>
            <w:tcW w:type="dxa" w:w="2709"/>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frozen parser compatibility</w:t>
            </w:r>
          </w:p>
        </w:tc>
        <w:tc>
          <w:tcPr>
            <w:tcW w:type="dxa" w:w="353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results/transient_feature_build/record_compatibility.csv</w:t>
            </w:r>
          </w:p>
        </w:tc>
        <w:tc>
          <w:tcPr>
            <w:tcW w:type="dxa" w:w="3217"/>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b2f737ca6d2dfbd20f211b1e083dd7a045954658f21f7a7553bcf8fb93aa219e</w:t>
            </w:r>
          </w:p>
        </w:tc>
      </w:tr>
      <w:tr>
        <w:trPr>
          <w:cantSplit/>
        </w:trPr>
        <w:tc>
          <w:tcPr>
            <w:tcW w:type="dxa" w:w="2709"/>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post-reveal compatibility</w:t>
            </w:r>
          </w:p>
        </w:tc>
        <w:tc>
          <w:tcPr>
            <w:tcW w:type="dxa" w:w="353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results/transient_feature_build_post_reveal_implicit_time/record_compatibility.csv</w:t>
            </w:r>
          </w:p>
        </w:tc>
        <w:tc>
          <w:tcPr>
            <w:tcW w:type="dxa" w:w="3217"/>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315d0887fc8db78d87f6ac8db3c120bc91977b4ee4b4e42a8b65748a5c7172a0</w:t>
            </w:r>
          </w:p>
        </w:tc>
      </w:tr>
      <w:tr>
        <w:trPr>
          <w:cantSplit/>
        </w:trPr>
        <w:tc>
          <w:tcPr>
            <w:tcW w:type="dxa" w:w="2709"/>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post-reveal features</w:t>
            </w:r>
          </w:p>
        </w:tc>
        <w:tc>
          <w:tcPr>
            <w:tcW w:type="dxa" w:w="353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data/processed/transient_pmsm_features_post_reveal_implicit_time.csv.gz</w:t>
            </w:r>
          </w:p>
        </w:tc>
        <w:tc>
          <w:tcPr>
            <w:tcW w:type="dxa" w:w="3217"/>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92fea2691ea737319dd43469130b0275bce596bab1e98f0bc4c391f109899ad1</w:t>
            </w:r>
          </w:p>
        </w:tc>
      </w:tr>
      <w:tr>
        <w:trPr>
          <w:cantSplit/>
        </w:trPr>
        <w:tc>
          <w:tcPr>
            <w:tcW w:type="dxa" w:w="2709"/>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200 W method summary</w:t>
            </w:r>
          </w:p>
        </w:tc>
        <w:tc>
          <w:tcPr>
            <w:tcW w:type="dxa" w:w="353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results/transient_pmsm_validation_post_reveal_200w/aggregate_summary.csv</w:t>
            </w:r>
          </w:p>
        </w:tc>
        <w:tc>
          <w:tcPr>
            <w:tcW w:type="dxa" w:w="3217"/>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aa4904f52069c94e3d5ddf885b63fffa54cd35b71671fc5ab85cc9ee1bede41b</w:t>
            </w:r>
          </w:p>
        </w:tc>
      </w:tr>
      <w:tr>
        <w:trPr>
          <w:cantSplit/>
        </w:trPr>
        <w:tc>
          <w:tcPr>
            <w:tcW w:type="dxa" w:w="2709"/>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200 W record summary</w:t>
            </w:r>
          </w:p>
        </w:tc>
        <w:tc>
          <w:tcPr>
            <w:tcW w:type="dxa" w:w="353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results/transient_pmsm_validation_post_reveal_200w/per_record_summary.csv</w:t>
            </w:r>
          </w:p>
        </w:tc>
        <w:tc>
          <w:tcPr>
            <w:tcW w:type="dxa" w:w="3217"/>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b73c1260342d09d1d52546d6fbded7106e352127e80e6dacc67538d556447ad8</w:t>
            </w:r>
          </w:p>
        </w:tc>
      </w:tr>
      <w:tr>
        <w:trPr>
          <w:cantSplit/>
        </w:trPr>
        <w:tc>
          <w:tcPr>
            <w:tcW w:type="dxa" w:w="2709"/>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200 W predictions</w:t>
            </w:r>
          </w:p>
        </w:tc>
        <w:tc>
          <w:tcPr>
            <w:tcW w:type="dxa" w:w="353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results/transient_pmsm_validation_post_reveal_200w/window_predictions.csv.gz</w:t>
            </w:r>
          </w:p>
        </w:tc>
        <w:tc>
          <w:tcPr>
            <w:tcW w:type="dxa" w:w="3217"/>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4c474ac9da88f2b34daff2bb2151939ccc2b77b004ea3e4dfb959fe5da19e3d6</w:t>
            </w:r>
          </w:p>
        </w:tc>
      </w:tr>
    </w:tbl>
    <w:p>
      <w:pPr>
        <w:spacing w:after="40"/>
      </w:pPr>
    </w:p>
    <w:p>
      <w:r>
        <w:rPr>
          <w:rFonts w:ascii="Liberation Serif" w:hAnsi="Liberation Serif" w:eastAsia="Times New Roman"/>
          <w:sz w:val="22"/>
        </w:rPr>
        <w:t>The immutable frozen parser failure and the opt-in repaired analysis are stored in separate result directories. The repaired feature-table hash is checked against both the extractor and validation metadata before this section is generated.</w:t>
      </w:r>
    </w:p>
    <w:p>
      <w:pPr>
        <w:pStyle w:val="Heading1"/>
      </w:pPr>
      <w:r>
        <w:t>S10. Exploratory KAIST comparisons, sensitivities, and failed hypotheses</w:t>
      </w:r>
    </w:p>
    <w:p>
      <w:r>
        <w:rPr>
          <w:rFonts w:ascii="Liberation Serif" w:hAnsi="Liberation Serif" w:eastAsia="Times New Roman"/>
          <w:sz w:val="22"/>
        </w:rPr>
        <w:t>These results were used in method development and are exploratory. Their retention allows the same-family finding to be evaluated without crowding the main external reliability question. None selects a new external feature, threshold, seed, record, or aggregation. Three KAIST motors provide the physical holdout units, but each has only one unique healthy record; the fourteen later-time health blocks per motor remain dependent parts of that record.</w:t>
      </w:r>
    </w:p>
    <w:p>
      <w:pPr>
        <w:pStyle w:val="Heading2"/>
      </w:pPr>
      <w:r>
        <w:t>S10.1. Covariance references and paired record differences</w:t>
      </w:r>
    </w:p>
    <w:tbl>
      <w:tblPr>
        <w:tblStyle w:val="TableGrid"/>
        <w:tblW w:type="dxa" w:w="9460"/>
        <w:jc w:val="left"/>
        <w:tblLook w:firstColumn="1" w:firstRow="1" w:lastColumn="0" w:lastRow="0" w:noHBand="0" w:noVBand="1" w:val="04A0"/>
        <w:tblLayout w:type="fixed"/>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790"/>
        <w:gridCol w:w="1475"/>
        <w:gridCol w:w="1549"/>
        <w:gridCol w:w="1594"/>
        <w:gridCol w:w="1525"/>
        <w:gridCol w:w="1527"/>
      </w:tblGrid>
      <w:tr>
        <w:trPr>
          <w:tblHeader w:val="true"/>
          <w:cantSplit/>
        </w:trPr>
        <w:tc>
          <w:tcPr>
            <w:tcW w:type="dxa" w:w="1790"/>
            <w:tcMar>
              <w:top w:w="80" w:type="dxa"/>
              <w:start w:w="120" w:type="dxa"/>
              <w:bottom w:w="80" w:type="dxa"/>
              <w:end w:w="120" w:type="dxa"/>
            </w:tcMar>
            <w:vAlign w:val="center"/>
            <w:shd w:fill="E7E6E6"/>
          </w:tcPr>
          <w:p>
            <w:pPr>
              <w:spacing w:before="0" w:after="0" w:line="276" w:lineRule="auto"/>
              <w:jc w:val="left"/>
            </w:pPr>
            <w:r>
              <w:rPr>
                <w:rFonts w:ascii="Liberation Serif" w:hAnsi="Liberation Serif" w:eastAsia="Times New Roman"/>
                <w:b/>
                <w:sz w:val="18"/>
              </w:rPr>
              <w:t>Covariance method</w:t>
            </w:r>
          </w:p>
        </w:tc>
        <w:tc>
          <w:tcPr>
            <w:tcW w:type="dxa" w:w="1475"/>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Health alarms</w:t>
            </w:r>
          </w:p>
        </w:tc>
        <w:tc>
          <w:tcPr>
            <w:tcW w:type="dxa" w:w="1549"/>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Wilson upper (%)</w:t>
            </w:r>
          </w:p>
        </w:tc>
        <w:tc>
          <w:tcPr>
            <w:tcW w:type="dxa" w:w="1594"/>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Mean detection (%)</w:t>
            </w:r>
          </w:p>
        </w:tc>
        <w:tc>
          <w:tcPr>
            <w:tcW w:type="dxa" w:w="1525"/>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Worst motor (%)</w:t>
            </w:r>
          </w:p>
        </w:tc>
        <w:tc>
          <w:tcPr>
            <w:tcW w:type="dxa" w:w="1527"/>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Mean fold AUROC</w:t>
            </w:r>
          </w:p>
        </w:tc>
      </w:tr>
      <w:tr>
        <w:trPr>
          <w:cantSplit/>
        </w:trPr>
        <w:tc>
          <w:tcPr>
            <w:tcW w:type="dxa" w:w="1790"/>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Target Ledoit-Wolf</w:t>
            </w:r>
          </w:p>
        </w:tc>
        <w:tc>
          <w:tcPr>
            <w:tcW w:type="dxa" w:w="1475"/>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1/42</w:t>
            </w:r>
          </w:p>
        </w:tc>
        <w:tc>
          <w:tcPr>
            <w:tcW w:type="dxa" w:w="154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12.32</w:t>
            </w:r>
          </w:p>
        </w:tc>
        <w:tc>
          <w:tcPr>
            <w:tcW w:type="dxa" w:w="159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90.30</w:t>
            </w:r>
          </w:p>
        </w:tc>
        <w:tc>
          <w:tcPr>
            <w:tcW w:type="dxa" w:w="1525"/>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82.14</w:t>
            </w:r>
          </w:p>
        </w:tc>
        <w:tc>
          <w:tcPr>
            <w:tcW w:type="dxa" w:w="1527"/>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0.9969</w:t>
            </w:r>
          </w:p>
        </w:tc>
      </w:tr>
      <w:tr>
        <w:trPr>
          <w:cantSplit/>
        </w:trPr>
        <w:tc>
          <w:tcPr>
            <w:tcW w:type="dxa" w:w="1790"/>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Target sample covariance</w:t>
            </w:r>
          </w:p>
        </w:tc>
        <w:tc>
          <w:tcPr>
            <w:tcW w:type="dxa" w:w="1475"/>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0/42</w:t>
            </w:r>
          </w:p>
        </w:tc>
        <w:tc>
          <w:tcPr>
            <w:tcW w:type="dxa" w:w="154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8.38</w:t>
            </w:r>
          </w:p>
        </w:tc>
        <w:tc>
          <w:tcPr>
            <w:tcW w:type="dxa" w:w="159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93.87</w:t>
            </w:r>
          </w:p>
        </w:tc>
        <w:tc>
          <w:tcPr>
            <w:tcW w:type="dxa" w:w="1525"/>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86.79</w:t>
            </w:r>
          </w:p>
        </w:tc>
        <w:tc>
          <w:tcPr>
            <w:tcW w:type="dxa" w:w="1527"/>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0.9983</w:t>
            </w:r>
          </w:p>
        </w:tc>
      </w:tr>
      <w:tr>
        <w:trPr>
          <w:cantSplit/>
        </w:trPr>
        <w:tc>
          <w:tcPr>
            <w:tcW w:type="dxa" w:w="1790"/>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Source-only covariance</w:t>
            </w:r>
          </w:p>
        </w:tc>
        <w:tc>
          <w:tcPr>
            <w:tcW w:type="dxa" w:w="1475"/>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0/42</w:t>
            </w:r>
          </w:p>
        </w:tc>
        <w:tc>
          <w:tcPr>
            <w:tcW w:type="dxa" w:w="154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8.38</w:t>
            </w:r>
          </w:p>
        </w:tc>
        <w:tc>
          <w:tcPr>
            <w:tcW w:type="dxa" w:w="159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89.11</w:t>
            </w:r>
          </w:p>
        </w:tc>
        <w:tc>
          <w:tcPr>
            <w:tcW w:type="dxa" w:w="1525"/>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70.18</w:t>
            </w:r>
          </w:p>
        </w:tc>
        <w:tc>
          <w:tcPr>
            <w:tcW w:type="dxa" w:w="1527"/>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0.9968</w:t>
            </w:r>
          </w:p>
        </w:tc>
      </w:tr>
      <w:tr>
        <w:trPr>
          <w:cantSplit/>
        </w:trPr>
        <w:tc>
          <w:tcPr>
            <w:tcW w:type="dxa" w:w="1790"/>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Arithmetic entity covariance</w:t>
            </w:r>
          </w:p>
        </w:tc>
        <w:tc>
          <w:tcPr>
            <w:tcW w:type="dxa" w:w="1475"/>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0/42</w:t>
            </w:r>
          </w:p>
        </w:tc>
        <w:tc>
          <w:tcPr>
            <w:tcW w:type="dxa" w:w="154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8.38</w:t>
            </w:r>
          </w:p>
        </w:tc>
        <w:tc>
          <w:tcPr>
            <w:tcW w:type="dxa" w:w="159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95.48</w:t>
            </w:r>
          </w:p>
        </w:tc>
        <w:tc>
          <w:tcPr>
            <w:tcW w:type="dxa" w:w="1525"/>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87.86</w:t>
            </w:r>
          </w:p>
        </w:tc>
        <w:tc>
          <w:tcPr>
            <w:tcW w:type="dxa" w:w="1527"/>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0.9989</w:t>
            </w:r>
          </w:p>
        </w:tc>
      </w:tr>
      <w:tr>
        <w:trPr>
          <w:cantSplit/>
        </w:trPr>
        <w:tc>
          <w:tcPr>
            <w:tcW w:type="dxa" w:w="1790"/>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Primary Log-Euclidean</w:t>
            </w:r>
          </w:p>
        </w:tc>
        <w:tc>
          <w:tcPr>
            <w:tcW w:type="dxa" w:w="1475"/>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0/42</w:t>
            </w:r>
          </w:p>
        </w:tc>
        <w:tc>
          <w:tcPr>
            <w:tcW w:type="dxa" w:w="154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8.38</w:t>
            </w:r>
          </w:p>
        </w:tc>
        <w:tc>
          <w:tcPr>
            <w:tcW w:type="dxa" w:w="159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95.71</w:t>
            </w:r>
          </w:p>
        </w:tc>
        <w:tc>
          <w:tcPr>
            <w:tcW w:type="dxa" w:w="1525"/>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90.00</w:t>
            </w:r>
          </w:p>
        </w:tc>
        <w:tc>
          <w:tcPr>
            <w:tcW w:type="dxa" w:w="1527"/>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0.9993</w:t>
            </w:r>
          </w:p>
        </w:tc>
      </w:tr>
    </w:tbl>
    <w:p>
      <w:pPr>
        <w:spacing w:after="40"/>
      </w:pPr>
    </w:p>
    <w:p>
      <w:r>
        <w:rPr>
          <w:rFonts w:ascii="Liberation Serif" w:hAnsi="Liberation Serif" w:eastAsia="Times New Roman"/>
          <w:sz w:val="22"/>
        </w:rPr>
        <w:t>The primary detected 1608 of 1680 fault blocks across 42 complete fault records. Per-target detection was 100.00%, 90.00%, and 97.14% for 1.0, 1.5, and 3.0 kW. The mean is 95.71% and the worst motor is 90.00%; zero observed health alarms is not evidence of zero population risk.</w:t>
      </w:r>
    </w:p>
    <w:tbl>
      <w:tblPr>
        <w:tblStyle w:val="TableGrid"/>
        <w:tblW w:type="dxa" w:w="9460"/>
        <w:jc w:val="left"/>
        <w:tblLook w:firstColumn="1" w:firstRow="1" w:lastColumn="0" w:lastRow="0" w:noHBand="0" w:noVBand="1" w:val="04A0"/>
        <w:tblLayout w:type="fixed"/>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3507"/>
        <w:gridCol w:w="2876"/>
        <w:gridCol w:w="3077"/>
      </w:tblGrid>
      <w:tr>
        <w:trPr>
          <w:tblHeader w:val="true"/>
          <w:cantSplit/>
        </w:trPr>
        <w:tc>
          <w:tcPr>
            <w:tcW w:type="dxa" w:w="3507"/>
            <w:tcMar>
              <w:top w:w="80" w:type="dxa"/>
              <w:start w:w="120" w:type="dxa"/>
              <w:bottom w:w="80" w:type="dxa"/>
              <w:end w:w="120" w:type="dxa"/>
            </w:tcMar>
            <w:vAlign w:val="center"/>
            <w:shd w:fill="E7E6E6"/>
          </w:tcPr>
          <w:p>
            <w:pPr>
              <w:spacing w:before="0" w:after="0" w:line="276" w:lineRule="auto"/>
              <w:jc w:val="left"/>
            </w:pPr>
            <w:r>
              <w:rPr>
                <w:rFonts w:ascii="Liberation Serif" w:hAnsi="Liberation Serif" w:eastAsia="Times New Roman"/>
                <w:b/>
                <w:sz w:val="18"/>
              </w:rPr>
              <w:t>Contrast: primary minus comparator</w:t>
            </w:r>
          </w:p>
        </w:tc>
        <w:tc>
          <w:tcPr>
            <w:tcW w:type="dxa" w:w="2876"/>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Mean difference (pp)</w:t>
            </w:r>
          </w:p>
        </w:tc>
        <w:tc>
          <w:tcPr>
            <w:tcW w:type="dxa" w:w="3077"/>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Paired 95% interval (pp)</w:t>
            </w:r>
          </w:p>
        </w:tc>
      </w:tr>
      <w:tr>
        <w:trPr>
          <w:cantSplit/>
        </w:trPr>
        <w:tc>
          <w:tcPr>
            <w:tcW w:type="dxa" w:w="3507"/>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Target Ledoit-Wolf</w:t>
            </w:r>
          </w:p>
        </w:tc>
        <w:tc>
          <w:tcPr>
            <w:tcW w:type="dxa" w:w="287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+5.42</w:t>
            </w:r>
          </w:p>
        </w:tc>
        <w:tc>
          <w:tcPr>
            <w:tcW w:type="dxa" w:w="3077"/>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[0.59, 11.19]</w:t>
            </w:r>
          </w:p>
        </w:tc>
      </w:tr>
      <w:tr>
        <w:trPr>
          <w:cantSplit/>
        </w:trPr>
        <w:tc>
          <w:tcPr>
            <w:tcW w:type="dxa" w:w="3507"/>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Target sample covariance</w:t>
            </w:r>
          </w:p>
        </w:tc>
        <w:tc>
          <w:tcPr>
            <w:tcW w:type="dxa" w:w="287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+1.85</w:t>
            </w:r>
          </w:p>
        </w:tc>
        <w:tc>
          <w:tcPr>
            <w:tcW w:type="dxa" w:w="3077"/>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[-2.14, 6.01]</w:t>
            </w:r>
          </w:p>
        </w:tc>
      </w:tr>
      <w:tr>
        <w:trPr>
          <w:cantSplit/>
        </w:trPr>
        <w:tc>
          <w:tcPr>
            <w:tcW w:type="dxa" w:w="3507"/>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Source-only covariance</w:t>
            </w:r>
          </w:p>
        </w:tc>
        <w:tc>
          <w:tcPr>
            <w:tcW w:type="dxa" w:w="287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+6.61</w:t>
            </w:r>
          </w:p>
        </w:tc>
        <w:tc>
          <w:tcPr>
            <w:tcW w:type="dxa" w:w="3077"/>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[1.79, 12.32]</w:t>
            </w:r>
          </w:p>
        </w:tc>
      </w:tr>
      <w:tr>
        <w:trPr>
          <w:cantSplit/>
        </w:trPr>
        <w:tc>
          <w:tcPr>
            <w:tcW w:type="dxa" w:w="3507"/>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Arithmetic entity covariance</w:t>
            </w:r>
          </w:p>
        </w:tc>
        <w:tc>
          <w:tcPr>
            <w:tcW w:type="dxa" w:w="287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+0.24</w:t>
            </w:r>
          </w:p>
        </w:tc>
        <w:tc>
          <w:tcPr>
            <w:tcW w:type="dxa" w:w="3077"/>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[-1.37, 2.32]</w:t>
            </w:r>
          </w:p>
        </w:tc>
      </w:tr>
    </w:tbl>
    <w:p>
      <w:pPr>
        <w:spacing w:after="40"/>
      </w:pPr>
    </w:p>
    <w:p>
      <w:r>
        <w:rPr>
          <w:rFonts w:ascii="Liberation Serif" w:hAnsi="Liberation Serif" w:eastAsia="Times New Roman"/>
          <w:sz w:val="22"/>
        </w:rPr>
        <w:t>Ten thousand bootstrap replicates resample complete records within target motor, then average the three motor means. The comparisons do not establish uniform superiority of Log-Euclidean geometry. Figure S1 displays these paired results.</w:t>
      </w:r>
    </w:p>
    <w:p>
      <w:pPr>
        <w:keepNext/>
        <w:spacing w:before="80" w:after="0"/>
        <w:jc w:val="center"/>
      </w:pPr>
      <w:r>
        <w:drawing>
          <wp:inline xmlns:a="http://schemas.openxmlformats.org/drawingml/2006/main" xmlns:pic="http://schemas.openxmlformats.org/drawingml/2006/picture">
            <wp:extent cx="5669280" cy="2346735"/>
            <wp:docPr id="1" name="Picture 1" descr=""/>
            <wp:cNvGraphicFramePr>
              <a:graphicFrameLocks noChangeAspect="1"/>
            </wp:cNvGraphicFramePr>
            <a:graphic>
              <a:graphicData uri="http://schemas.openxmlformats.org/drawingml/2006/picture">
                <pic:pic>
                  <pic:nvPicPr>
                    <pic:cNvPr id="0" name="paired_detection_differences.png"/>
                    <pic:cNvPicPr/>
                  </pic:nvPicPr>
                  <pic:blipFill>
                    <a:blip r:embed="rId10"/>
                    <a:stretch>
                      <a:fillRect/>
                    </a:stretch>
                  </pic:blipFill>
                  <pic:spPr>
                    <a:xfrm>
                      <a:off x="0" y="0"/>
                      <a:ext cx="5669280" cy="2346735"/>
                    </a:xfrm>
                    <a:prstGeom prst="rect"/>
                  </pic:spPr>
                </pic:pic>
              </a:graphicData>
            </a:graphic>
          </wp:inline>
        </w:drawing>
      </w:r>
    </w:p>
    <w:p>
      <w:r>
        <w:rPr>
          <w:rFonts w:ascii="Liberation Serif" w:hAnsi="Liberation Serif" w:eastAsia="Times New Roman"/>
          <w:sz w:val="22"/>
        </w:rPr>
        <w:t>Figure S1. Record-level paired primary-minus-covariance detection differences. Points are equal-motor means and intervals are motor-stratified complete-record percentile bootstrap intervals over the 42 KAIST fault records. Positive values favor the primary. The KAIST comparison is exploratory.</w:t>
      </w:r>
    </w:p>
    <w:p>
      <w:pPr>
        <w:pStyle w:val="Heading2"/>
      </w:pPr>
      <w:r>
        <w:t>S10.2. Established one-class controls</w:t>
      </w:r>
    </w:p>
    <w:tbl>
      <w:tblPr>
        <w:tblStyle w:val="TableGrid"/>
        <w:tblW w:type="dxa" w:w="9460"/>
        <w:jc w:val="left"/>
        <w:tblLook w:firstColumn="1" w:firstRow="1" w:lastColumn="0" w:lastRow="0" w:noHBand="0" w:noVBand="1" w:val="04A0"/>
        <w:tblLayout w:type="fixed"/>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2793"/>
        <w:gridCol w:w="2112"/>
        <w:gridCol w:w="2344"/>
        <w:gridCol w:w="2211"/>
      </w:tblGrid>
      <w:tr>
        <w:trPr>
          <w:tblHeader w:val="true"/>
          <w:cantSplit/>
        </w:trPr>
        <w:tc>
          <w:tcPr>
            <w:tcW w:type="dxa" w:w="2793"/>
            <w:tcMar>
              <w:top w:w="80" w:type="dxa"/>
              <w:start w:w="120" w:type="dxa"/>
              <w:bottom w:w="80" w:type="dxa"/>
              <w:end w:w="120" w:type="dxa"/>
            </w:tcMar>
            <w:vAlign w:val="center"/>
            <w:shd w:fill="E7E6E6"/>
          </w:tcPr>
          <w:p>
            <w:pPr>
              <w:spacing w:before="0" w:after="0" w:line="276" w:lineRule="auto"/>
              <w:jc w:val="left"/>
            </w:pPr>
            <w:r>
              <w:rPr>
                <w:rFonts w:ascii="Liberation Serif" w:hAnsi="Liberation Serif" w:eastAsia="Times New Roman"/>
                <w:b/>
                <w:sz w:val="18"/>
              </w:rPr>
              <w:t>One-class method</w:t>
            </w:r>
          </w:p>
        </w:tc>
        <w:tc>
          <w:tcPr>
            <w:tcW w:type="dxa" w:w="2112"/>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Health alarms</w:t>
            </w:r>
          </w:p>
        </w:tc>
        <w:tc>
          <w:tcPr>
            <w:tcW w:type="dxa" w:w="2344"/>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Mean detection (%)</w:t>
            </w:r>
          </w:p>
        </w:tc>
        <w:tc>
          <w:tcPr>
            <w:tcW w:type="dxa" w:w="2211"/>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Worst motor (%)</w:t>
            </w:r>
          </w:p>
        </w:tc>
      </w:tr>
      <w:tr>
        <w:trPr>
          <w:cantSplit/>
        </w:trPr>
        <w:tc>
          <w:tcPr>
            <w:tcW w:type="dxa" w:w="2793"/>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Target OC-SVM</w:t>
            </w:r>
          </w:p>
        </w:tc>
        <w:tc>
          <w:tcPr>
            <w:tcW w:type="dxa" w:w="211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0/42</w:t>
            </w:r>
          </w:p>
        </w:tc>
        <w:tc>
          <w:tcPr>
            <w:tcW w:type="dxa" w:w="234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89.70</w:t>
            </w:r>
          </w:p>
        </w:tc>
        <w:tc>
          <w:tcPr>
            <w:tcW w:type="dxa" w:w="2211"/>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82.68</w:t>
            </w:r>
          </w:p>
        </w:tc>
      </w:tr>
      <w:tr>
        <w:trPr>
          <w:cantSplit/>
        </w:trPr>
        <w:tc>
          <w:tcPr>
            <w:tcW w:type="dxa" w:w="2793"/>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Source+target OC-SVM</w:t>
            </w:r>
          </w:p>
        </w:tc>
        <w:tc>
          <w:tcPr>
            <w:tcW w:type="dxa" w:w="211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0/42</w:t>
            </w:r>
          </w:p>
        </w:tc>
        <w:tc>
          <w:tcPr>
            <w:tcW w:type="dxa" w:w="234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91.25</w:t>
            </w:r>
          </w:p>
        </w:tc>
        <w:tc>
          <w:tcPr>
            <w:tcW w:type="dxa" w:w="2211"/>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82.86</w:t>
            </w:r>
          </w:p>
        </w:tc>
      </w:tr>
      <w:tr>
        <w:trPr>
          <w:cantSplit/>
        </w:trPr>
        <w:tc>
          <w:tcPr>
            <w:tcW w:type="dxa" w:w="2793"/>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Target Isolation Forest</w:t>
            </w:r>
          </w:p>
        </w:tc>
        <w:tc>
          <w:tcPr>
            <w:tcW w:type="dxa" w:w="211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1/42</w:t>
            </w:r>
          </w:p>
        </w:tc>
        <w:tc>
          <w:tcPr>
            <w:tcW w:type="dxa" w:w="234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97.56</w:t>
            </w:r>
          </w:p>
        </w:tc>
        <w:tc>
          <w:tcPr>
            <w:tcW w:type="dxa" w:w="2211"/>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95.36</w:t>
            </w:r>
          </w:p>
        </w:tc>
      </w:tr>
      <w:tr>
        <w:trPr>
          <w:cantSplit/>
        </w:trPr>
        <w:tc>
          <w:tcPr>
            <w:tcW w:type="dxa" w:w="2793"/>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Source+target Isolation Forest</w:t>
            </w:r>
          </w:p>
        </w:tc>
        <w:tc>
          <w:tcPr>
            <w:tcW w:type="dxa" w:w="211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0/42</w:t>
            </w:r>
          </w:p>
        </w:tc>
        <w:tc>
          <w:tcPr>
            <w:tcW w:type="dxa" w:w="234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96.07</w:t>
            </w:r>
          </w:p>
        </w:tc>
        <w:tc>
          <w:tcPr>
            <w:tcW w:type="dxa" w:w="2211"/>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90.71</w:t>
            </w:r>
          </w:p>
        </w:tc>
      </w:tr>
      <w:tr>
        <w:trPr>
          <w:cantSplit/>
        </w:trPr>
        <w:tc>
          <w:tcPr>
            <w:tcW w:type="dxa" w:w="2793"/>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Target MinCovDet</w:t>
            </w:r>
          </w:p>
        </w:tc>
        <w:tc>
          <w:tcPr>
            <w:tcW w:type="dxa" w:w="211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1/42</w:t>
            </w:r>
          </w:p>
        </w:tc>
        <w:tc>
          <w:tcPr>
            <w:tcW w:type="dxa" w:w="234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89.82</w:t>
            </w:r>
          </w:p>
        </w:tc>
        <w:tc>
          <w:tcPr>
            <w:tcW w:type="dxa" w:w="2211"/>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84.11</w:t>
            </w:r>
          </w:p>
        </w:tc>
      </w:tr>
      <w:tr>
        <w:trPr>
          <w:cantSplit/>
        </w:trPr>
        <w:tc>
          <w:tcPr>
            <w:tcW w:type="dxa" w:w="2793"/>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Source+target MinCovDet</w:t>
            </w:r>
          </w:p>
        </w:tc>
        <w:tc>
          <w:tcPr>
            <w:tcW w:type="dxa" w:w="211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1/42</w:t>
            </w:r>
          </w:p>
        </w:tc>
        <w:tc>
          <w:tcPr>
            <w:tcW w:type="dxa" w:w="234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92.32</w:t>
            </w:r>
          </w:p>
        </w:tc>
        <w:tc>
          <w:tcPr>
            <w:tcW w:type="dxa" w:w="2211"/>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87.32</w:t>
            </w:r>
          </w:p>
        </w:tc>
      </w:tr>
      <w:tr>
        <w:trPr>
          <w:cantSplit/>
        </w:trPr>
        <w:tc>
          <w:tcPr>
            <w:tcW w:type="dxa" w:w="2793"/>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Primary Log-Euclidean</w:t>
            </w:r>
          </w:p>
        </w:tc>
        <w:tc>
          <w:tcPr>
            <w:tcW w:type="dxa" w:w="211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0/42</w:t>
            </w:r>
          </w:p>
        </w:tc>
        <w:tc>
          <w:tcPr>
            <w:tcW w:type="dxa" w:w="234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95.71</w:t>
            </w:r>
          </w:p>
        </w:tc>
        <w:tc>
          <w:tcPr>
            <w:tcW w:type="dxa" w:w="2211"/>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90.00</w:t>
            </w:r>
          </w:p>
        </w:tc>
      </w:tr>
    </w:tbl>
    <w:p>
      <w:pPr>
        <w:spacing w:after="40"/>
      </w:pPr>
    </w:p>
    <w:p>
      <w:r>
        <w:rPr>
          <w:rFonts w:ascii="Liberation Serif" w:hAnsi="Liberation Serif" w:eastAsia="Times New Roman"/>
          <w:sz w:val="22"/>
        </w:rPr>
        <w:t>Primary minus source+target Isolation Forest was -0.36 percentage points ([-3.93, 3.45]), leaving their difference unresolved. Primary minus target OC-SVM was +6.01 points ([1.07, 11.90]); primary minus target MinCovDet +5.89 ([0.95, 11.67]); and primary minus source+target MinCovDet +3.39 ([0.30, 6.85]). The primary-versus-source+target OC-SVM interval included zero. Target Isolation Forest's higher detection was accompanied by 1/42 health alarms and a 12.32% descriptive Wilson upper bound, just above H1. Across five seeds, source+target Isolation Forest varied from 96.01% to 96.85% detection and zero to two health alarms. These findings constrain a superiority claim; they do not provide new independent-motor confirmation.</w:t>
      </w:r>
    </w:p>
    <w:p>
      <w:pPr>
        <w:keepNext/>
        <w:spacing w:before="80" w:after="0"/>
        <w:jc w:val="center"/>
      </w:pPr>
      <w:r>
        <w:drawing>
          <wp:inline xmlns:a="http://schemas.openxmlformats.org/drawingml/2006/main" xmlns:pic="http://schemas.openxmlformats.org/drawingml/2006/picture">
            <wp:extent cx="5669280" cy="2553089"/>
            <wp:docPr id="2" name="Picture 2" descr=""/>
            <wp:cNvGraphicFramePr>
              <a:graphicFrameLocks noChangeAspect="1"/>
            </wp:cNvGraphicFramePr>
            <a:graphic>
              <a:graphicData uri="http://schemas.openxmlformats.org/drawingml/2006/picture">
                <pic:pic>
                  <pic:nvPicPr>
                    <pic:cNvPr id="0" name="oneclass_detection_differences.png"/>
                    <pic:cNvPicPr/>
                  </pic:nvPicPr>
                  <pic:blipFill>
                    <a:blip r:embed="rId11"/>
                    <a:stretch>
                      <a:fillRect/>
                    </a:stretch>
                  </pic:blipFill>
                  <pic:spPr>
                    <a:xfrm>
                      <a:off x="0" y="0"/>
                      <a:ext cx="5669280" cy="2553089"/>
                    </a:xfrm>
                    <a:prstGeom prst="rect"/>
                  </pic:spPr>
                </pic:pic>
              </a:graphicData>
            </a:graphic>
          </wp:inline>
        </w:drawing>
      </w:r>
    </w:p>
    <w:p>
      <w:r>
        <w:rPr>
          <w:rFonts w:ascii="Liberation Serif" w:hAnsi="Liberation Serif" w:eastAsia="Times New Roman"/>
          <w:sz w:val="22"/>
        </w:rPr>
        <w:t>Figure S2. Primary-minus-one-class record-level detection differences. Points and intervals use the same complete-record, motor-stratified exploratory bootstrap as Figure S1. Parenthetical false-alarm counts refer to 42 later-time health blocks.</w:t>
      </w:r>
    </w:p>
    <w:p>
      <w:pPr>
        <w:pStyle w:val="Heading2"/>
      </w:pPr>
      <w:r>
        <w:t>S10.3. Adaptation budget and calibration feasibility</w:t>
      </w:r>
    </w:p>
    <w:p>
      <w:r>
        <w:rPr>
          <w:rFonts w:ascii="Liberation Serif" w:hAnsi="Liberation Serif" w:eastAsia="Times New Roman"/>
          <w:sz w:val="22"/>
        </w:rPr>
        <w:t>The fixed-horizon sensitivity keeps calibration and test time common while varying the adaptation prefix. Its health denominator is 30 blocks rather than the 42 of the primary split. The different denominators must not be pooled as independent health evidence.</w:t>
      </w:r>
    </w:p>
    <w:tbl>
      <w:tblPr>
        <w:tblStyle w:val="TableGrid"/>
        <w:tblW w:type="dxa" w:w="9460"/>
        <w:jc w:val="left"/>
        <w:tblLook w:firstColumn="1" w:firstRow="1" w:lastColumn="0" w:lastRow="0" w:noHBand="0" w:noVBand="1" w:val="04A0"/>
        <w:tblLayout w:type="fixed"/>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688"/>
        <w:gridCol w:w="1779"/>
        <w:gridCol w:w="2034"/>
        <w:gridCol w:w="1656"/>
        <w:gridCol w:w="2303"/>
      </w:tblGrid>
      <w:tr>
        <w:trPr>
          <w:tblHeader w:val="true"/>
          <w:cantSplit/>
        </w:trPr>
        <w:tc>
          <w:tcPr>
            <w:tcW w:type="dxa" w:w="1688"/>
            <w:tcMar>
              <w:top w:w="80" w:type="dxa"/>
              <w:start w:w="120" w:type="dxa"/>
              <w:bottom w:w="80" w:type="dxa"/>
              <w:end w:w="120" w:type="dxa"/>
            </w:tcMar>
            <w:vAlign w:val="center"/>
            <w:shd w:fill="E7E6E6"/>
          </w:tcPr>
          <w:p>
            <w:pPr>
              <w:spacing w:before="0" w:after="0" w:line="276" w:lineRule="auto"/>
              <w:jc w:val="left"/>
            </w:pPr>
            <w:r>
              <w:rPr>
                <w:rFonts w:ascii="Liberation Serif" w:hAnsi="Liberation Serif" w:eastAsia="Times New Roman"/>
                <w:b/>
                <w:sz w:val="18"/>
              </w:rPr>
              <w:t>Adaptation (s)</w:t>
            </w:r>
          </w:p>
        </w:tc>
        <w:tc>
          <w:tcPr>
            <w:tcW w:type="dxa" w:w="1779"/>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Adaptation blocks</w:t>
            </w:r>
          </w:p>
        </w:tc>
        <w:tc>
          <w:tcPr>
            <w:tcW w:type="dxa" w:w="2034"/>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Fixed-horizon detection (%)</w:t>
            </w:r>
          </w:p>
        </w:tc>
        <w:tc>
          <w:tcPr>
            <w:tcW w:type="dxa" w:w="1656"/>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Health alarms</w:t>
            </w:r>
          </w:p>
        </w:tc>
        <w:tc>
          <w:tcPr>
            <w:tcW w:type="dxa" w:w="2303"/>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Minimum p if adaptation alone calibrated</w:t>
            </w:r>
          </w:p>
        </w:tc>
      </w:tr>
      <w:tr>
        <w:trPr>
          <w:cantSplit/>
        </w:trPr>
        <w:tc>
          <w:tcPr>
            <w:tcW w:type="dxa" w:w="1688"/>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3</w:t>
            </w:r>
          </w:p>
        </w:tc>
        <w:tc>
          <w:tcPr>
            <w:tcW w:type="dxa" w:w="177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w:t>
            </w:r>
          </w:p>
        </w:tc>
        <w:tc>
          <w:tcPr>
            <w:tcW w:type="dxa" w:w="203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94.64</w:t>
            </w:r>
          </w:p>
        </w:tc>
        <w:tc>
          <w:tcPr>
            <w:tcW w:type="dxa" w:w="165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0/30</w:t>
            </w:r>
          </w:p>
        </w:tc>
        <w:tc>
          <w:tcPr>
            <w:tcW w:type="dxa" w:w="2303"/>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0.500</w:t>
            </w:r>
          </w:p>
        </w:tc>
      </w:tr>
      <w:tr>
        <w:trPr>
          <w:cantSplit/>
        </w:trPr>
        <w:tc>
          <w:tcPr>
            <w:tcW w:type="dxa" w:w="1688"/>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6</w:t>
            </w:r>
          </w:p>
        </w:tc>
        <w:tc>
          <w:tcPr>
            <w:tcW w:type="dxa" w:w="177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2</w:t>
            </w:r>
          </w:p>
        </w:tc>
        <w:tc>
          <w:tcPr>
            <w:tcW w:type="dxa" w:w="203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96.90</w:t>
            </w:r>
          </w:p>
        </w:tc>
        <w:tc>
          <w:tcPr>
            <w:tcW w:type="dxa" w:w="165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0/30</w:t>
            </w:r>
          </w:p>
        </w:tc>
        <w:tc>
          <w:tcPr>
            <w:tcW w:type="dxa" w:w="2303"/>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0.333</w:t>
            </w:r>
          </w:p>
        </w:tc>
      </w:tr>
      <w:tr>
        <w:trPr>
          <w:cantSplit/>
        </w:trPr>
        <w:tc>
          <w:tcPr>
            <w:tcW w:type="dxa" w:w="1688"/>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12</w:t>
            </w:r>
          </w:p>
        </w:tc>
        <w:tc>
          <w:tcPr>
            <w:tcW w:type="dxa" w:w="177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4</w:t>
            </w:r>
          </w:p>
        </w:tc>
        <w:tc>
          <w:tcPr>
            <w:tcW w:type="dxa" w:w="203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96.25</w:t>
            </w:r>
          </w:p>
        </w:tc>
        <w:tc>
          <w:tcPr>
            <w:tcW w:type="dxa" w:w="165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0/30</w:t>
            </w:r>
          </w:p>
        </w:tc>
        <w:tc>
          <w:tcPr>
            <w:tcW w:type="dxa" w:w="2303"/>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0.200</w:t>
            </w:r>
          </w:p>
        </w:tc>
      </w:tr>
      <w:tr>
        <w:trPr>
          <w:cantSplit/>
        </w:trPr>
        <w:tc>
          <w:tcPr>
            <w:tcW w:type="dxa" w:w="1688"/>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24</w:t>
            </w:r>
          </w:p>
        </w:tc>
        <w:tc>
          <w:tcPr>
            <w:tcW w:type="dxa" w:w="1779"/>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8</w:t>
            </w:r>
          </w:p>
        </w:tc>
        <w:tc>
          <w:tcPr>
            <w:tcW w:type="dxa" w:w="2034"/>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94.94</w:t>
            </w:r>
          </w:p>
        </w:tc>
        <w:tc>
          <w:tcPr>
            <w:tcW w:type="dxa" w:w="1656"/>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0/30</w:t>
            </w:r>
          </w:p>
        </w:tc>
        <w:tc>
          <w:tcPr>
            <w:tcW w:type="dxa" w:w="2303"/>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0.111</w:t>
            </w:r>
          </w:p>
        </w:tc>
      </w:tr>
    </w:tbl>
    <w:p>
      <w:pPr>
        <w:spacing w:after="40"/>
      </w:pPr>
    </w:p>
    <w:p>
      <w:r>
        <w:rPr>
          <w:rFonts w:ascii="Liberation Serif" w:hAnsi="Liberation Serif" w:eastAsia="Times New Roman"/>
          <w:sz w:val="22"/>
        </w:rPr>
        <w:t>In a separate sequential sensitivity, calibration follows the adaptation prefix; the pattern was also nonmonotone. The apparent maximum at 6 s cannot select a primary setting after fault inspection. The original 12 s adaptation remains unchanged. Four adaptation blocks fit a reference but cannot resolve a p-value of 0.05; at least nineteen calibration units are required. Both sensitivities retain an independent calibration role rather than conflating adaptation with alarm calibration.</w:t>
      </w:r>
    </w:p>
    <w:p>
      <w:pPr>
        <w:keepNext/>
        <w:spacing w:before="80" w:after="0"/>
        <w:jc w:val="center"/>
      </w:pPr>
      <w:r>
        <w:drawing>
          <wp:inline xmlns:a="http://schemas.openxmlformats.org/drawingml/2006/main" xmlns:pic="http://schemas.openxmlformats.org/drawingml/2006/picture">
            <wp:extent cx="5669280" cy="2243883"/>
            <wp:docPr id="3" name="Picture 3" descr=""/>
            <wp:cNvGraphicFramePr>
              <a:graphicFrameLocks noChangeAspect="1"/>
            </wp:cNvGraphicFramePr>
            <a:graphic>
              <a:graphicData uri="http://schemas.openxmlformats.org/drawingml/2006/picture">
                <pic:pic>
                  <pic:nvPicPr>
                    <pic:cNvPr id="0" name="adaptation_budget.png"/>
                    <pic:cNvPicPr/>
                  </pic:nvPicPr>
                  <pic:blipFill>
                    <a:blip r:embed="rId12"/>
                    <a:stretch>
                      <a:fillRect/>
                    </a:stretch>
                  </pic:blipFill>
                  <pic:spPr>
                    <a:xfrm>
                      <a:off x="0" y="0"/>
                      <a:ext cx="5669280" cy="2243883"/>
                    </a:xfrm>
                    <a:prstGeom prst="rect"/>
                  </pic:spPr>
                </pic:pic>
              </a:graphicData>
            </a:graphic>
          </wp:inline>
        </w:drawing>
      </w:r>
    </w:p>
    <w:p>
      <w:r>
        <w:rPr>
          <w:rFonts w:ascii="Liberation Serif" w:hAnsi="Liberation Serif" w:eastAsia="Times New Roman"/>
          <w:sz w:val="22"/>
        </w:rPr>
        <w:t>Figure S3. Exploratory adaptation-budget sensitivity and arithmetic calibration feasibility. Fixed-horizon and sequential designs change different time roles and do not replace the primary chronological split. Minimum attainable p-values use 1/(n+1); none of these adaptation prefixes alone resolves 0.05.</w:t>
      </w:r>
    </w:p>
    <w:p>
      <w:pPr>
        <w:pStyle w:val="Heading2"/>
      </w:pPr>
      <w:r>
        <w:t>S10.4. Block length and aggregation</w:t>
      </w:r>
    </w:p>
    <w:tbl>
      <w:tblPr>
        <w:tblStyle w:val="TableGrid"/>
        <w:tblW w:type="dxa" w:w="9460"/>
        <w:jc w:val="left"/>
        <w:tblLook w:firstColumn="1" w:firstRow="1" w:lastColumn="0" w:lastRow="0" w:noHBand="0" w:noVBand="1" w:val="04A0"/>
        <w:tblLayout w:type="fixed"/>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934"/>
        <w:gridCol w:w="1738"/>
        <w:gridCol w:w="1738"/>
        <w:gridCol w:w="1872"/>
        <w:gridCol w:w="2178"/>
      </w:tblGrid>
      <w:tr>
        <w:trPr>
          <w:tblHeader w:val="true"/>
          <w:cantSplit/>
        </w:trPr>
        <w:tc>
          <w:tcPr>
            <w:tcW w:type="dxa" w:w="1934"/>
            <w:tcMar>
              <w:top w:w="80" w:type="dxa"/>
              <w:start w:w="120" w:type="dxa"/>
              <w:bottom w:w="80" w:type="dxa"/>
              <w:end w:w="120" w:type="dxa"/>
            </w:tcMar>
            <w:vAlign w:val="center"/>
            <w:shd w:fill="E7E6E6"/>
          </w:tcPr>
          <w:p>
            <w:pPr>
              <w:spacing w:before="0" w:after="0" w:line="276" w:lineRule="auto"/>
              <w:jc w:val="left"/>
            </w:pPr>
            <w:r>
              <w:rPr>
                <w:rFonts w:ascii="Liberation Serif" w:hAnsi="Liberation Serif" w:eastAsia="Times New Roman"/>
                <w:b/>
                <w:sz w:val="18"/>
              </w:rPr>
              <w:t>Alarm block rule</w:t>
            </w:r>
          </w:p>
        </w:tc>
        <w:tc>
          <w:tcPr>
            <w:tcW w:type="dxa" w:w="1738"/>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Detection (%)</w:t>
            </w:r>
          </w:p>
        </w:tc>
        <w:tc>
          <w:tcPr>
            <w:tcW w:type="dxa" w:w="1738"/>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Health alarms</w:t>
            </w:r>
          </w:p>
        </w:tc>
        <w:tc>
          <w:tcPr>
            <w:tcW w:type="dxa" w:w="1872"/>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Calibration units</w:t>
            </w:r>
          </w:p>
        </w:tc>
        <w:tc>
          <w:tcPr>
            <w:tcW w:type="dxa" w:w="2178"/>
            <w:tcMar>
              <w:top w:w="80" w:type="dxa"/>
              <w:start w:w="120" w:type="dxa"/>
              <w:bottom w:w="80" w:type="dxa"/>
              <w:end w:w="120" w:type="dxa"/>
            </w:tcMar>
            <w:vAlign w:val="center"/>
            <w:shd w:fill="E7E6E6"/>
          </w:tcPr>
          <w:p>
            <w:pPr>
              <w:spacing w:before="0" w:after="0" w:line="276" w:lineRule="auto"/>
              <w:jc w:val="center"/>
            </w:pPr>
            <w:r>
              <w:rPr>
                <w:rFonts w:ascii="Liberation Serif" w:hAnsi="Liberation Serif" w:eastAsia="Times New Roman"/>
                <w:b/>
                <w:sz w:val="18"/>
              </w:rPr>
              <w:t>Disposition</w:t>
            </w:r>
          </w:p>
        </w:tc>
      </w:tr>
      <w:tr>
        <w:trPr>
          <w:cantSplit/>
        </w:trPr>
        <w:tc>
          <w:tcPr>
            <w:tcW w:type="dxa" w:w="1934"/>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1 s maximum</w:t>
            </w:r>
          </w:p>
        </w:tc>
        <w:tc>
          <w:tcPr>
            <w:tcW w:type="dxa" w:w="173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93.61</w:t>
            </w:r>
          </w:p>
        </w:tc>
        <w:tc>
          <w:tcPr>
            <w:tcW w:type="dxa" w:w="173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2/138</w:t>
            </w:r>
          </w:p>
        </w:tc>
        <w:tc>
          <w:tcPr>
            <w:tcW w:type="dxa" w:w="187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60</w:t>
            </w:r>
          </w:p>
        </w:tc>
        <w:tc>
          <w:tcPr>
            <w:tcW w:type="dxa" w:w="217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Exploratory</w:t>
            </w:r>
          </w:p>
        </w:tc>
      </w:tr>
      <w:tr>
        <w:trPr>
          <w:cantSplit/>
        </w:trPr>
        <w:tc>
          <w:tcPr>
            <w:tcW w:type="dxa" w:w="1934"/>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2 s maximum</w:t>
            </w:r>
          </w:p>
        </w:tc>
        <w:tc>
          <w:tcPr>
            <w:tcW w:type="dxa" w:w="173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93.73</w:t>
            </w:r>
          </w:p>
        </w:tc>
        <w:tc>
          <w:tcPr>
            <w:tcW w:type="dxa" w:w="173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0/66</w:t>
            </w:r>
          </w:p>
        </w:tc>
        <w:tc>
          <w:tcPr>
            <w:tcW w:type="dxa" w:w="187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30</w:t>
            </w:r>
          </w:p>
        </w:tc>
        <w:tc>
          <w:tcPr>
            <w:tcW w:type="dxa" w:w="217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Exploratory</w:t>
            </w:r>
          </w:p>
        </w:tc>
      </w:tr>
      <w:tr>
        <w:trPr>
          <w:cantSplit/>
        </w:trPr>
        <w:tc>
          <w:tcPr>
            <w:tcW w:type="dxa" w:w="1934"/>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3 s maximum</w:t>
            </w:r>
          </w:p>
        </w:tc>
        <w:tc>
          <w:tcPr>
            <w:tcW w:type="dxa" w:w="173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95.71</w:t>
            </w:r>
          </w:p>
        </w:tc>
        <w:tc>
          <w:tcPr>
            <w:tcW w:type="dxa" w:w="173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0/42</w:t>
            </w:r>
          </w:p>
        </w:tc>
        <w:tc>
          <w:tcPr>
            <w:tcW w:type="dxa" w:w="187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20</w:t>
            </w:r>
          </w:p>
        </w:tc>
        <w:tc>
          <w:tcPr>
            <w:tcW w:type="dxa" w:w="217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Exact primary reconstruction</w:t>
            </w:r>
          </w:p>
        </w:tc>
      </w:tr>
      <w:tr>
        <w:trPr>
          <w:cantSplit/>
        </w:trPr>
        <w:tc>
          <w:tcPr>
            <w:tcW w:type="dxa" w:w="1934"/>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3 s 90th percentile</w:t>
            </w:r>
          </w:p>
        </w:tc>
        <w:tc>
          <w:tcPr>
            <w:tcW w:type="dxa" w:w="173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97.32</w:t>
            </w:r>
          </w:p>
        </w:tc>
        <w:tc>
          <w:tcPr>
            <w:tcW w:type="dxa" w:w="173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1/42</w:t>
            </w:r>
          </w:p>
        </w:tc>
        <w:tc>
          <w:tcPr>
            <w:tcW w:type="dxa" w:w="187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20</w:t>
            </w:r>
          </w:p>
        </w:tc>
        <w:tc>
          <w:tcPr>
            <w:tcW w:type="dxa" w:w="217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H1 failed; not selected</w:t>
            </w:r>
          </w:p>
        </w:tc>
      </w:tr>
      <w:tr>
        <w:trPr>
          <w:cantSplit/>
        </w:trPr>
        <w:tc>
          <w:tcPr>
            <w:tcW w:type="dxa" w:w="1934"/>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5 s maximum</w:t>
            </w:r>
          </w:p>
        </w:tc>
        <w:tc>
          <w:tcPr>
            <w:tcW w:type="dxa" w:w="173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Not scored</w:t>
            </w:r>
          </w:p>
        </w:tc>
        <w:tc>
          <w:tcPr>
            <w:tcW w:type="dxa" w:w="173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Not scored</w:t>
            </w:r>
          </w:p>
        </w:tc>
        <w:tc>
          <w:tcPr>
            <w:tcW w:type="dxa" w:w="187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12</w:t>
            </w:r>
          </w:p>
        </w:tc>
        <w:tc>
          <w:tcPr>
            <w:tcW w:type="dxa" w:w="217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0.05 alarm unresolved</w:t>
            </w:r>
          </w:p>
        </w:tc>
      </w:tr>
      <w:tr>
        <w:trPr>
          <w:cantSplit/>
        </w:trPr>
        <w:tc>
          <w:tcPr>
            <w:tcW w:type="dxa" w:w="1934"/>
            <w:tcMar>
              <w:top w:w="80" w:type="dxa"/>
              <w:start w:w="120" w:type="dxa"/>
              <w:bottom w:w="80" w:type="dxa"/>
              <w:end w:w="120" w:type="dxa"/>
            </w:tcMar>
            <w:vAlign w:val="center"/>
          </w:tcPr>
          <w:p>
            <w:pPr>
              <w:spacing w:before="0" w:after="0" w:line="276" w:lineRule="auto"/>
              <w:jc w:val="left"/>
            </w:pPr>
            <w:r>
              <w:rPr>
                <w:rFonts w:ascii="Liberation Serif" w:hAnsi="Liberation Serif" w:eastAsia="Times New Roman"/>
                <w:b w:val="0"/>
                <w:sz w:val="18"/>
              </w:rPr>
              <w:t>6 s maximum</w:t>
            </w:r>
          </w:p>
        </w:tc>
        <w:tc>
          <w:tcPr>
            <w:tcW w:type="dxa" w:w="173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Not scored</w:t>
            </w:r>
          </w:p>
        </w:tc>
        <w:tc>
          <w:tcPr>
            <w:tcW w:type="dxa" w:w="173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Not scored</w:t>
            </w:r>
          </w:p>
        </w:tc>
        <w:tc>
          <w:tcPr>
            <w:tcW w:type="dxa" w:w="1872"/>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10</w:t>
            </w:r>
          </w:p>
        </w:tc>
        <w:tc>
          <w:tcPr>
            <w:tcW w:type="dxa" w:w="2178"/>
            <w:tcMar>
              <w:top w:w="80" w:type="dxa"/>
              <w:start w:w="120" w:type="dxa"/>
              <w:bottom w:w="80" w:type="dxa"/>
              <w:end w:w="120" w:type="dxa"/>
            </w:tcMar>
            <w:vAlign w:val="center"/>
          </w:tcPr>
          <w:p>
            <w:pPr>
              <w:spacing w:before="0" w:after="0" w:line="276" w:lineRule="auto"/>
              <w:jc w:val="center"/>
            </w:pPr>
            <w:r>
              <w:rPr>
                <w:rFonts w:ascii="Liberation Serif" w:hAnsi="Liberation Serif" w:eastAsia="Times New Roman"/>
                <w:b w:val="0"/>
                <w:sz w:val="18"/>
              </w:rPr>
              <w:t>0.05 alarm unresolved</w:t>
            </w:r>
          </w:p>
        </w:tc>
      </w:tr>
    </w:tbl>
    <w:p>
      <w:pPr>
        <w:spacing w:after="40"/>
      </w:pPr>
    </w:p>
    <w:p>
      <w:r>
        <w:rPr>
          <w:rFonts w:ascii="Liberation Serif" w:hAnsi="Liberation Serif" w:eastAsia="Times New Roman"/>
          <w:sz w:val="22"/>
        </w:rPr>
        <w:t>The 3 s maximum reproduces the primary output. The 90th percentile increases detection but its 12.32% Wilson upper health bound misses the predeclared 12% gate. Five- and six-second blocks do not supply enough calibration units within 60 s. The 3 s maximum was motivated by healthy autocorrelation and remains the primary; fault outcomes cannot change it.</w:t>
      </w:r>
    </w:p>
    <w:p>
      <w:pPr>
        <w:keepNext/>
        <w:spacing w:before="80" w:after="0"/>
        <w:jc w:val="center"/>
      </w:pPr>
      <w:r>
        <w:drawing>
          <wp:inline xmlns:a="http://schemas.openxmlformats.org/drawingml/2006/main" xmlns:pic="http://schemas.openxmlformats.org/drawingml/2006/picture">
            <wp:extent cx="5669280" cy="2396994"/>
            <wp:docPr id="4" name="Picture 4" descr=""/>
            <wp:cNvGraphicFramePr>
              <a:graphicFrameLocks noChangeAspect="1"/>
            </wp:cNvGraphicFramePr>
            <a:graphic>
              <a:graphicData uri="http://schemas.openxmlformats.org/drawingml/2006/picture">
                <pic:pic>
                  <pic:nvPicPr>
                    <pic:cNvPr id="0" name="block_sensitivity.png"/>
                    <pic:cNvPicPr/>
                  </pic:nvPicPr>
                  <pic:blipFill>
                    <a:blip r:embed="rId13"/>
                    <a:stretch>
                      <a:fillRect/>
                    </a:stretch>
                  </pic:blipFill>
                  <pic:spPr>
                    <a:xfrm>
                      <a:off x="0" y="0"/>
                      <a:ext cx="5669280" cy="2396994"/>
                    </a:xfrm>
                    <a:prstGeom prst="rect"/>
                  </pic:spPr>
                </pic:pic>
              </a:graphicData>
            </a:graphic>
          </wp:inline>
        </w:drawing>
      </w:r>
    </w:p>
    <w:p>
      <w:r>
        <w:rPr>
          <w:rFonts w:ascii="Liberation Serif" w:hAnsi="Liberation Serif" w:eastAsia="Times New Roman"/>
          <w:sz w:val="22"/>
        </w:rPr>
        <w:t>Figure S4. Exploratory block length and aggregation. The figure includes the health-count and calibration-resolution evidence for each tested setting. Changes in block duration also change the temporal analysis denominator; blocks are not independent motor replications.</w:t>
      </w:r>
    </w:p>
    <w:p>
      <w:pPr>
        <w:pStyle w:val="Heading2"/>
      </w:pPr>
      <w:r>
        <w:t>S10.5. Preserved failed hypotheses</w:t>
      </w:r>
    </w:p>
    <w:p>
      <w:r>
        <w:rPr>
          <w:rFonts w:ascii="Liberation Serif" w:hAnsi="Liberation Serif" w:eastAsia="Times New Roman"/>
          <w:sz w:val="22"/>
        </w:rPr>
        <w:t>The original protocol hypothesized improved detection at the lowest two nominal severities. All covariance methods reached 100% there, making the proposed difference uninformative rather than proven. The original positive severity-score ordering hypothesis also failed: three of six motor-by-fault-family Spearman associations were negative, including both families for the 1.0 kW motor. Severity labels therefore cannot support severity regression or a monotone physical-response claim from this representation.</w:t>
      </w:r>
    </w:p>
    <w:p>
      <w:r>
        <w:rPr>
          <w:rFonts w:ascii="Liberation Serif" w:hAnsi="Liberation Serif" w:eastAsia="Times New Roman"/>
          <w:sz w:val="22"/>
        </w:rPr>
        <w:t>The hypothesis that window calibration underestimates deployment risk also lacks a strong causal test here. Later-time KAIST health comes from the same acquisition, so split or resampling differences cannot establish independent-session behavior. The protocol avoids adjacent-window mixing, but it does not quantify a specific amount of leakage-induced inflation on this dataset.</w:t>
      </w:r>
    </w:p>
    <w:p>
      <w:pPr>
        <w:keepNext/>
        <w:spacing w:before="80" w:after="0"/>
        <w:jc w:val="center"/>
      </w:pPr>
      <w:r>
        <w:drawing>
          <wp:inline xmlns:a="http://schemas.openxmlformats.org/drawingml/2006/main" xmlns:pic="http://schemas.openxmlformats.org/drawingml/2006/picture">
            <wp:extent cx="5669280" cy="3350649"/>
            <wp:docPr id="5" name="Picture 5" descr=""/>
            <wp:cNvGraphicFramePr>
              <a:graphicFrameLocks noChangeAspect="1"/>
            </wp:cNvGraphicFramePr>
            <a:graphic>
              <a:graphicData uri="http://schemas.openxmlformats.org/drawingml/2006/picture">
                <pic:pic>
                  <pic:nvPicPr>
                    <pic:cNvPr id="0" name="severity_detection.png"/>
                    <pic:cNvPicPr/>
                  </pic:nvPicPr>
                  <pic:blipFill>
                    <a:blip r:embed="rId14"/>
                    <a:stretch>
                      <a:fillRect/>
                    </a:stretch>
                  </pic:blipFill>
                  <pic:spPr>
                    <a:xfrm>
                      <a:off x="0" y="0"/>
                      <a:ext cx="5669280" cy="3350649"/>
                    </a:xfrm>
                    <a:prstGeom prst="rect"/>
                  </pic:spPr>
                </pic:pic>
              </a:graphicData>
            </a:graphic>
          </wp:inline>
        </w:drawing>
      </w:r>
    </w:p>
    <w:p>
      <w:r>
        <w:rPr>
          <w:rFonts w:ascii="Liberation Serif" w:hAnsi="Liberation Serif" w:eastAsia="Times New Roman"/>
          <w:sz w:val="22"/>
        </w:rPr>
        <w:t>Figure S5. Exploratory detection across labeled nominal severity. Nonmonotone patterns and the low-severity ceiling are retained. The plot does not establish severity estimation or a monotone causal relationship.</w:t>
      </w:r>
    </w:p>
    <w:p>
      <w:pPr>
        <w:pStyle w:val="Heading1"/>
      </w:pPr>
      <w:r>
        <w:t>S11. Reporting and reproducibility boundary</w:t>
      </w:r>
    </w:p>
    <w:p>
      <w:r>
        <w:rPr>
          <w:rFonts w:ascii="Liberation Serif" w:hAnsi="Liberation Serif" w:eastAsia="Times New Roman"/>
          <w:sz w:val="22"/>
        </w:rPr>
        <w:t>The main manuscript retains the frozen failed primary result and six core figures; this supplement retains complete comparator, diagnostic, compatibility, and exploratory sensitivity details. The code package provides commands to reconstruct the reported tables and figures, plus the immutable reveal outputs used for evidence checking. Full raw recomputation requires the original licensed archives.</w:t>
      </w:r>
    </w:p>
    <w:p>
      <w:r>
        <w:rPr>
          <w:rFonts w:ascii="Liberation Serif" w:hAnsi="Liberation Serif" w:eastAsia="Times New Roman"/>
          <w:sz w:val="22"/>
        </w:rPr>
        <w:t>This reporting revision preserves the original protocols and first external/secondary reveal evidence as distinct historical artifacts. Diagnostic explanations and repaired compatibility analyses do not replace the frozen outcomes. The original scores and result files remain unchanged; current-environment checks and stochastic refits are distinguished from byte-identical historical execution.</w:t>
      </w:r>
    </w:p>
    <w:p>
      <w:pPr>
        <w:pStyle w:val="Heading1"/>
      </w:pPr>
      <w:r>
        <w:t>References</w:t>
      </w:r>
    </w:p>
    <w:p>
      <w:pPr>
        <w:keepLines/>
        <w:ind w:left="360" w:hanging="360"/>
      </w:pPr>
      <w:r>
        <w:t>[1] W. Jung, S. Yun, Y. S. Lim, S. Cheong, Y. H. Park, Vibration and Current Dataset of Three-Phase Permanent Magnet Synchronous Motors with Stator Faults, Mendeley Data (2022). doi:10.17632/rgn5brrgrn.5</w:t>
      </w:r>
    </w:p>
    <w:p>
      <w:pPr>
        <w:keepLines/>
        <w:ind w:left="360" w:hanging="360"/>
      </w:pPr>
      <w:r>
        <w:t>[2] M. Kozovsky, Measurement of Interturn Short-Circuits Emulation on Dual Three-Phase PMS Motor, Zenodo (2024). doi:10.5281/zenodo.13889418</w:t>
      </w:r>
    </w:p>
    <w:p>
      <w:pPr>
        <w:keepLines/>
        <w:ind w:left="360" w:hanging="360"/>
      </w:pPr>
      <w:r>
        <w:t>[3] L. Zezula, M. Kozovsky, P. Blaha, Diagnostics of Interturn Short Circuits in PMSMs With Online Fault Indicators Estimation -- Dataset, Zenodo (2024). doi:10.5281/zenodo.15631383</w:t>
      </w:r>
    </w:p>
    <w:p>
      <w:pPr>
        <w:keepLines/>
        <w:ind w:left="360" w:hanging="360"/>
      </w:pPr>
      <w:r>
        <w:t>[4] M. Kozovský, L. Buchta, P. Blaha, Interturn Short Circuit Modelling in Dual Three-Phase PMSM, IECON 2022 -- 48th Annual Conference of the IEEE Industrial Electronics Society, 1-6 (2022). doi:10.1109/IECON49645.2022.9968364</w:t>
      </w:r>
    </w:p>
    <w:sectPr w:rsidR="00FC693F" w:rsidRPr="0006063C" w:rsidSect="00034616">
      <w:footerReference w:type="default" r:id="rId9"/>
      <w:pgSz w:w="11909" w:h="16834"/>
      <w:pgMar w:top="1152" w:right="1224" w:bottom="1152" w:left="1224"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jc w:val="left"/>
    </w:pPr>
    <w:rPr>
      <w:rFonts w:ascii="Liberation Serif" w:hAnsi="Liberation Serif"/>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00" w:lineRule="auto"/>
      <w:jc w:val="center"/>
      <w:outlineLvl w:val="0"/>
    </w:pPr>
    <w:rPr>
      <w:rFonts w:asciiTheme="majorHAnsi" w:eastAsiaTheme="majorEastAsia" w:hAnsiTheme="majorHAnsi" w:cstheme="majorBidi" w:ascii="Liberation Serif" w:hAnsi="Liberation Serif"/>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20" w:line="300" w:lineRule="auto"/>
      <w:outlineLvl w:val="1"/>
    </w:pPr>
    <w:rPr>
      <w:rFonts w:asciiTheme="majorHAnsi" w:eastAsiaTheme="majorEastAsia" w:hAnsiTheme="majorHAnsi" w:cstheme="majorBidi" w:ascii="Liberation Serif" w:hAnsi="Liberation Serif"/>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120" w:line="300" w:lineRule="auto"/>
      <w:outlineLvl w:val="2"/>
    </w:pPr>
    <w:rPr>
      <w:rFonts w:asciiTheme="majorHAnsi" w:eastAsiaTheme="majorEastAsia" w:hAnsiTheme="majorHAnsi" w:cstheme="majorBidi" w:ascii="Liberation Serif" w:hAnsi="Liberation Serif"/>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300" w:lineRule="auto" w:before="0"/>
      <w:contextualSpacing/>
      <w:jc w:val="center"/>
    </w:pPr>
    <w:rPr>
      <w:rFonts w:asciiTheme="majorHAnsi" w:eastAsiaTheme="majorEastAsia" w:hAnsiTheme="majorHAnsi" w:cstheme="majorBidi" w:ascii="Liberation Serif" w:hAnsi="Liberation Serif"/>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00" w:lineRule="auto" w:after="120"/>
      <w:contextualSpacing/>
    </w:pPr>
    <w:rPr>
      <w:rFonts w:ascii="Liberation Serif" w:hAnsi="Liberation Serif"/>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keepLines/>
      <w:spacing w:before="40" w:after="120" w:line="300" w:lineRule="auto"/>
      <w:jc w:val="left"/>
    </w:pPr>
    <w:rPr>
      <w:rFonts w:ascii="Liberation Serif" w:hAnsi="Liberation Serif"/>
      <w:color w:val="000000"/>
      <w:sz w:val="24"/>
    </w:rPr>
  </w:style>
  <w:style w:type="paragraph" w:customStyle="1" w:styleId="TableCaption">
    <w:name w:val="Table Caption"/>
    <w:pPr>
      <w:keepNext/>
      <w:spacing w:before="120" w:after="120" w:line="300" w:lineRule="auto"/>
    </w:pPr>
    <w:rPr>
      <w:rFonts w:ascii="Liberation Serif" w:hAnsi="Liberation Serif"/>
      <w:b/>
      <w:color w:val="00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Frozen Cross-Dataset Reliability of Healthy-Only PMSM Stator-Fault Detection</dc:title>
  <dc:subject>Journal of Magnetics author review preparation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