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eastAsia="Times New Roman"/>
          <w:b/>
          <w:sz w:val="20"/>
        </w:rPr>
        <w:t xml:space="preserve">Date: </w:t>
      </w:r>
      <w:r>
        <w:rPr>
          <w:rFonts w:ascii="Times New Roman" w:hAnsi="Times New Roman" w:eastAsia="Times New Roman"/>
          <w:sz w:val="20"/>
        </w:rPr>
        <w:t>2026-08-21</w:t>
      </w:r>
    </w:p>
    <w:p>
      <w:pPr>
        <w:spacing w:after="80"/>
      </w:pPr>
      <w:r>
        <w:rPr>
          <w:rFonts w:ascii="Times New Roman" w:hAnsi="Times New Roman" w:eastAsia="Times New Roman"/>
          <w:b/>
          <w:sz w:val="20"/>
        </w:rPr>
        <w:t xml:space="preserve">From: </w:t>
      </w:r>
      <w:r>
        <w:rPr>
          <w:rFonts w:ascii="Times New Roman" w:hAnsi="Times New Roman" w:eastAsia="Times New Roman"/>
          <w:sz w:val="20"/>
        </w:rPr>
        <w:t>[CORRESPONDING AUTHOR NAME AND INSTITUTION]</w:t>
      </w:r>
    </w:p>
    <w:p>
      <w:pPr>
        <w:spacing w:after="80"/>
      </w:pPr>
      <w:r>
        <w:rPr>
          <w:rFonts w:ascii="Times New Roman" w:hAnsi="Times New Roman" w:eastAsia="Times New Roman"/>
          <w:b/>
          <w:sz w:val="20"/>
        </w:rPr>
        <w:t xml:space="preserve">E-mail: </w:t>
      </w:r>
      <w:r>
        <w:rPr>
          <w:rFonts w:ascii="Times New Roman" w:hAnsi="Times New Roman" w:eastAsia="Times New Roman"/>
          <w:sz w:val="20"/>
        </w:rPr>
        <w:t>[INSTITUTIONAL E-MAIL]</w:t>
      </w:r>
    </w:p>
    <w:p/>
    <w:p>
      <w:r>
        <w:rPr>
          <w:rFonts w:ascii="Times New Roman" w:hAnsi="Times New Roman" w:eastAsia="Times New Roman"/>
          <w:sz w:val="20"/>
        </w:rPr>
        <w:t>Editor-in-Chief</w:t>
        <w:br/>
        <w:t>Journal of Electrical Engineering &amp; Technology</w:t>
      </w:r>
    </w:p>
    <w:p>
      <w:r>
        <w:rPr>
          <w:rFonts w:ascii="Times New Roman" w:hAnsi="Times New Roman" w:eastAsia="Times New Roman"/>
          <w:sz w:val="20"/>
        </w:rPr>
        <w:t>Dear Editor-in-Chief,</w:t>
      </w:r>
    </w:p>
    <w:p>
      <w:r>
        <w:rPr>
          <w:rFonts w:ascii="Times New Roman" w:hAnsi="Times New Roman" w:eastAsia="Times New Roman"/>
          <w:sz w:val="20"/>
        </w:rPr>
        <w:t>We submit the enclosed Original Article, "When Healthy-Only Transfer Fails: A Leakage-Resistant Cross-Dataset Evaluation of PMSM Stator-Fault Detectors under Compound Speed, Load, and Topology Shift", for consideration in Journal of Electrical Engineering &amp; Technology. The study addresses permanent-magnet machines, motor-drive monitoring, sensor signal processing, and practical industrial reliability, all within the journal's scope.</w:t>
      </w:r>
    </w:p>
    <w:p>
      <w:r>
        <w:rPr>
          <w:rFonts w:ascii="Times New Roman" w:hAnsi="Times New Roman" w:eastAsia="Times New Roman"/>
          <w:sz w:val="20"/>
        </w:rPr>
        <w:t>The manuscript does not claim a universally superior detector. Its contribution is an audit-first cross-dataset evaluation in which a complete healthy-only pipeline, threshold, and eleven-method comparison were frozen before a one-time external fault reveal. Near-ceiling same-family performance reversed on an independently produced dual-three-phase PMSM dataset, exposing operating-trajectory alarm drift and conditional negative transfer that conventional random-window evaluation can hide.</w:t>
      </w:r>
    </w:p>
    <w:p>
      <w:pPr>
        <w:pStyle w:val="ListBullet"/>
        <w:spacing w:after="60"/>
        <w:ind w:left="576" w:hanging="288"/>
      </w:pPr>
      <w:r>
        <w:rPr>
          <w:rFonts w:ascii="Times New Roman" w:hAnsi="Times New Roman" w:eastAsia="Times New Roman"/>
          <w:sz w:val="20"/>
        </w:rPr>
        <w:t>Motor- and file-level separation prevents adjacent-window leakage.</w:t>
      </w:r>
    </w:p>
    <w:p>
      <w:pPr>
        <w:pStyle w:val="ListBullet"/>
        <w:spacing w:after="60"/>
        <w:ind w:left="576" w:hanging="288"/>
      </w:pPr>
      <w:r>
        <w:rPr>
          <w:rFonts w:ascii="Times New Roman" w:hAnsi="Times New Roman" w:eastAsia="Times New Roman"/>
          <w:sz w:val="20"/>
        </w:rPr>
        <w:t>Target fault labels are excluded from fitting and threshold selection.</w:t>
      </w:r>
    </w:p>
    <w:p>
      <w:pPr>
        <w:pStyle w:val="ListBullet"/>
        <w:spacing w:after="60"/>
        <w:ind w:left="576" w:hanging="288"/>
      </w:pPr>
      <w:r>
        <w:rPr>
          <w:rFonts w:ascii="Times New Roman" w:hAnsi="Times New Roman" w:eastAsia="Times New Roman"/>
          <w:sz w:val="20"/>
        </w:rPr>
        <w:t>Target-only controls distinguish useful adaptation from harmful source augmentation.</w:t>
      </w:r>
    </w:p>
    <w:p>
      <w:pPr>
        <w:pStyle w:val="ListBullet"/>
        <w:spacing w:after="60"/>
        <w:ind w:left="576" w:hanging="288"/>
      </w:pPr>
      <w:r>
        <w:rPr>
          <w:rFonts w:ascii="Times New Roman" w:hAnsi="Times New Roman" w:eastAsia="Times New Roman"/>
          <w:sz w:val="20"/>
        </w:rPr>
        <w:t>Frozen external failure, seed sensitivity, early-horizon behavior, and feature-geometry diagnostics are reported without post-reveal model replacement.</w:t>
      </w:r>
    </w:p>
    <w:p>
      <w:r>
        <w:rPr>
          <w:rFonts w:ascii="Times New Roman" w:hAnsi="Times New Roman" w:eastAsia="Times New Roman"/>
          <w:sz w:val="20"/>
        </w:rPr>
        <w:t>The work is original, is not under consideration elsewhere, and uses public experimental machine datasets without human participants or animals. All authors must approve the manuscript, authorship, declarations, and this letter before the corresponding author submits it. Online Resource 1 contains the detailed supplementary evidence, and Online Resource 2 contains an anonymized reproducibility bundle.</w:t>
      </w:r>
    </w:p>
    <w:p>
      <w:r>
        <w:rPr>
          <w:rFonts w:ascii="Times New Roman" w:hAnsi="Times New Roman" w:eastAsia="Times New Roman"/>
          <w:sz w:val="20"/>
        </w:rPr>
        <w:t>Sincerely,</w:t>
      </w:r>
    </w:p>
    <w:p>
      <w:r>
        <w:rPr>
          <w:rFonts w:ascii="Times New Roman" w:hAnsi="Times New Roman" w:eastAsia="Times New Roman"/>
          <w:sz w:val="20"/>
        </w:rPr>
        <w:t>[CORRESPONDING AUTHOR NAME]</w:t>
        <w:br/>
        <w:t>[POSITION, DEPARTMENT, INSTITUTION]</w:t>
      </w:r>
    </w:p>
    <w:sectPr w:rsidR="00FC693F" w:rsidRPr="0006063C" w:rsidSect="00034616">
      <w:footerReference w:type="default" r:id="rId9"/>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jc w:val="center"/>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Lines/>
      <w:spacing w:before="40" w:after="120"/>
      <w:jc w:val="left"/>
    </w:pPr>
    <w:rPr>
      <w:rFonts w:ascii="Times New Roman" w:hAnsi="Times New Roman"/>
      <w:sz w:val="18"/>
    </w:rPr>
  </w:style>
  <w:style w:type="paragraph" w:customStyle="1" w:styleId="TableCaption">
    <w:name w:val="Table Caption"/>
    <w:pPr>
      <w:keepNext/>
      <w:spacing w:before="120" w:after="60"/>
    </w:pPr>
    <w:rPr>
      <w:rFonts w:ascii="Times New Roman" w:hAnsi="Times New Roman"/>
      <w: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Healthy-Only Transfer Fails: A Leakage-Resistant Cross-Dataset Evaluation of PMSM Stator-Fault Detectors under Compound Speed, Load, and Topology Shift</dc:title>
  <dc:subject>Journal of Electrical Engineering &amp; Technology submission</dc:subject>
  <dc:creator>AUTHOR INPUT REQUIRED</dc:creator>
  <cp:keywords>PMSM; stator fault; cross-dataset evaluation; negative transfer</cp:keywords>
  <dc:description>Double-blind submission artifact</dc:description>
  <cp:lastModifiedBy>AUTHOR INPUT REQUIRED</cp:lastModifiedBy>
  <cp:revision>1</cp:revision>
  <dcterms:created xsi:type="dcterms:W3CDTF">2013-12-23T23:15:00Z</dcterms:created>
  <dcterms:modified xsi:type="dcterms:W3CDTF">2013-12-23T23:15:00Z</dcterms:modified>
  <cp:category/>
</cp:coreProperties>
</file>