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eastAsia="Times New Roman"/>
          <w:sz w:val="21"/>
        </w:rPr>
        <w:t>Curvewise Conformal Prediction Bands for Periodic PMSM Torque Surrogates under Design-Distribution Shift</w:t>
      </w:r>
    </w:p>
    <w:p>
      <w:pPr>
        <w:spacing w:after="240"/>
        <w:jc w:val="center"/>
      </w:pPr>
      <w:r>
        <w:rPr>
          <w:rFonts w:ascii="Times New Roman" w:hAnsi="Times New Roman" w:eastAsia="Times New Roman"/>
          <w:i/>
          <w:color w:val="505050"/>
          <w:sz w:val="19"/>
        </w:rPr>
        <w:t>Anonymous review manuscript | author details withheld</w:t>
      </w:r>
    </w:p>
    <w:p>
      <w:pPr>
        <w:pStyle w:val="Heading1"/>
      </w:pPr>
      <w:r>
        <w:rPr>
          <w:rFonts w:ascii="Times New Roman" w:hAnsi="Times New Roman" w:eastAsia="Times New Roman"/>
          <w:sz w:val="21"/>
        </w:rPr>
        <w:t>Abstract</w:t>
      </w:r>
    </w:p>
    <w:p>
      <w:r>
        <w:rPr>
          <w:rFonts w:ascii="Times New Roman" w:hAnsi="Times New Roman" w:eastAsia="Times New Roman"/>
          <w:sz w:val="21"/>
        </w:rPr>
        <w:t>Surrogate accuracy averaged over rotation angles does not tell an electric-machine designer whether an entire predicted torque period is reliable for a requested geometry. We study simultaneous, curvewise uncertainty for a Fourier-reduced permanent-magnet synchronous machine (PMSM) torque surrogate using 23,250 high-fidelity simulated designs. Each design has 20 geometric inputs and 120 torque values over one 30-degree period. An anisotropic Gaussian-process response surface predicts 11 retained Fourier components; split conformal prediction then calibrates the maximum absolute error over all 120 angles. We compare a constant-width global band with a label-free geometry-scaled band and attach a nearest-neighbour support warning. On 11,250 independent uniform designs, the primary 90% global and geometry-scaled bands achieved 90.29% and 89.96% full-curve coverage with mean half-widths 0.00713 and 0.00681 source-archive torque units. Aggregate calibration concealed a marked conditional failure: in the sparsest geometry-distance quintile, coverage fell to 76.13% and 78.31%, respectively. On 10,000 tightly concentrated Gaussian designs, both bands covered 100% of curves, and geometry scaling reduced mean half-width by 21.4%. A post-primary estimated weighted-conformal diagnostic exposed a different limitation. The Gaussian target was perfectly separable from the source by geometry alone, the calibration-weight effective sample size collapsed to 4.31 of 600, and every weighted band was vacuous. These results show that marginal curvewise calibration, local design-space conditioning, geometric support, and source-target density overlap are distinct engineering questions. The study provides a reproducible benchmark and failure audit, but it does not quantify simulator model-form error, manufacturing variation, another machine topology, or hardware uncertainty.</w:t>
      </w:r>
    </w:p>
    <w:p>
      <w:r>
        <w:rPr>
          <w:rFonts w:ascii="Times New Roman" w:hAnsi="Times New Roman" w:eastAsia="Times New Roman"/>
          <w:b/>
          <w:sz w:val="21"/>
        </w:rPr>
        <w:t>Keywords:</w:t>
      </w:r>
      <w:r>
        <w:rPr>
          <w:rFonts w:ascii="Times New Roman" w:hAnsi="Times New Roman" w:eastAsia="Times New Roman"/>
          <w:sz w:val="21"/>
        </w:rPr>
        <w:t xml:space="preserve"> permanent-magnet synchronous machine; surrogate model; conformal prediction; torque ripple; covariate shift; uncertainty quantification</w:t>
      </w:r>
    </w:p>
    <w:p>
      <w:pPr>
        <w:pStyle w:val="Heading1"/>
      </w:pPr>
      <w:r>
        <w:rPr>
          <w:rFonts w:ascii="Times New Roman" w:hAnsi="Times New Roman" w:eastAsia="Times New Roman"/>
          <w:sz w:val="21"/>
        </w:rPr>
        <w:t>1. Introduction</w:t>
      </w:r>
    </w:p>
    <w:p>
      <w:r>
        <w:rPr>
          <w:rFonts w:ascii="Times New Roman" w:hAnsi="Times New Roman" w:eastAsia="Times New Roman"/>
          <w:sz w:val="21"/>
        </w:rPr>
        <w:t>Geometry exploration for electric machines repeatedly evaluates electromagnetic models at candidate designs. High-fidelity field models are accurate enough to serve as design tools, but their computational cost makes large parameter studies and Monte Carlo uncertainty quantification expensive. Reduced-order response surfaces address this bottleneck by mapping geometry to a compact representation of the quantity of interest. For periodic PMSM torque, Fourier reduction is particularly natural: the signal is periodic, a small number of frequency components retains its dominant physical structure, and the full curve can be reconstructed after regression [1].</w:t>
      </w:r>
    </w:p>
    <w:p>
      <w:r>
        <w:rPr>
          <w:rFonts w:ascii="Times New Roman" w:hAnsi="Times New Roman" w:eastAsia="Times New Roman"/>
          <w:sz w:val="21"/>
        </w:rPr>
        <w:t xml:space="preserve">Prediction accuracy is only one part of the design decision. A low mean absolute or percentage error can coexist with a localized miss at the angle that defines peak torque or torque ripple. Likewise, a surrogate can reproduce population-level means and standard deviations while being unreliable for an individual proposed geometry. A designer therefore needs an answer to a different question: </w:t>
      </w:r>
      <w:r>
        <w:rPr>
          <w:rFonts w:ascii="Times New Roman" w:hAnsi="Times New Roman" w:eastAsia="Times New Roman"/>
          <w:i/>
          <w:sz w:val="21"/>
        </w:rPr>
        <w:t>for this geometry, does a prediction band contain the whole torque period with a stated marginal frequency?</w:t>
      </w:r>
      <w:r>
        <w:rPr>
          <w:rFonts w:ascii="Times New Roman" w:hAnsi="Times New Roman" w:eastAsia="Times New Roman"/>
          <w:sz w:val="21"/>
        </w:rPr>
        <w:t xml:space="preserve"> Anglewise intervals do not answer that question, because 120 individually calibrated intervals need not cover all 120 angles simultaneously.</w:t>
      </w:r>
    </w:p>
    <w:p>
      <w:r>
        <w:rPr>
          <w:rFonts w:ascii="Times New Roman" w:hAnsi="Times New Roman" w:eastAsia="Times New Roman"/>
          <w:sz w:val="21"/>
        </w:rPr>
        <w:t>Conformal prediction supplies model-agnostic marginal coverage under exchangeability [2, 3]. Functional extensions construct simultaneous sets or bands for an entire response rather than treating output coordinates as independent [4, 5]. Conformal methods have also been applied to structural and scientific surrogate models [6, 7, 8, 9]. These works establish that neither conformal surrogate uncertainty nor functional conformal prediction is new. The unresolved engineering issue addressed here is narrower: how whole-period coverage behaves across the released PMSM design distributions, how it deteriorates with sparse geometry support, and whether covariate-shift weighting is usable when the target design density is highly concentrated.</w:t>
      </w:r>
    </w:p>
    <w:p>
      <w:r>
        <w:rPr>
          <w:rFonts w:ascii="Times New Roman" w:hAnsi="Times New Roman" w:eastAsia="Times New Roman"/>
          <w:sz w:val="21"/>
        </w:rPr>
        <w:t>This study makes four contributions.</w:t>
      </w:r>
    </w:p>
    <w:p>
      <w:pPr>
        <w:spacing w:after="80" w:line="290" w:lineRule="auto"/>
        <w:ind w:left="540" w:hanging="279"/>
      </w:pPr>
      <w:r>
        <w:rPr>
          <w:rFonts w:ascii="Times New Roman" w:hAnsi="Times New Roman" w:eastAsia="Times New Roman"/>
          <w:sz w:val="21"/>
        </w:rPr>
        <w:t xml:space="preserve">1. </w:t>
      </w:r>
      <w:r>
        <w:rPr>
          <w:rFonts w:ascii="Times New Roman" w:hAnsi="Times New Roman" w:eastAsia="Times New Roman"/>
          <w:sz w:val="21"/>
        </w:rPr>
        <w:t>It defines a simultaneous 120-angle PMSM torque endpoint using the maximum curve error, rather than 120 separate pointwise endpoints.</w:t>
      </w:r>
    </w:p>
    <w:p>
      <w:pPr>
        <w:spacing w:after="80" w:line="290" w:lineRule="auto"/>
        <w:ind w:left="540" w:hanging="279"/>
      </w:pPr>
      <w:r>
        <w:rPr>
          <w:rFonts w:ascii="Times New Roman" w:hAnsi="Times New Roman" w:eastAsia="Times New Roman"/>
          <w:sz w:val="21"/>
        </w:rPr>
        <w:t xml:space="preserve">2. </w:t>
      </w:r>
      <w:r>
        <w:rPr>
          <w:rFonts w:ascii="Times New Roman" w:hAnsi="Times New Roman" w:eastAsia="Times New Roman"/>
          <w:sz w:val="21"/>
        </w:rPr>
        <w:t>It evaluates global and input-geometry-scaled bands on every released labeled design: 200 fixed internal designs, 11,250 large-sample uniform designs, and 10,000 Gaussian-shift designs.</w:t>
      </w:r>
    </w:p>
    <w:p>
      <w:pPr>
        <w:spacing w:after="80" w:line="290" w:lineRule="auto"/>
        <w:ind w:left="540" w:hanging="279"/>
      </w:pPr>
      <w:r>
        <w:rPr>
          <w:rFonts w:ascii="Times New Roman" w:hAnsi="Times New Roman" w:eastAsia="Times New Roman"/>
          <w:sz w:val="21"/>
        </w:rPr>
        <w:t xml:space="preserve">3. </w:t>
      </w:r>
      <w:r>
        <w:rPr>
          <w:rFonts w:ascii="Times New Roman" w:hAnsi="Times New Roman" w:eastAsia="Times New Roman"/>
          <w:sz w:val="21"/>
        </w:rPr>
        <w:t>It separates marginal coverage from two diagnostics: a geometry-only support p-value and coverage by nearest-neighbour-distance quintile. The latter reveals a sparse-tail failure that aggregate coverage hides.</w:t>
      </w:r>
    </w:p>
    <w:p>
      <w:pPr>
        <w:spacing w:after="80" w:line="290" w:lineRule="auto"/>
        <w:ind w:left="540" w:hanging="279"/>
      </w:pPr>
      <w:r>
        <w:rPr>
          <w:rFonts w:ascii="Times New Roman" w:hAnsi="Times New Roman" w:eastAsia="Times New Roman"/>
          <w:sz w:val="21"/>
        </w:rPr>
        <w:t xml:space="preserve">4. </w:t>
      </w:r>
      <w:r>
        <w:rPr>
          <w:rFonts w:ascii="Times New Roman" w:hAnsi="Times New Roman" w:eastAsia="Times New Roman"/>
          <w:sz w:val="21"/>
        </w:rPr>
        <w:t>It retains a negative post-primary result: estimated density-ratio weighting is feasible for the uniform target but produces only vacuous bands for the Gaussian target because effective source calibration overlap collapses.</w:t>
      </w:r>
    </w:p>
    <w:p>
      <w:r>
        <w:rPr>
          <w:rFonts w:ascii="Times New Roman" w:hAnsi="Times New Roman" w:eastAsia="Times New Roman"/>
          <w:sz w:val="21"/>
        </w:rPr>
        <w:t>The intended claim is consequently not that a new band solves conditional coverage or shift. The claim is that a complete, auditable curvewise evaluation changes what can be concluded from a highly accurate torque surrogate. The evidence applies to independent simulations of one two-dimensional, quarter-symmetry PMSM model. It is not evidence of cross-machine, cross-topology, three-dimensional, manufactured-machine, or hardware coverage.</w:t>
      </w:r>
    </w:p>
    <w:p>
      <w:pPr>
        <w:pStyle w:val="Heading1"/>
      </w:pPr>
      <w:r>
        <w:rPr>
          <w:rFonts w:ascii="Times New Roman" w:hAnsi="Times New Roman" w:eastAsia="Times New Roman"/>
          <w:sz w:val="21"/>
        </w:rPr>
        <w:t>2. Related work and contribution boundary</w:t>
      </w:r>
    </w:p>
    <w:p>
      <w:pPr>
        <w:pStyle w:val="Heading2"/>
      </w:pPr>
      <w:r>
        <w:rPr>
          <w:rFonts w:ascii="Times New Roman" w:hAnsi="Times New Roman" w:eastAsia="Times New Roman"/>
          <w:sz w:val="21"/>
        </w:rPr>
        <w:t>2.1 Periodic torque response surfaces</w:t>
      </w:r>
    </w:p>
    <w:p>
      <w:r>
        <w:rPr>
          <w:rFonts w:ascii="Times New Roman" w:hAnsi="Times New Roman" w:eastAsia="Times New Roman"/>
          <w:sz w:val="21"/>
        </w:rPr>
        <w:t>Partovizadeh, Schöps, and Loukrezis introduced the public benchmark and a reduced-order workflow combining a discrete Fourier transform (DFT) with polynomial chaos expansion, feedforward neural networks, and Gaussian processes [1]. Their source model uses a two-dimensional magnetostatic formulation, isogeometric analysis, harmonic rotor-stator coupling, nonlinear magnetic material behaviour, and 20 geometric design parameters. Torque repeats every 30 mechanical degrees because of winding-pattern symmetry. The source study showed that 11 Fourier components provide accurate reconstruction and that a DFT-Gaussian-process combination gives the best predictive accuracy among the tested response surfaces. It then used the surrogates to estimate population torque statistics under uniform and Gaussian parameter distributions.</w:t>
      </w:r>
    </w:p>
    <w:p>
      <w:r>
        <w:rPr>
          <w:rFonts w:ascii="Times New Roman" w:hAnsi="Times New Roman" w:eastAsia="Times New Roman"/>
          <w:sz w:val="21"/>
        </w:rPr>
        <w:t>We inherit the Fourier representation and do not claim novelty for DFT reduction, Gaussian processes, polynomial response surfaces, kernel methods, trees, or Monte Carlo surrogate analysis. The difference is the inferential endpoint. Population statistics and average prediction errors do not calibrate an individual design's complete predicted curve.</w:t>
      </w:r>
    </w:p>
    <w:p>
      <w:pPr>
        <w:pStyle w:val="Heading2"/>
      </w:pPr>
      <w:r>
        <w:rPr>
          <w:rFonts w:ascii="Times New Roman" w:hAnsi="Times New Roman" w:eastAsia="Times New Roman"/>
          <w:sz w:val="21"/>
        </w:rPr>
        <w:t>2.2 Conformal regression and functional outputs</w:t>
      </w:r>
    </w:p>
    <w:p>
      <w:r>
        <w:rPr>
          <w:rFonts w:ascii="Times New Roman" w:hAnsi="Times New Roman" w:eastAsia="Times New Roman"/>
          <w:sz w:val="21"/>
        </w:rPr>
        <w:t>Split conformal regression reserves labeled observations to calibrate a model-independent error quantile [2]. Under exchangeability, the construction provides finite-sample marginal coverage without requiring a correct parametric error distribution. Locally varying interval length can be introduced through a scale function fixed without using the calibration responses. For functional data, conformal bands can cover a complete multivariate function simultaneously [4], and output-domain modulation can redistribute width over the function while retaining the appropriate set construction [5]. Recent surrogate applications include adaptive neural structural-response intervals [6], calibrated Gaussian-process surrogate evaluation [7], zonotope prediction sets for functional surrogates [8], and broad scientific-surrogate benchmarks [9].</w:t>
      </w:r>
    </w:p>
    <w:p>
      <w:r>
        <w:rPr>
          <w:rFonts w:ascii="Times New Roman" w:hAnsi="Times New Roman" w:eastAsia="Times New Roman"/>
          <w:sz w:val="21"/>
        </w:rPr>
        <w:t>This literature precludes claims of being the first conformal scientific surrogate or first functional conformal band. What is distinct here is the combination of an interpretable whole-period PMSM torque band, input-geometry density scaling, geometry-only support warning, large labeled distribution-shift tables, and an explicit overlap-collapse audit.</w:t>
      </w:r>
    </w:p>
    <w:p>
      <w:pPr>
        <w:pStyle w:val="Heading2"/>
      </w:pPr>
      <w:r>
        <w:rPr>
          <w:rFonts w:ascii="Times New Roman" w:hAnsi="Times New Roman" w:eastAsia="Times New Roman"/>
          <w:sz w:val="21"/>
        </w:rPr>
        <w:t>2.3 Covariate shift and overlap</w:t>
      </w:r>
    </w:p>
    <w:p>
      <w:r>
        <w:rPr>
          <w:rFonts w:ascii="Times New Roman" w:hAnsi="Times New Roman" w:eastAsia="Times New Roman"/>
          <w:sz w:val="21"/>
        </w:rPr>
        <w:t>Ordinary split-conformal coverage relies on exchangeability between calibration and future examples. Weighted conformal prediction extends the construction to covariate shift when the target-to-source likelihood ratio is known or estimated accurately [10]. The test point carries probability mass at positive infinity in the weighted error distribution. This detail is operationally important: when source calibration points have insufficient target-relevant weight, the correct result can be an infinite, uninformative band. Replacing it with the largest observed source error would hide the lack of overlap.</w:t>
      </w:r>
    </w:p>
    <w:p>
      <w:r>
        <w:rPr>
          <w:rFonts w:ascii="Times New Roman" w:hAnsi="Times New Roman" w:eastAsia="Times New Roman"/>
          <w:sz w:val="21"/>
        </w:rPr>
        <w:t>Our primary geometry-scaled band is not presented as a distribution-free solution to the Gaussian shift. It is evaluated empirically. The estimated weighted method is a post-primary diagnostic added after aggregate primary results had been inspected; it tests practical overlap and is reported with this temporal status throughout.</w:t>
      </w:r>
    </w:p>
    <w:p>
      <w:pPr>
        <w:pStyle w:val="Heading1"/>
      </w:pPr>
      <w:r>
        <w:rPr>
          <w:rFonts w:ascii="Times New Roman" w:hAnsi="Times New Roman" w:eastAsia="Times New Roman"/>
          <w:sz w:val="21"/>
        </w:rPr>
        <w:t>3. Data, physical scope, and audit</w:t>
      </w:r>
    </w:p>
    <w:p>
      <w:pPr>
        <w:pStyle w:val="Heading2"/>
      </w:pPr>
      <w:r>
        <w:rPr>
          <w:rFonts w:ascii="Times New Roman" w:hAnsi="Times New Roman" w:eastAsia="Times New Roman"/>
          <w:sz w:val="21"/>
        </w:rPr>
        <w:t>3.1 Released PMSM simulations</w:t>
      </w:r>
    </w:p>
    <w:p>
      <w:r>
        <w:rPr>
          <w:rFonts w:ascii="Times New Roman" w:hAnsi="Times New Roman" w:eastAsia="Times New Roman"/>
          <w:sz w:val="21"/>
        </w:rPr>
        <w:t xml:space="preserve">The analysis uses the public archive associated with the source study, DOI </w:t>
      </w:r>
      <w:r>
        <w:rPr>
          <w:rFonts w:ascii="Courier New" w:hAnsi="Courier New" w:eastAsia="Courier New"/>
          <w:sz w:val="18"/>
        </w:rPr>
        <w:t>10.5281/zenodo.15688397</w:t>
      </w:r>
      <w:r>
        <w:rPr>
          <w:rFonts w:ascii="Times New Roman" w:hAnsi="Times New Roman" w:eastAsia="Times New Roman"/>
          <w:sz w:val="21"/>
        </w:rPr>
        <w:t>, under GPL-3.0-or-later. Each row contains 20 geometric parameters and the corresponding electromagnetic torque at 120 equally spaced mechanical angles from 0 to 29.75 degrees in 0.25-degree increments. The 30-degree period follows from the source machine's symmetry. Eleven retained DFT components correspond to 21 real regression outputs: one real zero-frequency coefficient and real and imaginary parts of ten nonzero components. Across the archive, this representation retains more than 99.9999% of signal energy.</w:t>
      </w:r>
    </w:p>
    <w:p>
      <w:r>
        <w:rPr>
          <w:rFonts w:ascii="Times New Roman" w:hAnsi="Times New Roman" w:eastAsia="Times New Roman"/>
          <w:sz w:val="21"/>
        </w:rPr>
        <w:t>The high-fidelity outputs all come from one PMSM numerical model. The model represents one quarter of a two-dimensional cross-section, assumes rotational symmetry and axial invariance, and excludes three-dimensional end effects. The source model uses an applied current of 3 A, 35 winding turns, M330-50A material data, and Nd-Fe-B magnets [1]. The present work neither reruns the field solver nor changes its physics. Accordingly, all numerical error quantities below use the torque units stored in the source archive; they should not be interpreted as measured-machine tolerances.</w:t>
      </w:r>
    </w:p>
    <w:p>
      <w:pPr>
        <w:pStyle w:val="Heading2"/>
      </w:pPr>
      <w:r>
        <w:rPr>
          <w:rFonts w:ascii="Times New Roman" w:hAnsi="Times New Roman" w:eastAsia="Times New Roman"/>
          <w:sz w:val="21"/>
        </w:rPr>
        <w:t>3.2 Data roles</w:t>
      </w:r>
    </w:p>
    <w:p>
      <w:r>
        <w:rPr>
          <w:rFonts w:ascii="Times New Roman" w:hAnsi="Times New Roman" w:eastAsia="Times New Roman"/>
          <w:sz w:val="21"/>
        </w:rPr>
        <w:t xml:space="preserve">Table 1 gives the immutable roles. The first 1,800 rows of the source </w:t>
      </w:r>
      <w:r>
        <w:rPr>
          <w:rFonts w:ascii="Courier New" w:hAnsi="Courier New" w:eastAsia="Courier New"/>
          <w:sz w:val="18"/>
        </w:rPr>
        <w:t>train_test</w:t>
      </w:r>
      <w:r>
        <w:rPr>
          <w:rFonts w:ascii="Times New Roman" w:hAnsi="Times New Roman" w:eastAsia="Times New Roman"/>
          <w:sz w:val="21"/>
        </w:rPr>
        <w:t xml:space="preserve"> table form the development pool. A deterministic random seed separates 1,200 fit designs from 600 conformal calibration designs. The final 200 rows retain the source archive's internal-test role. The two UQ tables are never used to tune surrogate hyperparameters. The primary split seed is 20260821; four additional deterministic seeds assess split sensitivity.</w:t>
      </w:r>
    </w:p>
    <w:tbl>
      <w:tblPr>
        <w:tblStyle w:val="TableGrid"/>
        <w:tblW w:type="dxa" w:w="9360"/>
        <w:jc w:val="left"/>
        <w:tblLook w:firstColumn="1" w:firstRow="1" w:lastColumn="0" w:lastRow="0" w:noHBand="0" w:noVBand="1" w:val="04A0"/>
        <w:tblLayout w:type="fixed"/>
        <w:tblInd w:w="120" w:type="dxa"/>
      </w:tblPr>
      <w:tblGrid>
        <w:gridCol w:w="1935"/>
        <w:gridCol w:w="2030"/>
        <w:gridCol w:w="2423"/>
        <w:gridCol w:w="2972"/>
      </w:tblGrid>
      <w:tr>
        <w:trPr>
          <w:tblHeader w:val="true"/>
        </w:trPr>
        <w:tc>
          <w:tcPr>
            <w:tcW w:type="dxa" w:w="1935"/>
            <w:tcMar>
              <w:top w:w="80" w:type="dxa"/>
              <w:start w:w="120" w:type="dxa"/>
              <w:bottom w:w="80" w:type="dxa"/>
              <w:end w:w="120" w:type="dxa"/>
            </w:tcMar>
            <w:vAlign w:val="center"/>
            <w:shd w:fill="F2F4F7"/>
          </w:tcPr>
          <w:p>
            <w:pPr>
              <w:spacing w:before="0" w:after="0" w:line="240" w:lineRule="auto"/>
              <w:jc w:val="left"/>
            </w:pPr>
            <w:r>
              <w:rPr>
                <w:rFonts w:ascii="Times New Roman" w:hAnsi="Times New Roman" w:eastAsia="Times New Roman"/>
                <w:b/>
                <w:sz w:val="15"/>
              </w:rPr>
              <w:t>Published table</w:t>
            </w:r>
          </w:p>
        </w:tc>
        <w:tc>
          <w:tcPr>
            <w:tcW w:type="dxa" w:w="2030"/>
            <w:tcMar>
              <w:top w:w="80" w:type="dxa"/>
              <w:start w:w="120" w:type="dxa"/>
              <w:bottom w:w="80" w:type="dxa"/>
              <w:end w:w="120" w:type="dxa"/>
            </w:tcMar>
            <w:vAlign w:val="center"/>
            <w:shd w:fill="F2F4F7"/>
          </w:tcPr>
          <w:p>
            <w:pPr>
              <w:spacing w:before="0" w:after="0" w:line="240" w:lineRule="auto"/>
              <w:jc w:val="center"/>
            </w:pPr>
            <w:r>
              <w:rPr>
                <w:rFonts w:ascii="Times New Roman" w:hAnsi="Times New Roman" w:eastAsia="Times New Roman"/>
                <w:b/>
                <w:sz w:val="15"/>
              </w:rPr>
              <w:t>Designs</w:t>
            </w:r>
          </w:p>
        </w:tc>
        <w:tc>
          <w:tcPr>
            <w:tcW w:type="dxa" w:w="2423"/>
            <w:tcMar>
              <w:top w:w="80" w:type="dxa"/>
              <w:start w:w="120" w:type="dxa"/>
              <w:bottom w:w="80" w:type="dxa"/>
              <w:end w:w="120" w:type="dxa"/>
            </w:tcMar>
            <w:vAlign w:val="center"/>
            <w:shd w:fill="F2F4F7"/>
          </w:tcPr>
          <w:p>
            <w:pPr>
              <w:spacing w:before="0" w:after="0" w:line="240" w:lineRule="auto"/>
              <w:jc w:val="center"/>
            </w:pPr>
            <w:r>
              <w:rPr>
                <w:rFonts w:ascii="Times New Roman" w:hAnsi="Times New Roman" w:eastAsia="Times New Roman"/>
                <w:b/>
                <w:sz w:val="15"/>
              </w:rPr>
              <w:t>Role in this study</w:t>
            </w:r>
          </w:p>
        </w:tc>
        <w:tc>
          <w:tcPr>
            <w:tcW w:type="dxa" w:w="2972"/>
            <w:tcMar>
              <w:top w:w="80" w:type="dxa"/>
              <w:start w:w="120" w:type="dxa"/>
              <w:bottom w:w="80" w:type="dxa"/>
              <w:end w:w="120" w:type="dxa"/>
            </w:tcMar>
            <w:vAlign w:val="center"/>
            <w:shd w:fill="F2F4F7"/>
          </w:tcPr>
          <w:p>
            <w:pPr>
              <w:spacing w:before="0" w:after="0" w:line="240" w:lineRule="auto"/>
              <w:jc w:val="center"/>
            </w:pPr>
            <w:r>
              <w:rPr>
                <w:rFonts w:ascii="Times New Roman" w:hAnsi="Times New Roman" w:eastAsia="Times New Roman"/>
                <w:b/>
                <w:sz w:val="15"/>
              </w:rPr>
              <w:t>Torque labels used for fitting or selection?</w:t>
            </w:r>
          </w:p>
        </w:tc>
      </w:tr>
      <w:tr>
        <w:tc>
          <w:tcPr>
            <w:tcW w:type="dxa" w:w="1935"/>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b w:val="0"/>
                <w:sz w:val="15"/>
              </w:rPr>
              <w:t>train_test, first 1,800</w:t>
            </w:r>
          </w:p>
        </w:tc>
        <w:tc>
          <w:tcPr>
            <w:tcW w:type="dxa" w:w="2030"/>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1,200 fit + 600 calibration</w:t>
            </w:r>
          </w:p>
        </w:tc>
        <w:tc>
          <w:tcPr>
            <w:tcW w:type="dxa" w:w="2423"/>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source-like fit and split-conformal calibration</w:t>
            </w:r>
          </w:p>
        </w:tc>
        <w:tc>
          <w:tcPr>
            <w:tcW w:type="dxa" w:w="2972"/>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fit labels only select/fix the surrogate; calibration labels only set band quantiles</w:t>
            </w:r>
          </w:p>
        </w:tc>
      </w:tr>
      <w:tr>
        <w:tc>
          <w:tcPr>
            <w:tcW w:type="dxa" w:w="1935"/>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b w:val="0"/>
                <w:sz w:val="15"/>
              </w:rPr>
              <w:t>train_test, final 200</w:t>
            </w:r>
          </w:p>
        </w:tc>
        <w:tc>
          <w:tcPr>
            <w:tcW w:type="dxa" w:w="2030"/>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200</w:t>
            </w:r>
          </w:p>
        </w:tc>
        <w:tc>
          <w:tcPr>
            <w:tcW w:type="dxa" w:w="2423"/>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fixed internal evaluation</w:t>
            </w:r>
          </w:p>
        </w:tc>
        <w:tc>
          <w:tcPr>
            <w:tcW w:type="dxa" w:w="2972"/>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no</w:t>
            </w:r>
          </w:p>
        </w:tc>
      </w:tr>
      <w:tr>
        <w:tc>
          <w:tcPr>
            <w:tcW w:type="dxa" w:w="1935"/>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b w:val="0"/>
                <w:sz w:val="15"/>
              </w:rPr>
              <w:t>uq_uniform</w:t>
            </w:r>
          </w:p>
        </w:tc>
        <w:tc>
          <w:tcPr>
            <w:tcW w:type="dxa" w:w="2030"/>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11,250</w:t>
            </w:r>
          </w:p>
        </w:tc>
        <w:tc>
          <w:tcPr>
            <w:tcW w:type="dxa" w:w="2423"/>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large uniform evaluation</w:t>
            </w:r>
          </w:p>
        </w:tc>
        <w:tc>
          <w:tcPr>
            <w:tcW w:type="dxa" w:w="2972"/>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no</w:t>
            </w:r>
          </w:p>
        </w:tc>
      </w:tr>
      <w:tr>
        <w:tc>
          <w:tcPr>
            <w:tcW w:type="dxa" w:w="1935"/>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b w:val="0"/>
                <w:sz w:val="15"/>
              </w:rPr>
              <w:t>uq_gauss</w:t>
            </w:r>
          </w:p>
        </w:tc>
        <w:tc>
          <w:tcPr>
            <w:tcW w:type="dxa" w:w="2030"/>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10,000</w:t>
            </w:r>
          </w:p>
        </w:tc>
        <w:tc>
          <w:tcPr>
            <w:tcW w:type="dxa" w:w="2423"/>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Gaussian density-shift evaluation</w:t>
            </w:r>
          </w:p>
        </w:tc>
        <w:tc>
          <w:tcPr>
            <w:tcW w:type="dxa" w:w="2972"/>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no</w:t>
            </w:r>
          </w:p>
        </w:tc>
      </w:tr>
    </w:tbl>
    <w:p>
      <w:pPr>
        <w:spacing w:after="20"/>
      </w:pPr>
    </w:p>
    <w:p>
      <w:pPr>
        <w:pStyle w:val="PaperCaption"/>
      </w:pPr>
      <w:r>
        <w:rPr>
          <w:rFonts w:ascii="Times New Roman" w:hAnsi="Times New Roman" w:eastAsia="Times New Roman"/>
          <w:b/>
          <w:sz w:val="21"/>
        </w:rPr>
        <w:t>Table 1.</w:t>
      </w:r>
      <w:r>
        <w:rPr>
          <w:rFonts w:ascii="Times New Roman" w:hAnsi="Times New Roman" w:eastAsia="Times New Roman"/>
          <w:sz w:val="21"/>
        </w:rPr>
        <w:t xml:space="preserve"> Frozen data roles. Each row is a distinct simulated geometry from the same high-fidelity PMSM model.</w:t>
      </w:r>
    </w:p>
    <w:p>
      <w:r>
        <w:rPr>
          <w:rFonts w:ascii="Times New Roman" w:hAnsi="Times New Roman" w:eastAsia="Times New Roman"/>
          <w:sz w:val="21"/>
        </w:rPr>
        <w:t>The source uniform distribution samples the 20 parameters independently within their listed ranges. The Gaussian table instead fixes each mean at the middle of its parameter range and adds independent zero-mean Gaussian noise with standard deviation equal to 1% of that nominal value [1]. It is therefore a narrow, central target distribution, not an extrapolation beyond the design box.</w:t>
      </w:r>
    </w:p>
    <w:p>
      <w:pPr>
        <w:pStyle w:val="Heading2"/>
      </w:pPr>
      <w:r>
        <w:rPr>
          <w:rFonts w:ascii="Times New Roman" w:hAnsi="Times New Roman" w:eastAsia="Times New Roman"/>
          <w:sz w:val="21"/>
        </w:rPr>
        <w:t>3.3 Integrity audit</w:t>
      </w:r>
    </w:p>
    <w:p>
      <w:r>
        <w:rPr>
          <w:rFonts w:ascii="Times New Roman" w:hAnsi="Times New Roman" w:eastAsia="Times New Roman"/>
          <w:sz w:val="21"/>
        </w:rPr>
        <w:t>The six parameter/torque files contained 23,250 aligned designs, exactly matching the published table sizes. All values were finite. There were no duplicate parameter rows, no duplicate torque rows, and no exact parameter overlap between published tables. Each torque file had the same 120-point angle grid. File hashes, dimensions, parameter summaries, and cross-table overlap tests were frozen before modeling. These checks establish row alignment and absence of exact reuse; they do not establish physical fidelity beyond the source simulator.</w:t>
      </w:r>
    </w:p>
    <w:p>
      <w:pPr>
        <w:pStyle w:val="Heading1"/>
      </w:pPr>
      <w:r>
        <w:rPr>
          <w:rFonts w:ascii="Times New Roman" w:hAnsi="Times New Roman" w:eastAsia="Times New Roman"/>
          <w:sz w:val="21"/>
        </w:rPr>
        <w:t>4. Methods</w:t>
      </w:r>
    </w:p>
    <w:p>
      <w:pPr>
        <w:pStyle w:val="Heading2"/>
      </w:pPr>
      <w:r>
        <w:rPr>
          <w:rFonts w:ascii="Times New Roman" w:hAnsi="Times New Roman" w:eastAsia="Times New Roman"/>
          <w:sz w:val="21"/>
        </w:rPr>
        <w:t>4.1 Fourier-reduced response surfaces</w:t>
      </w:r>
    </w:p>
    <w:p>
      <w:r>
        <w:rPr>
          <w:rFonts w:ascii="Times New Roman" w:hAnsi="Times New Roman" w:eastAsia="Times New Roman"/>
          <w:sz w:val="21"/>
        </w:rPr>
        <w:t xml:space="preserve">For geometry vector </w:t>
      </w:r>
      <w:r>
        <w:rPr>
          <w:rFonts w:ascii="Cambria Math" w:hAnsi="Cambria Math" w:eastAsia="Cambria Math"/>
          <w:i/>
          <w:sz w:val="21"/>
        </w:rPr>
        <w:t>x in ℝ^20</w:t>
      </w:r>
      <w:r>
        <w:rPr>
          <w:rFonts w:ascii="Times New Roman" w:hAnsi="Times New Roman" w:eastAsia="Times New Roman"/>
          <w:sz w:val="21"/>
        </w:rPr>
        <w:t xml:space="preserve">, let </w:t>
      </w:r>
      <w:r>
        <w:rPr>
          <w:rFonts w:ascii="Cambria Math" w:hAnsi="Cambria Math" w:eastAsia="Cambria Math"/>
          <w:i/>
          <w:sz w:val="21"/>
        </w:rPr>
        <w:t>y(x)=(y_0(x),…,y_119(x))</w:t>
      </w:r>
      <w:r>
        <w:rPr>
          <w:rFonts w:ascii="Times New Roman" w:hAnsi="Times New Roman" w:eastAsia="Times New Roman"/>
          <w:sz w:val="21"/>
        </w:rPr>
        <w:t xml:space="preserve"> denote the torque curve. We apply the real DFT and retain the first 11 complex-frequency components selected by the source study. After separating real and imaginary parts, the response surface predicts a 21-dimensional real vector. The inverse transform reconstructs </w:t>
      </w:r>
      <w:r>
        <w:rPr>
          <w:rFonts w:ascii="Cambria Math" w:hAnsi="Cambria Math" w:eastAsia="Cambria Math"/>
          <w:i/>
          <w:sz w:val="21"/>
        </w:rPr>
        <w:t>ŷ(x)</w:t>
      </w:r>
      <w:r>
        <w:rPr>
          <w:rFonts w:ascii="Times New Roman" w:hAnsi="Times New Roman" w:eastAsia="Times New Roman"/>
          <w:sz w:val="21"/>
        </w:rPr>
        <w:t xml:space="preserve"> on all 120 angles.</w:t>
      </w:r>
    </w:p>
    <w:p>
      <w:r>
        <w:rPr>
          <w:rFonts w:ascii="Times New Roman" w:hAnsi="Times New Roman" w:eastAsia="Times New Roman"/>
          <w:sz w:val="21"/>
        </w:rPr>
        <w:t xml:space="preserve">The primary predictor is an anisotropic Gaussian process with a shared automatic-relevance- determination (ARD) radial-basis kernel across the 21 outputs. Inputs are normalized using the fit sample; outputs are standardized internally. The 20 length scales are optimized by fit-only log marginal likelihood with bounds 0.03 to 10 in normalized input coordinates, a fixed numerical noise term of </w:t>
      </w:r>
      <w:r>
        <w:rPr>
          <w:rFonts w:ascii="Cambria Math" w:hAnsi="Cambria Math" w:eastAsia="Cambria Math"/>
          <w:i/>
          <w:sz w:val="21"/>
        </w:rPr>
        <w:t>10^-8</w:t>
      </w:r>
      <w:r>
        <w:rPr>
          <w:rFonts w:ascii="Times New Roman" w:hAnsi="Times New Roman" w:eastAsia="Times New Roman"/>
          <w:sz w:val="21"/>
        </w:rPr>
        <w:t>, and no optimizer restarts. This is a source-style comparator, not an exact reproduction. The source study fitted output coordinates independently and optimized an ellipsoidal Gaussian covariance using CMA-ES [1].</w:t>
      </w:r>
    </w:p>
    <w:p>
      <w:r>
        <w:rPr>
          <w:rFonts w:ascii="Times New Roman" w:hAnsi="Times New Roman" w:eastAsia="Times New Roman"/>
          <w:sz w:val="21"/>
        </w:rPr>
        <w:t>Three additional Fourier-11 response surfaces test whether conformal behaviour is tied to one regressor: degree-two polynomial ridge regression, RBF kernel ridge regression, and Extra Trees. Their settings are selected by three-fold cross-validation restricted to the 1,200 fit designs. Calibration and evaluation torque labels never choose a regressor or hyperparameter.</w:t>
      </w:r>
    </w:p>
    <w:p>
      <w:pPr>
        <w:pStyle w:val="Heading2"/>
      </w:pPr>
      <w:r>
        <w:rPr>
          <w:rFonts w:ascii="Times New Roman" w:hAnsi="Times New Roman" w:eastAsia="Times New Roman"/>
          <w:sz w:val="21"/>
        </w:rPr>
        <w:t>4.2 Global simultaneous split-conformal band</w:t>
      </w:r>
    </w:p>
    <w:p>
      <w:r>
        <w:rPr>
          <w:rFonts w:ascii="Times New Roman" w:hAnsi="Times New Roman" w:eastAsia="Times New Roman"/>
          <w:sz w:val="21"/>
        </w:rPr>
        <w:t xml:space="preserve">For calibration design </w:t>
      </w:r>
      <w:r>
        <w:rPr>
          <w:rFonts w:ascii="Cambria Math" w:hAnsi="Cambria Math" w:eastAsia="Cambria Math"/>
          <w:i/>
          <w:sz w:val="21"/>
        </w:rPr>
        <w:t>i</w:t>
      </w:r>
      <w:r>
        <w:rPr>
          <w:rFonts w:ascii="Times New Roman" w:hAnsi="Times New Roman" w:eastAsia="Times New Roman"/>
          <w:sz w:val="21"/>
        </w:rPr>
        <w:t>, define the nonconformity score</w:t>
      </w:r>
    </w:p>
    <w:p>
      <w:pPr>
        <w:spacing w:before="80" w:after="120"/>
        <w:jc w:val="center"/>
      </w:pPr>
      <w:r>
        <w:rPr>
          <w:rFonts w:ascii="Cambria Math" w:hAnsi="Cambria Math" w:eastAsia="Cambria Math"/>
          <w:sz w:val="21"/>
        </w:rPr>
        <w:t>sᵢ = max(j in {0,…,119}) |yᵢⱼ − ŷᵢⱼ|</w:t>
      </w:r>
    </w:p>
    <w:p>
      <w:r>
        <w:rPr>
          <w:rFonts w:ascii="Times New Roman" w:hAnsi="Times New Roman" w:eastAsia="Times New Roman"/>
          <w:sz w:val="21"/>
        </w:rPr>
        <w:t xml:space="preserve">This maximum is the key endpoint: a design is covered only if all 120 angles are inside the band. With </w:t>
      </w:r>
      <w:r>
        <w:rPr>
          <w:rFonts w:ascii="Cambria Math" w:hAnsi="Cambria Math" w:eastAsia="Cambria Math"/>
          <w:i/>
          <w:sz w:val="21"/>
        </w:rPr>
        <w:t>n_cal=600</w:t>
      </w:r>
      <w:r>
        <w:rPr>
          <w:rFonts w:ascii="Times New Roman" w:hAnsi="Times New Roman" w:eastAsia="Times New Roman"/>
          <w:sz w:val="21"/>
        </w:rPr>
        <w:t xml:space="preserve">, miscoverage </w:t>
      </w:r>
      <w:r>
        <w:rPr>
          <w:rFonts w:ascii="Cambria Math" w:hAnsi="Cambria Math" w:eastAsia="Cambria Math"/>
          <w:i/>
          <w:sz w:val="21"/>
        </w:rPr>
        <w:t>α</w:t>
      </w:r>
      <w:r>
        <w:rPr>
          <w:rFonts w:ascii="Times New Roman" w:hAnsi="Times New Roman" w:eastAsia="Times New Roman"/>
          <w:sz w:val="21"/>
        </w:rPr>
        <w:t>, and sorted calibration scores, the finite-sample split-conformal quantile is</w:t>
      </w:r>
    </w:p>
    <w:p>
      <w:pPr>
        <w:spacing w:before="80" w:after="120"/>
        <w:jc w:val="center"/>
      </w:pPr>
      <w:r>
        <w:rPr>
          <w:rFonts w:ascii="Cambria Math" w:hAnsi="Cambria Math" w:eastAsia="Cambria Math"/>
          <w:sz w:val="21"/>
        </w:rPr>
        <w:t>q(α) = s₍ₖ₎,    k = ceil[(ncal + 1)(1 − α)]</w:t>
      </w:r>
    </w:p>
    <w:p>
      <w:r>
        <w:rPr>
          <w:rFonts w:ascii="Times New Roman" w:hAnsi="Times New Roman" w:eastAsia="Times New Roman"/>
          <w:sz w:val="21"/>
        </w:rPr>
        <w:t xml:space="preserve">Thus </w:t>
      </w:r>
      <w:r>
        <w:rPr>
          <w:rFonts w:ascii="Cambria Math" w:hAnsi="Cambria Math" w:eastAsia="Cambria Math"/>
          <w:i/>
          <w:sz w:val="21"/>
        </w:rPr>
        <w:t>k=541</w:t>
      </w:r>
      <w:r>
        <w:rPr>
          <w:rFonts w:ascii="Times New Roman" w:hAnsi="Times New Roman" w:eastAsia="Times New Roman"/>
          <w:sz w:val="21"/>
        </w:rPr>
        <w:t xml:space="preserve"> for </w:t>
      </w:r>
      <w:r>
        <w:rPr>
          <w:rFonts w:ascii="Cambria Math" w:hAnsi="Cambria Math" w:eastAsia="Cambria Math"/>
          <w:i/>
          <w:sz w:val="21"/>
        </w:rPr>
        <w:t>α=0.10</w:t>
      </w:r>
      <w:r>
        <w:rPr>
          <w:rFonts w:ascii="Times New Roman" w:hAnsi="Times New Roman" w:eastAsia="Times New Roman"/>
          <w:sz w:val="21"/>
        </w:rPr>
        <w:t xml:space="preserve">, and </w:t>
      </w:r>
      <w:r>
        <w:rPr>
          <w:rFonts w:ascii="Cambria Math" w:hAnsi="Cambria Math" w:eastAsia="Cambria Math"/>
          <w:i/>
          <w:sz w:val="21"/>
        </w:rPr>
        <w:t>k=571</w:t>
      </w:r>
      <w:r>
        <w:rPr>
          <w:rFonts w:ascii="Times New Roman" w:hAnsi="Times New Roman" w:eastAsia="Times New Roman"/>
          <w:sz w:val="21"/>
        </w:rPr>
        <w:t xml:space="preserve"> for </w:t>
      </w:r>
      <w:r>
        <w:rPr>
          <w:rFonts w:ascii="Cambria Math" w:hAnsi="Cambria Math" w:eastAsia="Cambria Math"/>
          <w:i/>
          <w:sz w:val="21"/>
        </w:rPr>
        <w:t>α=0.05</w:t>
      </w:r>
      <w:r>
        <w:rPr>
          <w:rFonts w:ascii="Times New Roman" w:hAnsi="Times New Roman" w:eastAsia="Times New Roman"/>
          <w:sz w:val="21"/>
        </w:rPr>
        <w:t>. The global band is</w:t>
      </w:r>
    </w:p>
    <w:p>
      <w:pPr>
        <w:spacing w:before="80" w:after="120"/>
        <w:jc w:val="center"/>
      </w:pPr>
      <w:r>
        <w:rPr>
          <w:rFonts w:ascii="Cambria Math" w:hAnsi="Cambria Math" w:eastAsia="Cambria Math"/>
          <w:sz w:val="21"/>
        </w:rPr>
        <w:t>Cglobal(x,j) = [ŷⱼ(x) − q(α), ŷⱼ(x) + q(α)],    j = 0,…,119</w:t>
      </w:r>
    </w:p>
    <w:p>
      <w:r>
        <w:rPr>
          <w:rFonts w:ascii="Times New Roman" w:hAnsi="Times New Roman" w:eastAsia="Times New Roman"/>
          <w:sz w:val="21"/>
        </w:rPr>
        <w:t xml:space="preserve">Under exchangeability of calibration and test designs, the complete curve has marginal coverage of at least approximately </w:t>
      </w:r>
      <w:r>
        <w:rPr>
          <w:rFonts w:ascii="Cambria Math" w:hAnsi="Cambria Math" w:eastAsia="Cambria Math"/>
          <w:i/>
          <w:sz w:val="21"/>
        </w:rPr>
        <w:t>1-α</w:t>
      </w:r>
      <w:r>
        <w:rPr>
          <w:rFonts w:ascii="Times New Roman" w:hAnsi="Times New Roman" w:eastAsia="Times New Roman"/>
          <w:sz w:val="21"/>
        </w:rPr>
        <w:t>, up to the standard finite-sample conformal granularity. The guarantee is marginal over designs, not conditional at every geometry.</w:t>
      </w:r>
    </w:p>
    <w:p>
      <w:pPr>
        <w:pStyle w:val="Heading2"/>
      </w:pPr>
      <w:r>
        <w:rPr>
          <w:rFonts w:ascii="Times New Roman" w:hAnsi="Times New Roman" w:eastAsia="Times New Roman"/>
          <w:sz w:val="21"/>
        </w:rPr>
        <w:t>4.3 Geometry-scaled simultaneous band</w:t>
      </w:r>
    </w:p>
    <w:p>
      <w:r>
        <w:rPr>
          <w:rFonts w:ascii="Times New Roman" w:hAnsi="Times New Roman" w:eastAsia="Times New Roman"/>
          <w:sz w:val="21"/>
        </w:rPr>
        <w:t xml:space="preserve">The global band spends equal half-width everywhere. To allow more width where fit geometries are sparse, we construct a label-free scale. All 20 parameters are mapped to the unit ranges defined by the 1,800-row development table. Let </w:t>
      </w:r>
      <w:r>
        <w:rPr>
          <w:rFonts w:ascii="Cambria Math" w:hAnsi="Cambria Math" w:eastAsia="Cambria Math"/>
          <w:i/>
          <w:sz w:val="21"/>
        </w:rPr>
        <w:t>d_5(x;X_fit)</w:t>
      </w:r>
      <w:r>
        <w:rPr>
          <w:rFonts w:ascii="Times New Roman" w:hAnsi="Times New Roman" w:eastAsia="Times New Roman"/>
          <w:sz w:val="21"/>
        </w:rPr>
        <w:t xml:space="preserve"> be the Euclidean distance to the fifth-nearest fit design. Let </w:t>
      </w:r>
      <w:r>
        <w:rPr>
          <w:rFonts w:ascii="Cambria Math" w:hAnsi="Cambria Math" w:eastAsia="Cambria Math"/>
          <w:i/>
          <w:sz w:val="21"/>
        </w:rPr>
        <w:t>m_5</w:t>
      </w:r>
      <w:r>
        <w:rPr>
          <w:rFonts w:ascii="Times New Roman" w:hAnsi="Times New Roman" w:eastAsia="Times New Roman"/>
          <w:sz w:val="21"/>
        </w:rPr>
        <w:t xml:space="preserve"> be the median leave-one-out fifth-neighbour distance among fit designs. The scale is</w:t>
      </w:r>
    </w:p>
    <w:p>
      <w:pPr>
        <w:spacing w:before="80" w:after="120"/>
        <w:jc w:val="center"/>
      </w:pPr>
      <w:r>
        <w:rPr>
          <w:rFonts w:ascii="Cambria Math" w:hAnsi="Cambria Math" w:eastAsia="Cambria Math"/>
          <w:sz w:val="21"/>
        </w:rPr>
        <w:t>g(x) = max{0.25, d₅(x; Xfit) / m₅}</w:t>
      </w:r>
    </w:p>
    <w:p>
      <w:r>
        <w:rPr>
          <w:rFonts w:ascii="Times New Roman" w:hAnsi="Times New Roman" w:eastAsia="Times New Roman"/>
          <w:sz w:val="21"/>
        </w:rPr>
        <w:t xml:space="preserve">Calibration scores become </w:t>
      </w:r>
      <w:r>
        <w:rPr>
          <w:rFonts w:ascii="Cambria Math" w:hAnsi="Cambria Math" w:eastAsia="Cambria Math"/>
          <w:i/>
          <w:sz w:val="21"/>
        </w:rPr>
        <w:t>r_i=s_i/g(x_i)</w:t>
      </w:r>
      <w:r>
        <w:rPr>
          <w:rFonts w:ascii="Times New Roman" w:hAnsi="Times New Roman" w:eastAsia="Times New Roman"/>
          <w:sz w:val="21"/>
        </w:rPr>
        <w:t xml:space="preserve">; their conformal quantile </w:t>
      </w:r>
      <w:r>
        <w:rPr>
          <w:rFonts w:ascii="Cambria Math" w:hAnsi="Cambria Math" w:eastAsia="Cambria Math"/>
          <w:i/>
          <w:sz w:val="21"/>
        </w:rPr>
        <w:t>q^g_α</w:t>
      </w:r>
      <w:r>
        <w:rPr>
          <w:rFonts w:ascii="Times New Roman" w:hAnsi="Times New Roman" w:eastAsia="Times New Roman"/>
          <w:sz w:val="21"/>
        </w:rPr>
        <w:t xml:space="preserve"> defines</w:t>
      </w:r>
    </w:p>
    <w:p>
      <w:pPr>
        <w:spacing w:before="80" w:after="120"/>
        <w:jc w:val="center"/>
      </w:pPr>
      <w:r>
        <w:rPr>
          <w:rFonts w:ascii="Cambria Math" w:hAnsi="Cambria Math" w:eastAsia="Cambria Math"/>
          <w:sz w:val="21"/>
        </w:rPr>
        <w:t>Cscaled(x,j) = [ŷⱼ(x) − qᵍ(α)g(x), ŷⱼ(x) + qᵍ(α)g(x)]</w:t>
      </w:r>
    </w:p>
    <w:p>
      <w:r>
        <w:rPr>
          <w:rFonts w:ascii="Times New Roman" w:hAnsi="Times New Roman" w:eastAsia="Times New Roman"/>
          <w:sz w:val="21"/>
        </w:rPr>
        <w:t xml:space="preserve">Because </w:t>
      </w:r>
      <w:r>
        <w:rPr>
          <w:rFonts w:ascii="Cambria Math" w:hAnsi="Cambria Math" w:eastAsia="Cambria Math"/>
          <w:i/>
          <w:sz w:val="21"/>
        </w:rPr>
        <w:t>g</w:t>
      </w:r>
      <w:r>
        <w:rPr>
          <w:rFonts w:ascii="Times New Roman" w:hAnsi="Times New Roman" w:eastAsia="Times New Roman"/>
          <w:sz w:val="21"/>
        </w:rPr>
        <w:t xml:space="preserve"> is fixed from input geometries without using calibration torque labels, the ordinary split-conformal argument remains applicable for exchangeable designs. The scale does not create conditional-coverage guarantees and is not claimed to correct arbitrary distribution shift.</w:t>
      </w:r>
    </w:p>
    <w:p>
      <w:pPr>
        <w:pStyle w:val="Heading2"/>
      </w:pPr>
      <w:r>
        <w:rPr>
          <w:rFonts w:ascii="Times New Roman" w:hAnsi="Times New Roman" w:eastAsia="Times New Roman"/>
          <w:sz w:val="21"/>
        </w:rPr>
        <w:t>4.4 Geometry-only support warning</w:t>
      </w:r>
    </w:p>
    <w:p>
      <w:r>
        <w:rPr>
          <w:rFonts w:ascii="Times New Roman" w:hAnsi="Times New Roman" w:eastAsia="Times New Roman"/>
          <w:sz w:val="21"/>
        </w:rPr>
        <w:t xml:space="preserve">The fifth-neighbour distances of the 600 calibration geometries form a reference distribution. An evaluation geometry with distance </w:t>
      </w:r>
      <w:r>
        <w:rPr>
          <w:rFonts w:ascii="Cambria Math" w:hAnsi="Cambria Math" w:eastAsia="Cambria Math"/>
          <w:i/>
          <w:sz w:val="21"/>
        </w:rPr>
        <w:t>d_*</w:t>
      </w:r>
      <w:r>
        <w:rPr>
          <w:rFonts w:ascii="Times New Roman" w:hAnsi="Times New Roman" w:eastAsia="Times New Roman"/>
          <w:sz w:val="21"/>
        </w:rPr>
        <w:t xml:space="preserve"> receives the upper-tail p-value</w:t>
      </w:r>
    </w:p>
    <w:p>
      <w:pPr>
        <w:spacing w:before="80" w:after="120"/>
        <w:jc w:val="center"/>
      </w:pPr>
      <w:r>
        <w:rPr>
          <w:rFonts w:ascii="Cambria Math" w:hAnsi="Cambria Math" w:eastAsia="Cambria Math"/>
          <w:sz w:val="21"/>
        </w:rPr>
        <w:t>psupport(x*) = [1 + Σᵢ₌₁⁶⁰⁰ 1{dᵢ ≥ d*}] / 601</w:t>
      </w:r>
    </w:p>
    <w:p>
      <w:r>
        <w:rPr>
          <w:rFonts w:ascii="Times New Roman" w:hAnsi="Times New Roman" w:eastAsia="Times New Roman"/>
          <w:sz w:val="21"/>
        </w:rPr>
        <w:t xml:space="preserve">We flag </w:t>
      </w:r>
      <w:r>
        <w:rPr>
          <w:rFonts w:ascii="Cambria Math" w:hAnsi="Cambria Math" w:eastAsia="Cambria Math"/>
          <w:i/>
          <w:sz w:val="21"/>
        </w:rPr>
        <w:t>p_support&lt;0.05</w:t>
      </w:r>
      <w:r>
        <w:rPr>
          <w:rFonts w:ascii="Times New Roman" w:hAnsi="Times New Roman" w:eastAsia="Times New Roman"/>
          <w:sz w:val="21"/>
        </w:rPr>
        <w:t>. The warning is deliberately independent of torque labels. It detects geometries unusually far from the fit sample, not changes in probability density inside the sampled support. Coverage restricted to accepted designs is descriptive because selection changes the population.</w:t>
      </w:r>
    </w:p>
    <w:p>
      <w:pPr>
        <w:pStyle w:val="Heading2"/>
      </w:pPr>
      <w:r>
        <w:rPr>
          <w:rFonts w:ascii="Times New Roman" w:hAnsi="Times New Roman" w:eastAsia="Times New Roman"/>
          <w:sz w:val="21"/>
        </w:rPr>
        <w:t>4.5 Post-primary estimated weighted-conformal diagnostic</w:t>
      </w:r>
    </w:p>
    <w:p>
      <w:r>
        <w:rPr>
          <w:rFonts w:ascii="Times New Roman" w:hAnsi="Times New Roman" w:eastAsia="Times New Roman"/>
          <w:sz w:val="21"/>
        </w:rPr>
        <w:t xml:space="preserve">To assess whether likelihood-ratio correction is practically available, each target parameter table is split deterministically in half. One half supplies unlabeled target geometries for density-ratio fitting; the other half evaluates bands. A balanced quadratic logistic domain classifier separates 1,200 source-fit geometries from target geometries. Regularization is selected by three-fold domain-label log loss using no target torque. Its odds estimate the target/source density ratio </w:t>
      </w:r>
      <w:r>
        <w:rPr>
          <w:rFonts w:ascii="Cambria Math" w:hAnsi="Cambria Math" w:eastAsia="Cambria Math"/>
          <w:i/>
          <w:sz w:val="21"/>
        </w:rPr>
        <w:t>w(x)</w:t>
      </w:r>
      <w:r>
        <w:rPr>
          <w:rFonts w:ascii="Times New Roman" w:hAnsi="Times New Roman" w:eastAsia="Times New Roman"/>
          <w:sz w:val="21"/>
        </w:rPr>
        <w:t>.</w:t>
      </w:r>
    </w:p>
    <w:p>
      <w:r>
        <w:rPr>
          <w:rFonts w:ascii="Times New Roman" w:hAnsi="Times New Roman" w:eastAsia="Times New Roman"/>
          <w:sz w:val="21"/>
        </w:rPr>
        <w:t xml:space="preserve">The weighted calibration distribution places mass proportional to </w:t>
      </w:r>
      <w:r>
        <w:rPr>
          <w:rFonts w:ascii="Cambria Math" w:hAnsi="Cambria Math" w:eastAsia="Cambria Math"/>
          <w:i/>
          <w:sz w:val="21"/>
        </w:rPr>
        <w:t>w(x_i)</w:t>
      </w:r>
      <w:r>
        <w:rPr>
          <w:rFonts w:ascii="Times New Roman" w:hAnsi="Times New Roman" w:eastAsia="Times New Roman"/>
          <w:sz w:val="21"/>
        </w:rPr>
        <w:t xml:space="preserve"> on each source calibration score and mass proportional to </w:t>
      </w:r>
      <w:r>
        <w:rPr>
          <w:rFonts w:ascii="Cambria Math" w:hAnsi="Cambria Math" w:eastAsia="Cambria Math"/>
          <w:i/>
          <w:sz w:val="21"/>
        </w:rPr>
        <w:t>w(x_*)</w:t>
      </w:r>
      <w:r>
        <w:rPr>
          <w:rFonts w:ascii="Times New Roman" w:hAnsi="Times New Roman" w:eastAsia="Times New Roman"/>
          <w:sz w:val="21"/>
        </w:rPr>
        <w:t xml:space="preserve"> at positive infinity for the test point, following weighted conformal prediction [10]. A band is finite only if the desired weighted quantile occurs before the infinite test mass. Infinite bands are counted as vacuous and are never clipped. We report held-out domain AUC, calibration-weight effective sample size</w:t>
      </w:r>
    </w:p>
    <w:p>
      <w:pPr>
        <w:spacing w:before="80" w:after="120"/>
        <w:jc w:val="center"/>
      </w:pPr>
      <w:r>
        <w:rPr>
          <w:rFonts w:ascii="Cambria Math" w:hAnsi="Cambria Math" w:eastAsia="Cambria Math"/>
          <w:sz w:val="21"/>
        </w:rPr>
        <w:t>ESS = (Σᵢ wᵢ)² / Σᵢ wᵢ²</w:t>
      </w:r>
    </w:p>
    <w:p>
      <w:r>
        <w:rPr>
          <w:rFonts w:ascii="Times New Roman" w:hAnsi="Times New Roman" w:eastAsia="Times New Roman"/>
          <w:sz w:val="21"/>
        </w:rPr>
        <w:t>maximum normalized calibration weight, finite-band rate, coverage including vacuous bands, and finite-band width. Because the ratio is estimated, exact target-shift validity is not claimed. Moreover, this diagnostic was designed after seeing primary aggregate results and uses the degree-two ridge surrogate; it cannot retroactively validate the primary analysis.</w:t>
      </w:r>
    </w:p>
    <w:p>
      <w:pPr>
        <w:pStyle w:val="Heading2"/>
      </w:pPr>
      <w:r>
        <w:rPr>
          <w:rFonts w:ascii="Times New Roman" w:hAnsi="Times New Roman" w:eastAsia="Times New Roman"/>
          <w:sz w:val="21"/>
        </w:rPr>
        <w:t>4.6 Endpoints and uncertainty summaries</w:t>
      </w:r>
    </w:p>
    <w:p>
      <w:r>
        <w:rPr>
          <w:rFonts w:ascii="Times New Roman" w:hAnsi="Times New Roman" w:eastAsia="Times New Roman"/>
          <w:sz w:val="21"/>
        </w:rPr>
        <w:t xml:space="preserve">The primary miscoverage is </w:t>
      </w:r>
      <w:r>
        <w:rPr>
          <w:rFonts w:ascii="Cambria Math" w:hAnsi="Cambria Math" w:eastAsia="Cambria Math"/>
          <w:i/>
          <w:sz w:val="21"/>
        </w:rPr>
        <w:t>α=0.10</w:t>
      </w:r>
      <w:r>
        <w:rPr>
          <w:rFonts w:ascii="Times New Roman" w:hAnsi="Times New Roman" w:eastAsia="Times New Roman"/>
          <w:sz w:val="21"/>
        </w:rPr>
        <w:t xml:space="preserve">; </w:t>
      </w:r>
      <w:r>
        <w:rPr>
          <w:rFonts w:ascii="Cambria Math" w:hAnsi="Cambria Math" w:eastAsia="Cambria Math"/>
          <w:i/>
          <w:sz w:val="21"/>
        </w:rPr>
        <w:t>α=0.05</w:t>
      </w:r>
      <w:r>
        <w:rPr>
          <w:rFonts w:ascii="Times New Roman" w:hAnsi="Times New Roman" w:eastAsia="Times New Roman"/>
          <w:sz w:val="21"/>
        </w:rPr>
        <w:t xml:space="preserve"> is a sensitivity analysis. Reported endpoints are full-curve coverage, 95% Wilson intervals over independently simulated design rows, mean and 90th-percentile half-width, waveform MAE/RMSE/MAPE, mean-torque MAE, peak-to-peak torque-ripple MAE, support rejection, accepted-set coverage, and coverage by geometry-distance quintile. All archive torque values are positive, so MAPE has no near-zero-denominator exclusion. Wilson intervals quantify binomial variation across the released simulated designs; they do not represent variation across physical machines or independent simulators.</w:t>
      </w:r>
    </w:p>
    <w:p>
      <w:pPr>
        <w:keepNext/>
        <w:spacing w:before="100" w:after="0"/>
        <w:jc w:val="center"/>
      </w:pPr>
      <w:r>
        <w:drawing>
          <wp:inline xmlns:a="http://schemas.openxmlformats.org/drawingml/2006/main" xmlns:pic="http://schemas.openxmlformats.org/drawingml/2006/picture">
            <wp:extent cx="5806440" cy="2630237"/>
            <wp:docPr id="1" name="Picture 1" descr="Frozen data separation, model fitting, conformal calibration, evaluation, and post-primary density-ratio diagnostic. Dashed elements were added after the primary aggregate results were observed."/>
            <wp:cNvGraphicFramePr>
              <a:graphicFrameLocks noChangeAspect="1"/>
            </wp:cNvGraphicFramePr>
            <a:graphic>
              <a:graphicData uri="http://schemas.openxmlformats.org/drawingml/2006/picture">
                <pic:pic>
                  <pic:nvPicPr>
                    <pic:cNvPr id="0" name="paper2_protocol_workflow.png"/>
                    <pic:cNvPicPr/>
                  </pic:nvPicPr>
                  <pic:blipFill>
                    <a:blip r:embed="rId11"/>
                    <a:stretch>
                      <a:fillRect/>
                    </a:stretch>
                  </pic:blipFill>
                  <pic:spPr>
                    <a:xfrm>
                      <a:off x="0" y="0"/>
                      <a:ext cx="5806440" cy="2630237"/>
                    </a:xfrm>
                    <a:prstGeom prst="rect"/>
                  </pic:spPr>
                </pic:pic>
              </a:graphicData>
            </a:graphic>
          </wp:inline>
        </w:drawing>
      </w:r>
    </w:p>
    <w:p>
      <w:pPr>
        <w:pStyle w:val="PaperCaption"/>
      </w:pPr>
      <w:r>
        <w:rPr>
          <w:rFonts w:ascii="Times New Roman" w:hAnsi="Times New Roman" w:eastAsia="Times New Roman"/>
          <w:b/>
          <w:sz w:val="21"/>
        </w:rPr>
        <w:t>Figure 1.</w:t>
      </w:r>
      <w:r>
        <w:rPr>
          <w:rFonts w:ascii="Times New Roman" w:hAnsi="Times New Roman" w:eastAsia="Times New Roman"/>
          <w:sz w:val="21"/>
        </w:rPr>
        <w:t xml:space="preserve"> Data separation and curvewise uncertainty workflow. No calibration or evaluation torque label selects surrogate hyperparameters.</w:t>
      </w:r>
    </w:p>
    <w:p>
      <w:pPr>
        <w:pStyle w:val="Heading1"/>
      </w:pPr>
      <w:r>
        <w:rPr>
          <w:rFonts w:ascii="Times New Roman" w:hAnsi="Times New Roman" w:eastAsia="Times New Roman"/>
          <w:sz w:val="21"/>
        </w:rPr>
        <w:t>5. Results</w:t>
      </w:r>
    </w:p>
    <w:p>
      <w:pPr>
        <w:pStyle w:val="Heading2"/>
      </w:pPr>
      <w:r>
        <w:rPr>
          <w:rFonts w:ascii="Times New Roman" w:hAnsi="Times New Roman" w:eastAsia="Times New Roman"/>
          <w:sz w:val="21"/>
        </w:rPr>
        <w:t>5.1 Predictive accuracy and source-style sanity check</w:t>
      </w:r>
    </w:p>
    <w:p>
      <w:r>
        <w:rPr>
          <w:rFonts w:ascii="Times New Roman" w:hAnsi="Times New Roman" w:eastAsia="Times New Roman"/>
          <w:sz w:val="21"/>
        </w:rPr>
        <w:t>The primary ARD Gaussian process achieved waveform MAPE of 0.3466% on the fixed 200-design internal test, 0.3338% on the 11,250 uniform designs, and 0.2086% on the 10,000 Gaussian designs. Corresponding mean maximum curve errors were 0.00395, 0.00383, and 0.00241 torque units. The internal-test MAPE expressed as a fraction, 0.003466, is close to the source paper's reported signal-averaged DFT-GP MAPE of 0.0037 with 1,200 training designs [1]. Because model fitting, output-wise kernel structure, and data partition differ, this numerical proximity is a sanity check rather than an exact reproduction.</w:t>
      </w:r>
    </w:p>
    <w:p>
      <w:r>
        <w:rPr>
          <w:rFonts w:ascii="Times New Roman" w:hAnsi="Times New Roman" w:eastAsia="Times New Roman"/>
          <w:sz w:val="21"/>
        </w:rPr>
        <w:t>The ARD model was substantially more accurate than the three simpler comparators on the large uniform set: MAPE was 0.3338%, versus 1.1252% for degree-two ridge, 1.0521% for RBF kernel ridge, and 2.4738% for Extra Trees. Fit and hyperparameter selection required 41.0 s on the analysis workstation. Predicting all 11,250 uniform designs required 0.317 s. These times exclude high-fidelity data generation and are hardware-specific.</w:t>
      </w:r>
    </w:p>
    <w:p>
      <w:pPr>
        <w:pStyle w:val="Heading2"/>
      </w:pPr>
      <w:r>
        <w:rPr>
          <w:rFonts w:ascii="Times New Roman" w:hAnsi="Times New Roman" w:eastAsia="Times New Roman"/>
          <w:sz w:val="21"/>
        </w:rPr>
        <w:t>5.2 Primary simultaneous coverage</w:t>
      </w:r>
    </w:p>
    <w:p>
      <w:r>
        <w:rPr>
          <w:rFonts w:ascii="Times New Roman" w:hAnsi="Times New Roman" w:eastAsia="Times New Roman"/>
          <w:sz w:val="21"/>
        </w:rPr>
        <w:t>Table 2 reports the primary ARD Gaussian-process bands. On the fixed internal set, both 90% bands covered 184 of 200 complete curves (92.0%; Wilson interval 87.40-95.02%). On the large uniform evaluation, the global band achieved 90.293% coverage and the geometry-scaled band 89.964%. Their confidence intervals both included the nominal 90%. Geometry scaling reduced mean half-width by 4.5%, from 0.007125 to 0.006806 torque units.</w:t>
      </w:r>
    </w:p>
    <w:tbl>
      <w:tblPr>
        <w:tblStyle w:val="TableGrid"/>
        <w:tblW w:type="dxa" w:w="9360"/>
        <w:jc w:val="left"/>
        <w:tblLook w:firstColumn="1" w:firstRow="1" w:lastColumn="0" w:lastRow="0" w:noHBand="0" w:noVBand="1" w:val="04A0"/>
        <w:tblLayout w:type="fixed"/>
        <w:tblInd w:w="120" w:type="dxa"/>
      </w:tblPr>
      <w:tblGrid>
        <w:gridCol w:w="1714"/>
        <w:gridCol w:w="1538"/>
        <w:gridCol w:w="1304"/>
        <w:gridCol w:w="1631"/>
        <w:gridCol w:w="1631"/>
        <w:gridCol w:w="1542"/>
      </w:tblGrid>
      <w:tr>
        <w:trPr>
          <w:tblHeader w:val="true"/>
        </w:trPr>
        <w:tc>
          <w:tcPr>
            <w:tcW w:type="dxa" w:w="1714"/>
            <w:tcMar>
              <w:top w:w="80" w:type="dxa"/>
              <w:start w:w="120" w:type="dxa"/>
              <w:bottom w:w="80" w:type="dxa"/>
              <w:end w:w="120" w:type="dxa"/>
            </w:tcMar>
            <w:vAlign w:val="center"/>
            <w:shd w:fill="F2F4F7"/>
          </w:tcPr>
          <w:p>
            <w:pPr>
              <w:spacing w:before="0" w:after="0" w:line="240" w:lineRule="auto"/>
              <w:jc w:val="left"/>
            </w:pPr>
            <w:r>
              <w:rPr>
                <w:rFonts w:ascii="Times New Roman" w:hAnsi="Times New Roman" w:eastAsia="Times New Roman"/>
                <w:b/>
                <w:sz w:val="15"/>
              </w:rPr>
              <w:t>Evaluation distribution</w:t>
            </w:r>
          </w:p>
        </w:tc>
        <w:tc>
          <w:tcPr>
            <w:tcW w:type="dxa" w:w="1538"/>
            <w:tcMar>
              <w:top w:w="80" w:type="dxa"/>
              <w:start w:w="120" w:type="dxa"/>
              <w:bottom w:w="80" w:type="dxa"/>
              <w:end w:w="120" w:type="dxa"/>
            </w:tcMar>
            <w:vAlign w:val="center"/>
            <w:shd w:fill="F2F4F7"/>
          </w:tcPr>
          <w:p>
            <w:pPr>
              <w:spacing w:before="0" w:after="0" w:line="240" w:lineRule="auto"/>
              <w:jc w:val="center"/>
            </w:pPr>
            <w:r>
              <w:rPr>
                <w:rFonts w:ascii="Times New Roman" w:hAnsi="Times New Roman" w:eastAsia="Times New Roman"/>
                <w:b/>
                <w:sz w:val="15"/>
              </w:rPr>
              <w:t>Band</w:t>
            </w:r>
          </w:p>
        </w:tc>
        <w:tc>
          <w:tcPr>
            <w:tcW w:type="dxa" w:w="1304"/>
            <w:tcMar>
              <w:top w:w="80" w:type="dxa"/>
              <w:start w:w="120" w:type="dxa"/>
              <w:bottom w:w="80" w:type="dxa"/>
              <w:end w:w="120" w:type="dxa"/>
            </w:tcMar>
            <w:vAlign w:val="center"/>
            <w:shd w:fill="F2F4F7"/>
          </w:tcPr>
          <w:p>
            <w:pPr>
              <w:spacing w:before="0" w:after="0" w:line="240" w:lineRule="auto"/>
              <w:jc w:val="center"/>
            </w:pPr>
            <w:r>
              <w:rPr>
                <w:rFonts w:ascii="Times New Roman" w:hAnsi="Times New Roman" w:eastAsia="Times New Roman"/>
                <w:b/>
                <w:sz w:val="15"/>
              </w:rPr>
              <w:t>Designs</w:t>
            </w:r>
          </w:p>
        </w:tc>
        <w:tc>
          <w:tcPr>
            <w:tcW w:type="dxa" w:w="1631"/>
            <w:tcMar>
              <w:top w:w="80" w:type="dxa"/>
              <w:start w:w="120" w:type="dxa"/>
              <w:bottom w:w="80" w:type="dxa"/>
              <w:end w:w="120" w:type="dxa"/>
            </w:tcMar>
            <w:vAlign w:val="center"/>
            <w:shd w:fill="F2F4F7"/>
          </w:tcPr>
          <w:p>
            <w:pPr>
              <w:spacing w:before="0" w:after="0" w:line="240" w:lineRule="auto"/>
              <w:jc w:val="center"/>
            </w:pPr>
            <w:r>
              <w:rPr>
                <w:rFonts w:ascii="Times New Roman" w:hAnsi="Times New Roman" w:eastAsia="Times New Roman"/>
                <w:b/>
                <w:sz w:val="15"/>
              </w:rPr>
              <w:t>Full-curve coverage</w:t>
            </w:r>
          </w:p>
        </w:tc>
        <w:tc>
          <w:tcPr>
            <w:tcW w:type="dxa" w:w="1631"/>
            <w:tcMar>
              <w:top w:w="80" w:type="dxa"/>
              <w:start w:w="120" w:type="dxa"/>
              <w:bottom w:w="80" w:type="dxa"/>
              <w:end w:w="120" w:type="dxa"/>
            </w:tcMar>
            <w:vAlign w:val="center"/>
            <w:shd w:fill="F2F4F7"/>
          </w:tcPr>
          <w:p>
            <w:pPr>
              <w:spacing w:before="0" w:after="0" w:line="240" w:lineRule="auto"/>
              <w:jc w:val="center"/>
            </w:pPr>
            <w:r>
              <w:rPr>
                <w:rFonts w:ascii="Times New Roman" w:hAnsi="Times New Roman" w:eastAsia="Times New Roman"/>
                <w:b/>
                <w:sz w:val="15"/>
              </w:rPr>
              <w:t>95% Wilson interval</w:t>
            </w:r>
          </w:p>
        </w:tc>
        <w:tc>
          <w:tcPr>
            <w:tcW w:type="dxa" w:w="1542"/>
            <w:tcMar>
              <w:top w:w="80" w:type="dxa"/>
              <w:start w:w="120" w:type="dxa"/>
              <w:bottom w:w="80" w:type="dxa"/>
              <w:end w:w="120" w:type="dxa"/>
            </w:tcMar>
            <w:vAlign w:val="center"/>
            <w:shd w:fill="F2F4F7"/>
          </w:tcPr>
          <w:p>
            <w:pPr>
              <w:spacing w:before="0" w:after="0" w:line="240" w:lineRule="auto"/>
              <w:jc w:val="center"/>
            </w:pPr>
            <w:r>
              <w:rPr>
                <w:rFonts w:ascii="Times New Roman" w:hAnsi="Times New Roman" w:eastAsia="Times New Roman"/>
                <w:b/>
                <w:sz w:val="15"/>
              </w:rPr>
              <w:t>Mean half-width</w:t>
            </w:r>
          </w:p>
        </w:tc>
      </w:tr>
      <w:tr>
        <w:tc>
          <w:tcPr>
            <w:tcW w:type="dxa" w:w="1714"/>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b w:val="0"/>
                <w:sz w:val="15"/>
              </w:rPr>
              <w:t>fixed internal uniform</w:t>
            </w:r>
          </w:p>
        </w:tc>
        <w:tc>
          <w:tcPr>
            <w:tcW w:type="dxa" w:w="1538"/>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global</w:t>
            </w:r>
          </w:p>
        </w:tc>
        <w:tc>
          <w:tcPr>
            <w:tcW w:type="dxa" w:w="1304"/>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200</w:t>
            </w:r>
          </w:p>
        </w:tc>
        <w:tc>
          <w:tcPr>
            <w:tcW w:type="dxa" w:w="1631"/>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0.9200</w:t>
            </w:r>
          </w:p>
        </w:tc>
        <w:tc>
          <w:tcPr>
            <w:tcW w:type="dxa" w:w="1631"/>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0.8740-0.9502</w:t>
            </w:r>
          </w:p>
        </w:tc>
        <w:tc>
          <w:tcPr>
            <w:tcW w:type="dxa" w:w="1542"/>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0.007125</w:t>
            </w:r>
          </w:p>
        </w:tc>
      </w:tr>
      <w:tr>
        <w:tc>
          <w:tcPr>
            <w:tcW w:type="dxa" w:w="1714"/>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b w:val="0"/>
                <w:sz w:val="15"/>
              </w:rPr>
              <w:t>fixed internal uniform</w:t>
            </w:r>
          </w:p>
        </w:tc>
        <w:tc>
          <w:tcPr>
            <w:tcW w:type="dxa" w:w="1538"/>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geometry-scaled</w:t>
            </w:r>
          </w:p>
        </w:tc>
        <w:tc>
          <w:tcPr>
            <w:tcW w:type="dxa" w:w="1304"/>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200</w:t>
            </w:r>
          </w:p>
        </w:tc>
        <w:tc>
          <w:tcPr>
            <w:tcW w:type="dxa" w:w="1631"/>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0.9200</w:t>
            </w:r>
          </w:p>
        </w:tc>
        <w:tc>
          <w:tcPr>
            <w:tcW w:type="dxa" w:w="1631"/>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0.8740-0.9502</w:t>
            </w:r>
          </w:p>
        </w:tc>
        <w:tc>
          <w:tcPr>
            <w:tcW w:type="dxa" w:w="1542"/>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0.006834</w:t>
            </w:r>
          </w:p>
        </w:tc>
      </w:tr>
      <w:tr>
        <w:tc>
          <w:tcPr>
            <w:tcW w:type="dxa" w:w="1714"/>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b w:val="0"/>
                <w:sz w:val="15"/>
              </w:rPr>
              <w:t>large uniform</w:t>
            </w:r>
          </w:p>
        </w:tc>
        <w:tc>
          <w:tcPr>
            <w:tcW w:type="dxa" w:w="1538"/>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global</w:t>
            </w:r>
          </w:p>
        </w:tc>
        <w:tc>
          <w:tcPr>
            <w:tcW w:type="dxa" w:w="1304"/>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11,250</w:t>
            </w:r>
          </w:p>
        </w:tc>
        <w:tc>
          <w:tcPr>
            <w:tcW w:type="dxa" w:w="1631"/>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0.9029</w:t>
            </w:r>
          </w:p>
        </w:tc>
        <w:tc>
          <w:tcPr>
            <w:tcW w:type="dxa" w:w="1631"/>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0.8973-0.9083</w:t>
            </w:r>
          </w:p>
        </w:tc>
        <w:tc>
          <w:tcPr>
            <w:tcW w:type="dxa" w:w="1542"/>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0.007125</w:t>
            </w:r>
          </w:p>
        </w:tc>
      </w:tr>
      <w:tr>
        <w:tc>
          <w:tcPr>
            <w:tcW w:type="dxa" w:w="1714"/>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b w:val="0"/>
                <w:sz w:val="15"/>
              </w:rPr>
              <w:t>large uniform</w:t>
            </w:r>
          </w:p>
        </w:tc>
        <w:tc>
          <w:tcPr>
            <w:tcW w:type="dxa" w:w="1538"/>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geometry-scaled</w:t>
            </w:r>
          </w:p>
        </w:tc>
        <w:tc>
          <w:tcPr>
            <w:tcW w:type="dxa" w:w="1304"/>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11,250</w:t>
            </w:r>
          </w:p>
        </w:tc>
        <w:tc>
          <w:tcPr>
            <w:tcW w:type="dxa" w:w="1631"/>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0.8996</w:t>
            </w:r>
          </w:p>
        </w:tc>
        <w:tc>
          <w:tcPr>
            <w:tcW w:type="dxa" w:w="1631"/>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0.8940-0.9051</w:t>
            </w:r>
          </w:p>
        </w:tc>
        <w:tc>
          <w:tcPr>
            <w:tcW w:type="dxa" w:w="1542"/>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0.006806</w:t>
            </w:r>
          </w:p>
        </w:tc>
      </w:tr>
      <w:tr>
        <w:tc>
          <w:tcPr>
            <w:tcW w:type="dxa" w:w="1714"/>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b w:val="0"/>
                <w:sz w:val="15"/>
              </w:rPr>
              <w:t>Gaussian density shift</w:t>
            </w:r>
          </w:p>
        </w:tc>
        <w:tc>
          <w:tcPr>
            <w:tcW w:type="dxa" w:w="1538"/>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global</w:t>
            </w:r>
          </w:p>
        </w:tc>
        <w:tc>
          <w:tcPr>
            <w:tcW w:type="dxa" w:w="1304"/>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10,000</w:t>
            </w:r>
          </w:p>
        </w:tc>
        <w:tc>
          <w:tcPr>
            <w:tcW w:type="dxa" w:w="1631"/>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1.0000</w:t>
            </w:r>
          </w:p>
        </w:tc>
        <w:tc>
          <w:tcPr>
            <w:tcW w:type="dxa" w:w="1631"/>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0.9996-1.0000</w:t>
            </w:r>
          </w:p>
        </w:tc>
        <w:tc>
          <w:tcPr>
            <w:tcW w:type="dxa" w:w="1542"/>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0.007125</w:t>
            </w:r>
          </w:p>
        </w:tc>
      </w:tr>
      <w:tr>
        <w:tc>
          <w:tcPr>
            <w:tcW w:type="dxa" w:w="1714"/>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b w:val="0"/>
                <w:sz w:val="15"/>
              </w:rPr>
              <w:t>Gaussian density shift</w:t>
            </w:r>
          </w:p>
        </w:tc>
        <w:tc>
          <w:tcPr>
            <w:tcW w:type="dxa" w:w="1538"/>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geometry-scaled</w:t>
            </w:r>
          </w:p>
        </w:tc>
        <w:tc>
          <w:tcPr>
            <w:tcW w:type="dxa" w:w="1304"/>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10,000</w:t>
            </w:r>
          </w:p>
        </w:tc>
        <w:tc>
          <w:tcPr>
            <w:tcW w:type="dxa" w:w="1631"/>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1.0000</w:t>
            </w:r>
          </w:p>
        </w:tc>
        <w:tc>
          <w:tcPr>
            <w:tcW w:type="dxa" w:w="1631"/>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0.9996-1.0000</w:t>
            </w:r>
          </w:p>
        </w:tc>
        <w:tc>
          <w:tcPr>
            <w:tcW w:type="dxa" w:w="1542"/>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0.005601</w:t>
            </w:r>
          </w:p>
        </w:tc>
      </w:tr>
    </w:tbl>
    <w:p>
      <w:pPr>
        <w:spacing w:after="20"/>
      </w:pPr>
    </w:p>
    <w:p>
      <w:pPr>
        <w:pStyle w:val="PaperCaption"/>
      </w:pPr>
      <w:r>
        <w:rPr>
          <w:rFonts w:ascii="Times New Roman" w:hAnsi="Times New Roman" w:eastAsia="Times New Roman"/>
          <w:b/>
          <w:sz w:val="21"/>
        </w:rPr>
        <w:t>Table 2.</w:t>
      </w:r>
      <w:r>
        <w:rPr>
          <w:rFonts w:ascii="Times New Roman" w:hAnsi="Times New Roman" w:eastAsia="Times New Roman"/>
          <w:sz w:val="21"/>
        </w:rPr>
        <w:t xml:space="preserve"> Primary 90% simultaneous-band results for the ARD Gaussian process. Coverage requires all 120 angles of a simulated design to fall inside the band.</w:t>
      </w:r>
    </w:p>
    <w:p>
      <w:r>
        <w:rPr>
          <w:rFonts w:ascii="Times New Roman" w:hAnsi="Times New Roman" w:eastAsia="Times New Roman"/>
          <w:sz w:val="21"/>
        </w:rPr>
        <w:t>The tightly central Gaussian table was easier for this surrogate than the broad uniform table: prediction error was smaller and both bands covered all 10,000 curves. Geometry scaling reduced mean half-width by 21.4% relative to the global band. This 100% result is overcoverage, not evidence of exact conditional calibration or hardware certainty.</w:t>
      </w:r>
    </w:p>
    <w:p>
      <w:r>
        <w:rPr>
          <w:rFonts w:ascii="Times New Roman" w:hAnsi="Times New Roman" w:eastAsia="Times New Roman"/>
          <w:sz w:val="21"/>
        </w:rPr>
        <w:t>At 95% nominal coverage, the internal global and scaled bands each covered 96.0%; the large uniform bands covered 95.51% and 95.25%; and the Gaussian bands again covered 100%. Mean half-widths on the large uniform set increased to 0.009615 and 0.008991, respectively.</w:t>
      </w:r>
    </w:p>
    <w:p>
      <w:pPr>
        <w:keepNext/>
        <w:spacing w:before="100" w:after="0"/>
        <w:jc w:val="center"/>
      </w:pPr>
      <w:r>
        <w:drawing>
          <wp:inline xmlns:a="http://schemas.openxmlformats.org/drawingml/2006/main" xmlns:pic="http://schemas.openxmlformats.org/drawingml/2006/picture">
            <wp:extent cx="5806440" cy="2158081"/>
            <wp:docPr id="2" name="Picture 2" descr="Coverage and width for four Fourier-11 response surfaces. Points cover a design only when all 120 angles are inside; bars are Wilson intervals over independently simulated designs."/>
            <wp:cNvGraphicFramePr>
              <a:graphicFrameLocks noChangeAspect="1"/>
            </wp:cNvGraphicFramePr>
            <a:graphic>
              <a:graphicData uri="http://schemas.openxmlformats.org/drawingml/2006/picture">
                <pic:pic>
                  <pic:nvPicPr>
                    <pic:cNvPr id="0" name="paper2_coverage_width.png"/>
                    <pic:cNvPicPr/>
                  </pic:nvPicPr>
                  <pic:blipFill>
                    <a:blip r:embed="rId12"/>
                    <a:stretch>
                      <a:fillRect/>
                    </a:stretch>
                  </pic:blipFill>
                  <pic:spPr>
                    <a:xfrm>
                      <a:off x="0" y="0"/>
                      <a:ext cx="5806440" cy="2158081"/>
                    </a:xfrm>
                    <a:prstGeom prst="rect"/>
                  </pic:spPr>
                </pic:pic>
              </a:graphicData>
            </a:graphic>
          </wp:inline>
        </w:drawing>
      </w:r>
    </w:p>
    <w:p>
      <w:pPr>
        <w:pStyle w:val="PaperCaption"/>
      </w:pPr>
      <w:r>
        <w:rPr>
          <w:rFonts w:ascii="Times New Roman" w:hAnsi="Times New Roman" w:eastAsia="Times New Roman"/>
          <w:b/>
          <w:sz w:val="21"/>
        </w:rPr>
        <w:t>Figure 2.</w:t>
      </w:r>
      <w:r>
        <w:rPr>
          <w:rFonts w:ascii="Times New Roman" w:hAnsi="Times New Roman" w:eastAsia="Times New Roman"/>
          <w:sz w:val="21"/>
        </w:rPr>
        <w:t xml:space="preserve"> Full-curve coverage versus mean 90% band half-width. The ARD Gaussian process achieves similar aggregate coverage with substantially narrower bands because its underlying point predictor is more accurate.</w:t>
      </w:r>
    </w:p>
    <w:p>
      <w:r>
        <w:rPr>
          <w:rFonts w:ascii="Times New Roman" w:hAnsi="Times New Roman" w:eastAsia="Times New Roman"/>
          <w:sz w:val="21"/>
        </w:rPr>
        <w:t>Table 3 shows that conformal calibration brought four response surfaces near the same aggregate target on the large uniform table, but their required widths differed markedly. The ARD global band was 70.2% narrower than the degree-two ridge global band and 83.9% narrower than the Extra-Trees band. On the Gaussian table, the simple models' geometry-scaled bands reduced width but sometimes moved coverage closer to nominal from above; the ARD model remained fully covered because its central-target errors were much smaller.</w:t>
      </w:r>
    </w:p>
    <w:tbl>
      <w:tblPr>
        <w:tblStyle w:val="TableGrid"/>
        <w:tblW w:type="dxa" w:w="9360"/>
        <w:jc w:val="left"/>
        <w:tblLook w:firstColumn="1" w:firstRow="1" w:lastColumn="0" w:lastRow="0" w:noHBand="0" w:noVBand="1" w:val="04A0"/>
        <w:tblLayout w:type="fixed"/>
        <w:tblInd w:w="120" w:type="dxa"/>
      </w:tblPr>
      <w:tblGrid>
        <w:gridCol w:w="1678"/>
        <w:gridCol w:w="1911"/>
        <w:gridCol w:w="1911"/>
        <w:gridCol w:w="1928"/>
        <w:gridCol w:w="1932"/>
      </w:tblGrid>
      <w:tr>
        <w:trPr>
          <w:tblHeader w:val="true"/>
        </w:trPr>
        <w:tc>
          <w:tcPr>
            <w:tcW w:type="dxa" w:w="1678"/>
            <w:tcMar>
              <w:top w:w="80" w:type="dxa"/>
              <w:start w:w="120" w:type="dxa"/>
              <w:bottom w:w="80" w:type="dxa"/>
              <w:end w:w="120" w:type="dxa"/>
            </w:tcMar>
            <w:vAlign w:val="center"/>
            <w:shd w:fill="F2F4F7"/>
          </w:tcPr>
          <w:p>
            <w:pPr>
              <w:spacing w:before="0" w:after="0" w:line="240" w:lineRule="auto"/>
              <w:jc w:val="left"/>
            </w:pPr>
            <w:r>
              <w:rPr>
                <w:rFonts w:ascii="Times New Roman" w:hAnsi="Times New Roman" w:eastAsia="Times New Roman"/>
                <w:b/>
                <w:sz w:val="15"/>
              </w:rPr>
              <w:t>Model</w:t>
            </w:r>
          </w:p>
        </w:tc>
        <w:tc>
          <w:tcPr>
            <w:tcW w:type="dxa" w:w="1911"/>
            <w:tcMar>
              <w:top w:w="80" w:type="dxa"/>
              <w:start w:w="120" w:type="dxa"/>
              <w:bottom w:w="80" w:type="dxa"/>
              <w:end w:w="120" w:type="dxa"/>
            </w:tcMar>
            <w:vAlign w:val="center"/>
            <w:shd w:fill="F2F4F7"/>
          </w:tcPr>
          <w:p>
            <w:pPr>
              <w:spacing w:before="0" w:after="0" w:line="240" w:lineRule="auto"/>
              <w:jc w:val="center"/>
            </w:pPr>
            <w:r>
              <w:rPr>
                <w:rFonts w:ascii="Times New Roman" w:hAnsi="Times New Roman" w:eastAsia="Times New Roman"/>
                <w:b/>
                <w:sz w:val="15"/>
              </w:rPr>
              <w:t>Uniform global: coverage / width</w:t>
            </w:r>
          </w:p>
        </w:tc>
        <w:tc>
          <w:tcPr>
            <w:tcW w:type="dxa" w:w="1911"/>
            <w:tcMar>
              <w:top w:w="80" w:type="dxa"/>
              <w:start w:w="120" w:type="dxa"/>
              <w:bottom w:w="80" w:type="dxa"/>
              <w:end w:w="120" w:type="dxa"/>
            </w:tcMar>
            <w:vAlign w:val="center"/>
            <w:shd w:fill="F2F4F7"/>
          </w:tcPr>
          <w:p>
            <w:pPr>
              <w:spacing w:before="0" w:after="0" w:line="240" w:lineRule="auto"/>
              <w:jc w:val="center"/>
            </w:pPr>
            <w:r>
              <w:rPr>
                <w:rFonts w:ascii="Times New Roman" w:hAnsi="Times New Roman" w:eastAsia="Times New Roman"/>
                <w:b/>
                <w:sz w:val="15"/>
              </w:rPr>
              <w:t>Uniform scaled: coverage / width</w:t>
            </w:r>
          </w:p>
        </w:tc>
        <w:tc>
          <w:tcPr>
            <w:tcW w:type="dxa" w:w="1928"/>
            <w:tcMar>
              <w:top w:w="80" w:type="dxa"/>
              <w:start w:w="120" w:type="dxa"/>
              <w:bottom w:w="80" w:type="dxa"/>
              <w:end w:w="120" w:type="dxa"/>
            </w:tcMar>
            <w:vAlign w:val="center"/>
            <w:shd w:fill="F2F4F7"/>
          </w:tcPr>
          <w:p>
            <w:pPr>
              <w:spacing w:before="0" w:after="0" w:line="240" w:lineRule="auto"/>
              <w:jc w:val="center"/>
            </w:pPr>
            <w:r>
              <w:rPr>
                <w:rFonts w:ascii="Times New Roman" w:hAnsi="Times New Roman" w:eastAsia="Times New Roman"/>
                <w:b/>
                <w:sz w:val="15"/>
              </w:rPr>
              <w:t>Gaussian global: coverage / width</w:t>
            </w:r>
          </w:p>
        </w:tc>
        <w:tc>
          <w:tcPr>
            <w:tcW w:type="dxa" w:w="1932"/>
            <w:tcMar>
              <w:top w:w="80" w:type="dxa"/>
              <w:start w:w="120" w:type="dxa"/>
              <w:bottom w:w="80" w:type="dxa"/>
              <w:end w:w="120" w:type="dxa"/>
            </w:tcMar>
            <w:vAlign w:val="center"/>
            <w:shd w:fill="F2F4F7"/>
          </w:tcPr>
          <w:p>
            <w:pPr>
              <w:spacing w:before="0" w:after="0" w:line="240" w:lineRule="auto"/>
              <w:jc w:val="center"/>
            </w:pPr>
            <w:r>
              <w:rPr>
                <w:rFonts w:ascii="Times New Roman" w:hAnsi="Times New Roman" w:eastAsia="Times New Roman"/>
                <w:b/>
                <w:sz w:val="15"/>
              </w:rPr>
              <w:t>Gaussian scaled: coverage / width</w:t>
            </w:r>
          </w:p>
        </w:tc>
      </w:tr>
      <w:tr>
        <w:tc>
          <w:tcPr>
            <w:tcW w:type="dxa" w:w="1678"/>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b w:val="0"/>
                <w:sz w:val="15"/>
              </w:rPr>
              <w:t>degree-two ridge</w:t>
            </w:r>
          </w:p>
        </w:tc>
        <w:tc>
          <w:tcPr>
            <w:tcW w:type="dxa" w:w="1911"/>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0.8988 / 0.02390</w:t>
            </w:r>
          </w:p>
        </w:tc>
        <w:tc>
          <w:tcPr>
            <w:tcW w:type="dxa" w:w="1911"/>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0.9058 / 0.02414</w:t>
            </w:r>
          </w:p>
        </w:tc>
        <w:tc>
          <w:tcPr>
            <w:tcW w:type="dxa" w:w="1928"/>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0.9649 / 0.02390</w:t>
            </w:r>
          </w:p>
        </w:tc>
        <w:tc>
          <w:tcPr>
            <w:tcW w:type="dxa" w:w="1932"/>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0.9035 / 0.01987</w:t>
            </w:r>
          </w:p>
        </w:tc>
      </w:tr>
      <w:tr>
        <w:tc>
          <w:tcPr>
            <w:tcW w:type="dxa" w:w="1678"/>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b w:val="0"/>
                <w:sz w:val="15"/>
              </w:rPr>
              <w:t>RBF kernel ridge</w:t>
            </w:r>
          </w:p>
        </w:tc>
        <w:tc>
          <w:tcPr>
            <w:tcW w:type="dxa" w:w="1911"/>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0.8948 / 0.02254</w:t>
            </w:r>
          </w:p>
        </w:tc>
        <w:tc>
          <w:tcPr>
            <w:tcW w:type="dxa" w:w="1911"/>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0.8961 / 0.02236</w:t>
            </w:r>
          </w:p>
        </w:tc>
        <w:tc>
          <w:tcPr>
            <w:tcW w:type="dxa" w:w="1928"/>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0.9770 / 0.02254</w:t>
            </w:r>
          </w:p>
        </w:tc>
        <w:tc>
          <w:tcPr>
            <w:tcW w:type="dxa" w:w="1932"/>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0.9380 / 0.01840</w:t>
            </w:r>
          </w:p>
        </w:tc>
      </w:tr>
      <w:tr>
        <w:tc>
          <w:tcPr>
            <w:tcW w:type="dxa" w:w="1678"/>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b w:val="0"/>
                <w:sz w:val="15"/>
              </w:rPr>
              <w:t>ARD Gaussian process</w:t>
            </w:r>
          </w:p>
        </w:tc>
        <w:tc>
          <w:tcPr>
            <w:tcW w:type="dxa" w:w="1911"/>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0.9029 / 0.00713</w:t>
            </w:r>
          </w:p>
        </w:tc>
        <w:tc>
          <w:tcPr>
            <w:tcW w:type="dxa" w:w="1911"/>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0.8996 / 0.00681</w:t>
            </w:r>
          </w:p>
        </w:tc>
        <w:tc>
          <w:tcPr>
            <w:tcW w:type="dxa" w:w="1928"/>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1.0000 / 0.00713</w:t>
            </w:r>
          </w:p>
        </w:tc>
        <w:tc>
          <w:tcPr>
            <w:tcW w:type="dxa" w:w="1932"/>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1.0000 / 0.00560</w:t>
            </w:r>
          </w:p>
        </w:tc>
      </w:tr>
      <w:tr>
        <w:tc>
          <w:tcPr>
            <w:tcW w:type="dxa" w:w="1678"/>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b w:val="0"/>
                <w:sz w:val="15"/>
              </w:rPr>
              <w:t>Extra Trees</w:t>
            </w:r>
          </w:p>
        </w:tc>
        <w:tc>
          <w:tcPr>
            <w:tcW w:type="dxa" w:w="1911"/>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0.8977 / 0.04430</w:t>
            </w:r>
          </w:p>
        </w:tc>
        <w:tc>
          <w:tcPr>
            <w:tcW w:type="dxa" w:w="1911"/>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0.8914 / 0.04299</w:t>
            </w:r>
          </w:p>
        </w:tc>
        <w:tc>
          <w:tcPr>
            <w:tcW w:type="dxa" w:w="1928"/>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0.9880 / 0.04430</w:t>
            </w:r>
          </w:p>
        </w:tc>
        <w:tc>
          <w:tcPr>
            <w:tcW w:type="dxa" w:w="1932"/>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0.9165 / 0.03538</w:t>
            </w:r>
          </w:p>
        </w:tc>
      </w:tr>
    </w:tbl>
    <w:p>
      <w:pPr>
        <w:spacing w:after="20"/>
      </w:pPr>
    </w:p>
    <w:p>
      <w:pPr>
        <w:pStyle w:val="PaperCaption"/>
      </w:pPr>
      <w:r>
        <w:rPr>
          <w:rFonts w:ascii="Times New Roman" w:hAnsi="Times New Roman" w:eastAsia="Times New Roman"/>
          <w:b/>
          <w:sz w:val="21"/>
        </w:rPr>
        <w:t>Table 3.</w:t>
      </w:r>
      <w:r>
        <w:rPr>
          <w:rFonts w:ascii="Times New Roman" w:hAnsi="Times New Roman" w:eastAsia="Times New Roman"/>
          <w:sz w:val="21"/>
        </w:rPr>
        <w:t xml:space="preserve"> Primary 90% coverage / mean half-width by surrogate. Every method predicts the same 11-component Fourier representation.</w:t>
      </w:r>
    </w:p>
    <w:p>
      <w:pPr>
        <w:pStyle w:val="Heading2"/>
      </w:pPr>
      <w:r>
        <w:rPr>
          <w:rFonts w:ascii="Times New Roman" w:hAnsi="Times New Roman" w:eastAsia="Times New Roman"/>
          <w:sz w:val="21"/>
        </w:rPr>
        <w:t>5.3 Aggregate coverage hides sparse-tail failure</w:t>
      </w:r>
    </w:p>
    <w:p>
      <w:r>
        <w:rPr>
          <w:rFonts w:ascii="Times New Roman" w:hAnsi="Times New Roman" w:eastAsia="Times New Roman"/>
          <w:sz w:val="21"/>
        </w:rPr>
        <w:t>Geometry-distance stratification changed the conclusion. Each uniform quintile contains 2,250 independently simulated designs. Global coverage decreased monotonically from 97.96% in the densest quintile to 76.13% in the sparsest. Geometry-scaled coverage decreased from 96.84% to 78.31%. At the same time, mean maximum curve error more than doubled, from 0.00269 to 0.00552, whereas scaled mean half-width increased only from 0.00621 to 0.00744. Thus the simple fifth-neighbour scale did not expand quickly enough to match error growth. It improved the sparsest quintile by 2.18 percentage points but did not solve conditional undercoverage.</w:t>
      </w:r>
    </w:p>
    <w:tbl>
      <w:tblPr>
        <w:tblStyle w:val="TableGrid"/>
        <w:tblW w:type="dxa" w:w="9360"/>
        <w:jc w:val="left"/>
        <w:tblLook w:firstColumn="1" w:firstRow="1" w:lastColumn="0" w:lastRow="0" w:noHBand="0" w:noVBand="1" w:val="04A0"/>
        <w:tblLayout w:type="fixed"/>
        <w:tblInd w:w="120" w:type="dxa"/>
      </w:tblPr>
      <w:tblGrid>
        <w:gridCol w:w="1757"/>
        <w:gridCol w:w="1306"/>
        <w:gridCol w:w="1516"/>
        <w:gridCol w:w="1541"/>
        <w:gridCol w:w="1541"/>
        <w:gridCol w:w="1699"/>
      </w:tblGrid>
      <w:tr>
        <w:trPr>
          <w:tblHeader w:val="true"/>
        </w:trPr>
        <w:tc>
          <w:tcPr>
            <w:tcW w:type="dxa" w:w="1757"/>
            <w:tcMar>
              <w:top w:w="80" w:type="dxa"/>
              <w:start w:w="120" w:type="dxa"/>
              <w:bottom w:w="80" w:type="dxa"/>
              <w:end w:w="120" w:type="dxa"/>
            </w:tcMar>
            <w:vAlign w:val="center"/>
            <w:shd w:fill="F2F4F7"/>
          </w:tcPr>
          <w:p>
            <w:pPr>
              <w:spacing w:before="0" w:after="0" w:line="240" w:lineRule="auto"/>
              <w:jc w:val="left"/>
            </w:pPr>
            <w:r>
              <w:rPr>
                <w:rFonts w:ascii="Times New Roman" w:hAnsi="Times New Roman" w:eastAsia="Times New Roman"/>
                <w:b/>
                <w:sz w:val="15"/>
              </w:rPr>
              <w:t>Uniform distance quintile</w:t>
            </w:r>
          </w:p>
        </w:tc>
        <w:tc>
          <w:tcPr>
            <w:tcW w:type="dxa" w:w="1306"/>
            <w:tcMar>
              <w:top w:w="80" w:type="dxa"/>
              <w:start w:w="120" w:type="dxa"/>
              <w:bottom w:w="80" w:type="dxa"/>
              <w:end w:w="120" w:type="dxa"/>
            </w:tcMar>
            <w:vAlign w:val="center"/>
            <w:shd w:fill="F2F4F7"/>
          </w:tcPr>
          <w:p>
            <w:pPr>
              <w:spacing w:before="0" w:after="0" w:line="240" w:lineRule="auto"/>
              <w:jc w:val="center"/>
            </w:pPr>
            <w:r>
              <w:rPr>
                <w:rFonts w:ascii="Times New Roman" w:hAnsi="Times New Roman" w:eastAsia="Times New Roman"/>
                <w:b/>
                <w:sz w:val="15"/>
              </w:rPr>
              <w:t>Designs</w:t>
            </w:r>
          </w:p>
        </w:tc>
        <w:tc>
          <w:tcPr>
            <w:tcW w:type="dxa" w:w="1516"/>
            <w:tcMar>
              <w:top w:w="80" w:type="dxa"/>
              <w:start w:w="120" w:type="dxa"/>
              <w:bottom w:w="80" w:type="dxa"/>
              <w:end w:w="120" w:type="dxa"/>
            </w:tcMar>
            <w:vAlign w:val="center"/>
            <w:shd w:fill="F2F4F7"/>
          </w:tcPr>
          <w:p>
            <w:pPr>
              <w:spacing w:before="0" w:after="0" w:line="240" w:lineRule="auto"/>
              <w:jc w:val="center"/>
            </w:pPr>
            <w:r>
              <w:rPr>
                <w:rFonts w:ascii="Times New Roman" w:hAnsi="Times New Roman" w:eastAsia="Times New Roman"/>
                <w:b/>
                <w:sz w:val="15"/>
              </w:rPr>
              <w:t>Mean max error</w:t>
            </w:r>
          </w:p>
        </w:tc>
        <w:tc>
          <w:tcPr>
            <w:tcW w:type="dxa" w:w="1541"/>
            <w:tcMar>
              <w:top w:w="80" w:type="dxa"/>
              <w:start w:w="120" w:type="dxa"/>
              <w:bottom w:w="80" w:type="dxa"/>
              <w:end w:w="120" w:type="dxa"/>
            </w:tcMar>
            <w:vAlign w:val="center"/>
            <w:shd w:fill="F2F4F7"/>
          </w:tcPr>
          <w:p>
            <w:pPr>
              <w:spacing w:before="0" w:after="0" w:line="240" w:lineRule="auto"/>
              <w:jc w:val="center"/>
            </w:pPr>
            <w:r>
              <w:rPr>
                <w:rFonts w:ascii="Times New Roman" w:hAnsi="Times New Roman" w:eastAsia="Times New Roman"/>
                <w:b/>
                <w:sz w:val="15"/>
              </w:rPr>
              <w:t>Global coverage</w:t>
            </w:r>
          </w:p>
        </w:tc>
        <w:tc>
          <w:tcPr>
            <w:tcW w:type="dxa" w:w="1541"/>
            <w:tcMar>
              <w:top w:w="80" w:type="dxa"/>
              <w:start w:w="120" w:type="dxa"/>
              <w:bottom w:w="80" w:type="dxa"/>
              <w:end w:w="120" w:type="dxa"/>
            </w:tcMar>
            <w:vAlign w:val="center"/>
            <w:shd w:fill="F2F4F7"/>
          </w:tcPr>
          <w:p>
            <w:pPr>
              <w:spacing w:before="0" w:after="0" w:line="240" w:lineRule="auto"/>
              <w:jc w:val="center"/>
            </w:pPr>
            <w:r>
              <w:rPr>
                <w:rFonts w:ascii="Times New Roman" w:hAnsi="Times New Roman" w:eastAsia="Times New Roman"/>
                <w:b/>
                <w:sz w:val="15"/>
              </w:rPr>
              <w:t>Scaled coverage</w:t>
            </w:r>
          </w:p>
        </w:tc>
        <w:tc>
          <w:tcPr>
            <w:tcW w:type="dxa" w:w="1699"/>
            <w:tcMar>
              <w:top w:w="80" w:type="dxa"/>
              <w:start w:w="120" w:type="dxa"/>
              <w:bottom w:w="80" w:type="dxa"/>
              <w:end w:w="120" w:type="dxa"/>
            </w:tcMar>
            <w:vAlign w:val="center"/>
            <w:shd w:fill="F2F4F7"/>
          </w:tcPr>
          <w:p>
            <w:pPr>
              <w:spacing w:before="0" w:after="0" w:line="240" w:lineRule="auto"/>
              <w:jc w:val="center"/>
            </w:pPr>
            <w:r>
              <w:rPr>
                <w:rFonts w:ascii="Times New Roman" w:hAnsi="Times New Roman" w:eastAsia="Times New Roman"/>
                <w:b/>
                <w:sz w:val="15"/>
              </w:rPr>
              <w:t>Mean scaled half-width</w:t>
            </w:r>
          </w:p>
        </w:tc>
      </w:tr>
      <w:tr>
        <w:tc>
          <w:tcPr>
            <w:tcW w:type="dxa" w:w="1757"/>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b w:val="0"/>
                <w:sz w:val="15"/>
              </w:rPr>
              <w:t>1, densest</w:t>
            </w:r>
          </w:p>
        </w:tc>
        <w:tc>
          <w:tcPr>
            <w:tcW w:type="dxa" w:w="1306"/>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2,250</w:t>
            </w:r>
          </w:p>
        </w:tc>
        <w:tc>
          <w:tcPr>
            <w:tcW w:type="dxa" w:w="1516"/>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0.002693</w:t>
            </w:r>
          </w:p>
        </w:tc>
        <w:tc>
          <w:tcPr>
            <w:tcW w:type="dxa" w:w="1541"/>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0.9796</w:t>
            </w:r>
          </w:p>
        </w:tc>
        <w:tc>
          <w:tcPr>
            <w:tcW w:type="dxa" w:w="1541"/>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0.9684</w:t>
            </w:r>
          </w:p>
        </w:tc>
        <w:tc>
          <w:tcPr>
            <w:tcW w:type="dxa" w:w="1699"/>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0.006207</w:t>
            </w:r>
          </w:p>
        </w:tc>
      </w:tr>
      <w:tr>
        <w:tc>
          <w:tcPr>
            <w:tcW w:type="dxa" w:w="1757"/>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b w:val="0"/>
                <w:sz w:val="15"/>
              </w:rPr>
              <w:t>2</w:t>
            </w:r>
          </w:p>
        </w:tc>
        <w:tc>
          <w:tcPr>
            <w:tcW w:type="dxa" w:w="1306"/>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2,250</w:t>
            </w:r>
          </w:p>
        </w:tc>
        <w:tc>
          <w:tcPr>
            <w:tcW w:type="dxa" w:w="1516"/>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0.003181</w:t>
            </w:r>
          </w:p>
        </w:tc>
        <w:tc>
          <w:tcPr>
            <w:tcW w:type="dxa" w:w="1541"/>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0.9547</w:t>
            </w:r>
          </w:p>
        </w:tc>
        <w:tc>
          <w:tcPr>
            <w:tcW w:type="dxa" w:w="1541"/>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0.9413</w:t>
            </w:r>
          </w:p>
        </w:tc>
        <w:tc>
          <w:tcPr>
            <w:tcW w:type="dxa" w:w="1699"/>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0.006557</w:t>
            </w:r>
          </w:p>
        </w:tc>
      </w:tr>
      <w:tr>
        <w:tc>
          <w:tcPr>
            <w:tcW w:type="dxa" w:w="1757"/>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b w:val="0"/>
                <w:sz w:val="15"/>
              </w:rPr>
              <w:t>3</w:t>
            </w:r>
          </w:p>
        </w:tc>
        <w:tc>
          <w:tcPr>
            <w:tcW w:type="dxa" w:w="1306"/>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2,250</w:t>
            </w:r>
          </w:p>
        </w:tc>
        <w:tc>
          <w:tcPr>
            <w:tcW w:type="dxa" w:w="1516"/>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0.003620</w:t>
            </w:r>
          </w:p>
        </w:tc>
        <w:tc>
          <w:tcPr>
            <w:tcW w:type="dxa" w:w="1541"/>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0.9258</w:t>
            </w:r>
          </w:p>
        </w:tc>
        <w:tc>
          <w:tcPr>
            <w:tcW w:type="dxa" w:w="1541"/>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0.9142</w:t>
            </w:r>
          </w:p>
        </w:tc>
        <w:tc>
          <w:tcPr>
            <w:tcW w:type="dxa" w:w="1699"/>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0.006790</w:t>
            </w:r>
          </w:p>
        </w:tc>
      </w:tr>
      <w:tr>
        <w:tc>
          <w:tcPr>
            <w:tcW w:type="dxa" w:w="1757"/>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b w:val="0"/>
                <w:sz w:val="15"/>
              </w:rPr>
              <w:t>4</w:t>
            </w:r>
          </w:p>
        </w:tc>
        <w:tc>
          <w:tcPr>
            <w:tcW w:type="dxa" w:w="1306"/>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2,250</w:t>
            </w:r>
          </w:p>
        </w:tc>
        <w:tc>
          <w:tcPr>
            <w:tcW w:type="dxa" w:w="1516"/>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0.004109</w:t>
            </w:r>
          </w:p>
        </w:tc>
        <w:tc>
          <w:tcPr>
            <w:tcW w:type="dxa" w:w="1541"/>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0.8933</w:t>
            </w:r>
          </w:p>
        </w:tc>
        <w:tc>
          <w:tcPr>
            <w:tcW w:type="dxa" w:w="1541"/>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0.8911</w:t>
            </w:r>
          </w:p>
        </w:tc>
        <w:tc>
          <w:tcPr>
            <w:tcW w:type="dxa" w:w="1699"/>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0.007035</w:t>
            </w:r>
          </w:p>
        </w:tc>
      </w:tr>
      <w:tr>
        <w:tc>
          <w:tcPr>
            <w:tcW w:type="dxa" w:w="1757"/>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b w:val="0"/>
                <w:sz w:val="15"/>
              </w:rPr>
              <w:t>5, sparsest</w:t>
            </w:r>
          </w:p>
        </w:tc>
        <w:tc>
          <w:tcPr>
            <w:tcW w:type="dxa" w:w="1306"/>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2,250</w:t>
            </w:r>
          </w:p>
        </w:tc>
        <w:tc>
          <w:tcPr>
            <w:tcW w:type="dxa" w:w="1516"/>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0.005522</w:t>
            </w:r>
          </w:p>
        </w:tc>
        <w:tc>
          <w:tcPr>
            <w:tcW w:type="dxa" w:w="1541"/>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0.7613</w:t>
            </w:r>
          </w:p>
        </w:tc>
        <w:tc>
          <w:tcPr>
            <w:tcW w:type="dxa" w:w="1541"/>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0.7831</w:t>
            </w:r>
          </w:p>
        </w:tc>
        <w:tc>
          <w:tcPr>
            <w:tcW w:type="dxa" w:w="1699"/>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0.007438</w:t>
            </w:r>
          </w:p>
        </w:tc>
      </w:tr>
    </w:tbl>
    <w:p>
      <w:pPr>
        <w:spacing w:after="20"/>
      </w:pPr>
    </w:p>
    <w:p>
      <w:pPr>
        <w:pStyle w:val="PaperCaption"/>
      </w:pPr>
      <w:r>
        <w:rPr>
          <w:rFonts w:ascii="Times New Roman" w:hAnsi="Times New Roman" w:eastAsia="Times New Roman"/>
          <w:b/>
          <w:sz w:val="21"/>
        </w:rPr>
        <w:t>Table 4.</w:t>
      </w:r>
      <w:r>
        <w:rPr>
          <w:rFonts w:ascii="Times New Roman" w:hAnsi="Times New Roman" w:eastAsia="Times New Roman"/>
          <w:sz w:val="21"/>
        </w:rPr>
        <w:t xml:space="preserve"> Conditional diagnostic on the large uniform evaluation. Quintiles are defined only by normalized input distance to the fifth-nearest fit design.</w:t>
      </w:r>
    </w:p>
    <w:p>
      <w:r>
        <w:rPr>
          <w:rFonts w:ascii="Times New Roman" w:hAnsi="Times New Roman" w:eastAsia="Times New Roman"/>
          <w:sz w:val="21"/>
        </w:rPr>
        <w:t>All five Gaussian distance quintiles achieved 100% coverage. They occupied a narrow central region: their mean maximum errors ranged only from 0.00228 to 0.00251, and scaled half-widths from 0.00541 to 0.00578. The contrast with the uniform tail demonstrates why marginal coverage should not be interpreted as uniform reliability across the design box.</w:t>
      </w:r>
    </w:p>
    <w:p>
      <w:pPr>
        <w:keepNext/>
        <w:spacing w:before="100" w:after="0"/>
        <w:jc w:val="center"/>
      </w:pPr>
      <w:r>
        <w:drawing>
          <wp:inline xmlns:a="http://schemas.openxmlformats.org/drawingml/2006/main" xmlns:pic="http://schemas.openxmlformats.org/drawingml/2006/picture">
            <wp:extent cx="5806440" cy="4473254"/>
            <wp:docPr id="3" name="Picture 3" descr="Full-curve coverage, error, and scaled width by geometry-distance quintile. The y-axis includes the 76% sparse-tail result rather than truncating it."/>
            <wp:cNvGraphicFramePr>
              <a:graphicFrameLocks noChangeAspect="1"/>
            </wp:cNvGraphicFramePr>
            <a:graphic>
              <a:graphicData uri="http://schemas.openxmlformats.org/drawingml/2006/picture">
                <pic:pic>
                  <pic:nvPicPr>
                    <pic:cNvPr id="0" name="paper2_distance_conditioning.png"/>
                    <pic:cNvPicPr/>
                  </pic:nvPicPr>
                  <pic:blipFill>
                    <a:blip r:embed="rId13"/>
                    <a:stretch>
                      <a:fillRect/>
                    </a:stretch>
                  </pic:blipFill>
                  <pic:spPr>
                    <a:xfrm>
                      <a:off x="0" y="0"/>
                      <a:ext cx="5806440" cy="4473254"/>
                    </a:xfrm>
                    <a:prstGeom prst="rect"/>
                  </pic:spPr>
                </pic:pic>
              </a:graphicData>
            </a:graphic>
          </wp:inline>
        </w:drawing>
      </w:r>
    </w:p>
    <w:p>
      <w:pPr>
        <w:pStyle w:val="PaperCaption"/>
      </w:pPr>
      <w:r>
        <w:rPr>
          <w:rFonts w:ascii="Times New Roman" w:hAnsi="Times New Roman" w:eastAsia="Times New Roman"/>
          <w:b/>
          <w:sz w:val="21"/>
        </w:rPr>
        <w:t>Figure 3.</w:t>
      </w:r>
      <w:r>
        <w:rPr>
          <w:rFonts w:ascii="Times New Roman" w:hAnsi="Times New Roman" w:eastAsia="Times New Roman"/>
          <w:sz w:val="21"/>
        </w:rPr>
        <w:t xml:space="preserve"> Coverage and error by input-geometry density. The lower-left tail failure is the primary limitation of the proposed scaling rule.</w:t>
      </w:r>
    </w:p>
    <w:p>
      <w:pPr>
        <w:pStyle w:val="Heading2"/>
      </w:pPr>
      <w:r>
        <w:rPr>
          <w:rFonts w:ascii="Times New Roman" w:hAnsi="Times New Roman" w:eastAsia="Times New Roman"/>
          <w:sz w:val="21"/>
        </w:rPr>
        <w:t>5.4 Support warning and density shift answer different questions</w:t>
      </w:r>
    </w:p>
    <w:p>
      <w:r>
        <w:rPr>
          <w:rFonts w:ascii="Times New Roman" w:hAnsi="Times New Roman" w:eastAsia="Times New Roman"/>
          <w:sz w:val="21"/>
        </w:rPr>
        <w:t>At a 5% threshold, the geometry-only support rule flagged 620 of 11,250 large-uniform designs (5.511%), 10 of 200 internal designs (5.0%), and none of the 10,000 Gaussian designs. Among accepted large-uniform designs, global-band coverage was 91.85% and scaled-band coverage 91.23%. These accepted-set values are descriptive and do not restore an unconditional guarantee after selection.</w:t>
      </w:r>
    </w:p>
    <w:p>
      <w:r>
        <w:rPr>
          <w:rFonts w:ascii="Times New Roman" w:hAnsi="Times New Roman" w:eastAsia="Times New Roman"/>
          <w:sz w:val="21"/>
        </w:rPr>
        <w:t xml:space="preserve">The absence of Gaussian support rejections is not inconsistent with the weighted diagnostic below. Nearest-neighbour support asks whether a target geometry is unusually far from source fit points. The Gaussian designs lie near the middle of the source design box, so their distances are small. Density-ratio overlap asks whether the source calibration sample places enough probability mass in the same </w:t>
      </w:r>
      <w:r>
        <w:rPr>
          <w:rFonts w:ascii="Times New Roman" w:hAnsi="Times New Roman" w:eastAsia="Times New Roman"/>
          <w:i/>
          <w:sz w:val="21"/>
        </w:rPr>
        <w:t>concentrated central density</w:t>
      </w:r>
      <w:r>
        <w:rPr>
          <w:rFonts w:ascii="Times New Roman" w:hAnsi="Times New Roman" w:eastAsia="Times New Roman"/>
          <w:sz w:val="21"/>
        </w:rPr>
        <w:t>. A point can be inside geometric support yet represent a region that is rare under the broad source distribution.</w:t>
      </w:r>
    </w:p>
    <w:p>
      <w:pPr>
        <w:pStyle w:val="Heading2"/>
      </w:pPr>
      <w:r>
        <w:rPr>
          <w:rFonts w:ascii="Times New Roman" w:hAnsi="Times New Roman" w:eastAsia="Times New Roman"/>
          <w:sz w:val="21"/>
        </w:rPr>
        <w:t>5.5 Weighted conformal succeeds on the uniform half-split and becomes vacuous on Gaussian</w:t>
      </w:r>
    </w:p>
    <w:p>
      <w:r>
        <w:rPr>
          <w:rFonts w:ascii="Times New Roman" w:hAnsi="Times New Roman" w:eastAsia="Times New Roman"/>
          <w:sz w:val="21"/>
        </w:rPr>
        <w:t>The post-primary weighted diagnostic used the degree-two ridge surrogate and disjoint target halves. On the uniform target, the held-out domain AUC was 0.5059, consistent with nearly indistinguishable source and target geometry distributions. Calibration-weight ESS was 516.5 of 600 and the largest normalized calibration weight was 0.529%. Every one of 5,625 evaluation designs received a finite 90% band. Coverage was 91.98% and mean half-width 0.02503, compared with 90.40% / 0.02390 for the unweighted global band on the same half.</w:t>
      </w:r>
    </w:p>
    <w:p>
      <w:r>
        <w:rPr>
          <w:rFonts w:ascii="Times New Roman" w:hAnsi="Times New Roman" w:eastAsia="Times New Roman"/>
          <w:sz w:val="21"/>
        </w:rPr>
        <w:t>For the Gaussian target, the domain classifier's held-out AUC was 1.000. The 600 source calibration weights had ESS 4.31, and a single source design carried 39.70% of normalized mass. The test-point mass at infinity then exceeded the admissible tail mass for every one of 5,000 evaluation geometries. The finite-band rate was therefore 0% at both 90% and 95% nominal coverage. Formally, a vacuous band covers the curve, but such coverage has no engineering utility; we report 0/5,000 finite bands rather than advertising 100% coverage.</w:t>
      </w:r>
    </w:p>
    <w:tbl>
      <w:tblPr>
        <w:tblStyle w:val="TableGrid"/>
        <w:tblW w:type="dxa" w:w="9360"/>
        <w:jc w:val="left"/>
        <w:tblLook w:firstColumn="1" w:firstRow="1" w:lastColumn="0" w:lastRow="0" w:noHBand="0" w:noVBand="1" w:val="04A0"/>
        <w:tblLayout w:type="fixed"/>
        <w:tblInd w:w="120" w:type="dxa"/>
      </w:tblPr>
      <w:tblGrid>
        <w:gridCol w:w="1304"/>
        <w:gridCol w:w="1333"/>
        <w:gridCol w:w="1361"/>
        <w:gridCol w:w="1347"/>
        <w:gridCol w:w="1289"/>
        <w:gridCol w:w="1347"/>
        <w:gridCol w:w="1379"/>
      </w:tblGrid>
      <w:tr>
        <w:trPr>
          <w:tblHeader w:val="true"/>
        </w:trPr>
        <w:tc>
          <w:tcPr>
            <w:tcW w:type="dxa" w:w="1304"/>
            <w:tcMar>
              <w:top w:w="80" w:type="dxa"/>
              <w:start w:w="120" w:type="dxa"/>
              <w:bottom w:w="80" w:type="dxa"/>
              <w:end w:w="120" w:type="dxa"/>
            </w:tcMar>
            <w:vAlign w:val="center"/>
            <w:shd w:fill="F2F4F7"/>
          </w:tcPr>
          <w:p>
            <w:pPr>
              <w:spacing w:before="0" w:after="0" w:line="240" w:lineRule="auto"/>
              <w:jc w:val="left"/>
            </w:pPr>
            <w:r>
              <w:rPr>
                <w:rFonts w:ascii="Times New Roman" w:hAnsi="Times New Roman" w:eastAsia="Times New Roman"/>
                <w:b/>
                <w:sz w:val="15"/>
              </w:rPr>
              <w:t>Target half-split</w:t>
            </w:r>
          </w:p>
        </w:tc>
        <w:tc>
          <w:tcPr>
            <w:tcW w:type="dxa" w:w="1333"/>
            <w:tcMar>
              <w:top w:w="80" w:type="dxa"/>
              <w:start w:w="120" w:type="dxa"/>
              <w:bottom w:w="80" w:type="dxa"/>
              <w:end w:w="120" w:type="dxa"/>
            </w:tcMar>
            <w:vAlign w:val="center"/>
            <w:shd w:fill="F2F4F7"/>
          </w:tcPr>
          <w:p>
            <w:pPr>
              <w:spacing w:before="0" w:after="0" w:line="240" w:lineRule="auto"/>
              <w:jc w:val="center"/>
            </w:pPr>
            <w:r>
              <w:rPr>
                <w:rFonts w:ascii="Times New Roman" w:hAnsi="Times New Roman" w:eastAsia="Times New Roman"/>
                <w:b/>
                <w:sz w:val="15"/>
              </w:rPr>
              <w:t>Held-out domain AUC</w:t>
            </w:r>
          </w:p>
        </w:tc>
        <w:tc>
          <w:tcPr>
            <w:tcW w:type="dxa" w:w="1361"/>
            <w:tcMar>
              <w:top w:w="80" w:type="dxa"/>
              <w:start w:w="120" w:type="dxa"/>
              <w:bottom w:w="80" w:type="dxa"/>
              <w:end w:w="120" w:type="dxa"/>
            </w:tcMar>
            <w:vAlign w:val="center"/>
            <w:shd w:fill="F2F4F7"/>
          </w:tcPr>
          <w:p>
            <w:pPr>
              <w:spacing w:before="0" w:after="0" w:line="240" w:lineRule="auto"/>
              <w:jc w:val="center"/>
            </w:pPr>
            <w:r>
              <w:rPr>
                <w:rFonts w:ascii="Times New Roman" w:hAnsi="Times New Roman" w:eastAsia="Times New Roman"/>
                <w:b/>
                <w:sz w:val="15"/>
              </w:rPr>
              <w:t>Calibration ESS / 600</w:t>
            </w:r>
          </w:p>
        </w:tc>
        <w:tc>
          <w:tcPr>
            <w:tcW w:type="dxa" w:w="1347"/>
            <w:tcMar>
              <w:top w:w="80" w:type="dxa"/>
              <w:start w:w="120" w:type="dxa"/>
              <w:bottom w:w="80" w:type="dxa"/>
              <w:end w:w="120" w:type="dxa"/>
            </w:tcMar>
            <w:vAlign w:val="center"/>
            <w:shd w:fill="F2F4F7"/>
          </w:tcPr>
          <w:p>
            <w:pPr>
              <w:spacing w:before="0" w:after="0" w:line="240" w:lineRule="auto"/>
              <w:jc w:val="center"/>
            </w:pPr>
            <w:r>
              <w:rPr>
                <w:rFonts w:ascii="Times New Roman" w:hAnsi="Times New Roman" w:eastAsia="Times New Roman"/>
                <w:b/>
                <w:sz w:val="15"/>
              </w:rPr>
              <w:t>Max calibration mass</w:t>
            </w:r>
          </w:p>
        </w:tc>
        <w:tc>
          <w:tcPr>
            <w:tcW w:type="dxa" w:w="1289"/>
            <w:tcMar>
              <w:top w:w="80" w:type="dxa"/>
              <w:start w:w="120" w:type="dxa"/>
              <w:bottom w:w="80" w:type="dxa"/>
              <w:end w:w="120" w:type="dxa"/>
            </w:tcMar>
            <w:vAlign w:val="center"/>
            <w:shd w:fill="F2F4F7"/>
          </w:tcPr>
          <w:p>
            <w:pPr>
              <w:spacing w:before="0" w:after="0" w:line="240" w:lineRule="auto"/>
              <w:jc w:val="center"/>
            </w:pPr>
            <w:r>
              <w:rPr>
                <w:rFonts w:ascii="Times New Roman" w:hAnsi="Times New Roman" w:eastAsia="Times New Roman"/>
                <w:b/>
                <w:sz w:val="15"/>
              </w:rPr>
              <w:t>Finite 90% bands</w:t>
            </w:r>
          </w:p>
        </w:tc>
        <w:tc>
          <w:tcPr>
            <w:tcW w:type="dxa" w:w="1347"/>
            <w:tcMar>
              <w:top w:w="80" w:type="dxa"/>
              <w:start w:w="120" w:type="dxa"/>
              <w:bottom w:w="80" w:type="dxa"/>
              <w:end w:w="120" w:type="dxa"/>
            </w:tcMar>
            <w:vAlign w:val="center"/>
            <w:shd w:fill="F2F4F7"/>
          </w:tcPr>
          <w:p>
            <w:pPr>
              <w:spacing w:before="0" w:after="0" w:line="240" w:lineRule="auto"/>
              <w:jc w:val="center"/>
            </w:pPr>
            <w:r>
              <w:rPr>
                <w:rFonts w:ascii="Times New Roman" w:hAnsi="Times New Roman" w:eastAsia="Times New Roman"/>
                <w:b/>
                <w:sz w:val="15"/>
              </w:rPr>
              <w:t>Finite-band coverage</w:t>
            </w:r>
          </w:p>
        </w:tc>
        <w:tc>
          <w:tcPr>
            <w:tcW w:type="dxa" w:w="1379"/>
            <w:tcMar>
              <w:top w:w="80" w:type="dxa"/>
              <w:start w:w="120" w:type="dxa"/>
              <w:bottom w:w="80" w:type="dxa"/>
              <w:end w:w="120" w:type="dxa"/>
            </w:tcMar>
            <w:vAlign w:val="center"/>
            <w:shd w:fill="F2F4F7"/>
          </w:tcPr>
          <w:p>
            <w:pPr>
              <w:spacing w:before="0" w:after="0" w:line="240" w:lineRule="auto"/>
              <w:jc w:val="center"/>
            </w:pPr>
            <w:r>
              <w:rPr>
                <w:rFonts w:ascii="Times New Roman" w:hAnsi="Times New Roman" w:eastAsia="Times New Roman"/>
                <w:b/>
                <w:sz w:val="15"/>
              </w:rPr>
              <w:t>Mean finite half-width</w:t>
            </w:r>
          </w:p>
        </w:tc>
      </w:tr>
      <w:tr>
        <w:tc>
          <w:tcPr>
            <w:tcW w:type="dxa" w:w="1304"/>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b w:val="0"/>
                <w:sz w:val="15"/>
              </w:rPr>
              <w:t>uniform</w:t>
            </w:r>
          </w:p>
        </w:tc>
        <w:tc>
          <w:tcPr>
            <w:tcW w:type="dxa" w:w="1333"/>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0.5059</w:t>
            </w:r>
          </w:p>
        </w:tc>
        <w:tc>
          <w:tcPr>
            <w:tcW w:type="dxa" w:w="1361"/>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516.50</w:t>
            </w:r>
          </w:p>
        </w:tc>
        <w:tc>
          <w:tcPr>
            <w:tcW w:type="dxa" w:w="1347"/>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0.00529</w:t>
            </w:r>
          </w:p>
        </w:tc>
        <w:tc>
          <w:tcPr>
            <w:tcW w:type="dxa" w:w="1289"/>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5,625 / 5,625</w:t>
            </w:r>
          </w:p>
        </w:tc>
        <w:tc>
          <w:tcPr>
            <w:tcW w:type="dxa" w:w="1347"/>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0.9198</w:t>
            </w:r>
          </w:p>
        </w:tc>
        <w:tc>
          <w:tcPr>
            <w:tcW w:type="dxa" w:w="1379"/>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0.02503</w:t>
            </w:r>
          </w:p>
        </w:tc>
      </w:tr>
      <w:tr>
        <w:tc>
          <w:tcPr>
            <w:tcW w:type="dxa" w:w="1304"/>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b w:val="0"/>
                <w:sz w:val="15"/>
              </w:rPr>
              <w:t>Gaussian</w:t>
            </w:r>
          </w:p>
        </w:tc>
        <w:tc>
          <w:tcPr>
            <w:tcW w:type="dxa" w:w="1333"/>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1.0000</w:t>
            </w:r>
          </w:p>
        </w:tc>
        <w:tc>
          <w:tcPr>
            <w:tcW w:type="dxa" w:w="1361"/>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4.31</w:t>
            </w:r>
          </w:p>
        </w:tc>
        <w:tc>
          <w:tcPr>
            <w:tcW w:type="dxa" w:w="1347"/>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0.39704</w:t>
            </w:r>
          </w:p>
        </w:tc>
        <w:tc>
          <w:tcPr>
            <w:tcW w:type="dxa" w:w="1289"/>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0 / 5,000</w:t>
            </w:r>
          </w:p>
        </w:tc>
        <w:tc>
          <w:tcPr>
            <w:tcW w:type="dxa" w:w="1347"/>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not defined</w:t>
            </w:r>
          </w:p>
        </w:tc>
        <w:tc>
          <w:tcPr>
            <w:tcW w:type="dxa" w:w="1379"/>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b w:val="0"/>
                <w:sz w:val="15"/>
              </w:rPr>
              <w:t>not defined</w:t>
            </w:r>
          </w:p>
        </w:tc>
      </w:tr>
    </w:tbl>
    <w:p>
      <w:pPr>
        <w:spacing w:after="20"/>
      </w:pPr>
    </w:p>
    <w:p>
      <w:pPr>
        <w:pStyle w:val="PaperCaption"/>
      </w:pPr>
      <w:r>
        <w:rPr>
          <w:rFonts w:ascii="Times New Roman" w:hAnsi="Times New Roman" w:eastAsia="Times New Roman"/>
          <w:b/>
          <w:sz w:val="21"/>
        </w:rPr>
        <w:t>Table 5.</w:t>
      </w:r>
      <w:r>
        <w:rPr>
          <w:rFonts w:ascii="Times New Roman" w:hAnsi="Times New Roman" w:eastAsia="Times New Roman"/>
          <w:sz w:val="21"/>
        </w:rPr>
        <w:t xml:space="preserve"> Estimated weighted-conformal diagnostic. The Gaussian result is retained as an overlap failure, not repaired by clipping infinite quantiles.</w:t>
      </w:r>
    </w:p>
    <w:p>
      <w:pPr>
        <w:pStyle w:val="Heading2"/>
      </w:pPr>
      <w:r>
        <w:rPr>
          <w:rFonts w:ascii="Times New Roman" w:hAnsi="Times New Roman" w:eastAsia="Times New Roman"/>
          <w:sz w:val="21"/>
        </w:rPr>
        <w:t>5.6 Split-seed sensitivity</w:t>
      </w:r>
    </w:p>
    <w:p>
      <w:r>
        <w:rPr>
          <w:rFonts w:ascii="Times New Roman" w:hAnsi="Times New Roman" w:eastAsia="Times New Roman"/>
          <w:sz w:val="21"/>
        </w:rPr>
        <w:t>Across five deterministic fit/calibration seeds, the 90% global coverage range was 87.99-91.08% on the large uniform table; the geometry-scaled range was 88.93-91.31%. Mean coverage across seeds was 89.72% and 90.09%, respectively. Global mean half-width ranged from 0.00645 to 0.00755; scaled mean half-width from 0.00660 to 0.00762. Gaussian coverage was 99.99-100.00% globally and 99.95-100.00% after scaling. The qualitative conclusions-- near-nominal aggregate uniform coverage, substantial Gaussian overcoverage, and concentrated target width reduction--were stable. Seed variation does not address the systematic sparse-tail failure because every split samples from the same released simulator and design mechanism.</w:t>
      </w:r>
    </w:p>
    <w:p>
      <w:pPr>
        <w:keepNext/>
        <w:spacing w:before="100" w:after="0"/>
        <w:jc w:val="center"/>
      </w:pPr>
      <w:r>
        <w:drawing>
          <wp:inline xmlns:a="http://schemas.openxmlformats.org/drawingml/2006/main" xmlns:pic="http://schemas.openxmlformats.org/drawingml/2006/picture">
            <wp:extent cx="5806440" cy="2755178"/>
            <wp:docPr id="4" name="Picture 4" descr="Five-seed coverage and relative width change. Dots are deterministic split seeds; horizontal ticks are means and vertical strokes are ranges."/>
            <wp:cNvGraphicFramePr>
              <a:graphicFrameLocks noChangeAspect="1"/>
            </wp:cNvGraphicFramePr>
            <a:graphic>
              <a:graphicData uri="http://schemas.openxmlformats.org/drawingml/2006/picture">
                <pic:pic>
                  <pic:nvPicPr>
                    <pic:cNvPr id="0" name="paper2_seed_sensitivity.png"/>
                    <pic:cNvPicPr/>
                  </pic:nvPicPr>
                  <pic:blipFill>
                    <a:blip r:embed="rId14"/>
                    <a:stretch>
                      <a:fillRect/>
                    </a:stretch>
                  </pic:blipFill>
                  <pic:spPr>
                    <a:xfrm>
                      <a:off x="0" y="0"/>
                      <a:ext cx="5806440" cy="2755178"/>
                    </a:xfrm>
                    <a:prstGeom prst="rect"/>
                  </pic:spPr>
                </pic:pic>
              </a:graphicData>
            </a:graphic>
          </wp:inline>
        </w:drawing>
      </w:r>
    </w:p>
    <w:p>
      <w:pPr>
        <w:pStyle w:val="PaperCaption"/>
      </w:pPr>
      <w:r>
        <w:rPr>
          <w:rFonts w:ascii="Times New Roman" w:hAnsi="Times New Roman" w:eastAsia="Times New Roman"/>
          <w:b/>
          <w:sz w:val="21"/>
        </w:rPr>
        <w:t>Figure 4.</w:t>
      </w:r>
      <w:r>
        <w:rPr>
          <w:rFonts w:ascii="Times New Roman" w:hAnsi="Times New Roman" w:eastAsia="Times New Roman"/>
          <w:sz w:val="21"/>
        </w:rPr>
        <w:t xml:space="preserve"> Split sensitivity for the primary ARD Gaussian process.</w:t>
      </w:r>
    </w:p>
    <w:p>
      <w:pPr>
        <w:pStyle w:val="Heading2"/>
      </w:pPr>
      <w:r>
        <w:rPr>
          <w:rFonts w:ascii="Times New Roman" w:hAnsi="Times New Roman" w:eastAsia="Times New Roman"/>
          <w:sz w:val="21"/>
        </w:rPr>
        <w:t>5.7 Representative complete curves</w:t>
      </w:r>
    </w:p>
    <w:p>
      <w:r>
        <w:rPr>
          <w:rFonts w:ascii="Times New Roman" w:hAnsi="Times New Roman" w:eastAsia="Times New Roman"/>
          <w:sz w:val="21"/>
        </w:rPr>
        <w:t>Figure 5 shows four examples selected by frozen, deterministic role and median-error rules, not by visual preference: a dense uniform design covered by both bands; a sparse uniform design rescued by scaling; a sparse design missed by both; and a middle-density Gaussian design covered by both. The examples clarify that the pass/fail endpoint is simultaneous. Even when prediction and truth nearly overlap visually, one local excursion beyond either boundary makes the entire curve a miss.</w:t>
      </w:r>
    </w:p>
    <w:p>
      <w:pPr>
        <w:keepNext/>
        <w:spacing w:before="100" w:after="0"/>
        <w:jc w:val="center"/>
      </w:pPr>
      <w:r>
        <w:drawing>
          <wp:inline xmlns:a="http://schemas.openxmlformats.org/drawingml/2006/main" xmlns:pic="http://schemas.openxmlformats.org/drawingml/2006/picture">
            <wp:extent cx="5806440" cy="4187234"/>
            <wp:docPr id="5" name="Picture 5" descr="Representative truth, surrogate, global boundaries, and geometry-scaled band. Examples are selected by deterministic role and median-error rules."/>
            <wp:cNvGraphicFramePr>
              <a:graphicFrameLocks noChangeAspect="1"/>
            </wp:cNvGraphicFramePr>
            <a:graphic>
              <a:graphicData uri="http://schemas.openxmlformats.org/drawingml/2006/picture">
                <pic:pic>
                  <pic:nvPicPr>
                    <pic:cNvPr id="0" name="paper2_representative_curves.png"/>
                    <pic:cNvPicPr/>
                  </pic:nvPicPr>
                  <pic:blipFill>
                    <a:blip r:embed="rId15"/>
                    <a:stretch>
                      <a:fillRect/>
                    </a:stretch>
                  </pic:blipFill>
                  <pic:spPr>
                    <a:xfrm>
                      <a:off x="0" y="0"/>
                      <a:ext cx="5806440" cy="4187234"/>
                    </a:xfrm>
                    <a:prstGeom prst="rect"/>
                  </pic:spPr>
                </pic:pic>
              </a:graphicData>
            </a:graphic>
          </wp:inline>
        </w:drawing>
      </w:r>
    </w:p>
    <w:p>
      <w:pPr>
        <w:pStyle w:val="PaperCaption"/>
      </w:pPr>
      <w:r>
        <w:rPr>
          <w:rFonts w:ascii="Times New Roman" w:hAnsi="Times New Roman" w:eastAsia="Times New Roman"/>
          <w:b/>
          <w:sz w:val="21"/>
        </w:rPr>
        <w:t>Figure 5.</w:t>
      </w:r>
      <w:r>
        <w:rPr>
          <w:rFonts w:ascii="Times New Roman" w:hAnsi="Times New Roman" w:eastAsia="Times New Roman"/>
          <w:sz w:val="21"/>
        </w:rPr>
        <w:t xml:space="preserve"> Representative 90% simultaneous torque bands. All curves are independent simulations from the same PMSM model; none is hardware data.</w:t>
      </w:r>
    </w:p>
    <w:p>
      <w:pPr>
        <w:pStyle w:val="Heading1"/>
      </w:pPr>
      <w:r>
        <w:rPr>
          <w:rFonts w:ascii="Times New Roman" w:hAnsi="Times New Roman" w:eastAsia="Times New Roman"/>
          <w:sz w:val="21"/>
        </w:rPr>
        <w:t>6. Discussion</w:t>
      </w:r>
    </w:p>
    <w:p>
      <w:pPr>
        <w:pStyle w:val="Heading2"/>
      </w:pPr>
      <w:r>
        <w:rPr>
          <w:rFonts w:ascii="Times New Roman" w:hAnsi="Times New Roman" w:eastAsia="Times New Roman"/>
          <w:sz w:val="21"/>
        </w:rPr>
        <w:t>6.1 What the bands add beyond point accuracy</w:t>
      </w:r>
    </w:p>
    <w:p>
      <w:r>
        <w:rPr>
          <w:rFonts w:ascii="Times New Roman" w:hAnsi="Times New Roman" w:eastAsia="Times New Roman"/>
          <w:sz w:val="21"/>
        </w:rPr>
        <w:t>The ARD Gaussian process is an accurate predictor, but its main practical advantage in this study is not that conformal prediction makes it more accurate. Conformal calibration turns its residual scale into an auditable whole-curve endpoint. On the broad uniform evaluation, the resulting global band met the 90% marginal target with a Wilson interval tightly centred near nominal. More accurate response surfaces produced narrower bands at similar aggregate coverage, so point-model quality remains economically important even when coverage is model-agnostically calibrated.</w:t>
      </w:r>
    </w:p>
    <w:p>
      <w:r>
        <w:rPr>
          <w:rFonts w:ascii="Times New Roman" w:hAnsi="Times New Roman" w:eastAsia="Times New Roman"/>
          <w:sz w:val="21"/>
        </w:rPr>
        <w:t>The analysis also shows why average MAPE is insufficient. Uniform-tail designs had more than twice the mean maximum curve error of dense designs, while aggregate MAPE and aggregate coverage looked strong. A torque design workflow that screens only average error would not surface this risk concentration.</w:t>
      </w:r>
    </w:p>
    <w:p>
      <w:pPr>
        <w:pStyle w:val="Heading2"/>
      </w:pPr>
      <w:r>
        <w:rPr>
          <w:rFonts w:ascii="Times New Roman" w:hAnsi="Times New Roman" w:eastAsia="Times New Roman"/>
          <w:sz w:val="21"/>
        </w:rPr>
        <w:t>6.2 Marginal calibration is not conditional calibration</w:t>
      </w:r>
    </w:p>
    <w:p>
      <w:r>
        <w:rPr>
          <w:rFonts w:ascii="Times New Roman" w:hAnsi="Times New Roman" w:eastAsia="Times New Roman"/>
          <w:sz w:val="21"/>
        </w:rPr>
        <w:t>Split conformal prediction guarantees marginal coverage under exchangeability; it does not guarantee 90% coverage in every geometry neighbourhood. The uniform quintiles demonstrate this distinction empirically. Dense regions overcovered and compensated for severe undercoverage in the sparse fifth. The label-free scale redistributed some width but its linear dependence on fifth-neighbour distance was too weak for the observed error growth.</w:t>
      </w:r>
    </w:p>
    <w:p>
      <w:r>
        <w:rPr>
          <w:rFonts w:ascii="Times New Roman" w:hAnsi="Times New Roman" w:eastAsia="Times New Roman"/>
          <w:sz w:val="21"/>
        </w:rPr>
        <w:t>This negative result is scientifically useful. It defines the next methodological target: learn or construct a scale that is sufficiently responsive to local approximation difficulty without using calibration labels in a way that invalidates the split. Candidate extensions include fit-only residual models, Mondrian partitions fixed by geometry, localized conformal methods with explicit sample-size accounting, or active acquisition of high-fidelity designs in the sparse tail. None should be claimed successful until evaluated on a new, untouched simulation set.</w:t>
      </w:r>
    </w:p>
    <w:p>
      <w:pPr>
        <w:pStyle w:val="Heading2"/>
      </w:pPr>
      <w:r>
        <w:rPr>
          <w:rFonts w:ascii="Times New Roman" w:hAnsi="Times New Roman" w:eastAsia="Times New Roman"/>
          <w:sz w:val="21"/>
        </w:rPr>
        <w:t>6.3 Support and overlap should both be reported</w:t>
      </w:r>
    </w:p>
    <w:p>
      <w:r>
        <w:rPr>
          <w:rFonts w:ascii="Times New Roman" w:hAnsi="Times New Roman" w:eastAsia="Times New Roman"/>
          <w:sz w:val="21"/>
        </w:rPr>
        <w:t>The Gaussian target produced the most instructive contrast. Its designs were central and easy for the ARD surrogate, so nearest-neighbour support accepted all points and empirical bands were narrow and conservative. Yet a classifier separated source and Gaussian target geometries perfectly because their densities differed strongly. Weighted conformal then had only about four effective source calibration observations and correctly returned no useful finite band.</w:t>
      </w:r>
    </w:p>
    <w:p>
      <w:r>
        <w:rPr>
          <w:rFonts w:ascii="Times New Roman" w:hAnsi="Times New Roman" w:eastAsia="Times New Roman"/>
          <w:sz w:val="21"/>
        </w:rPr>
        <w:t>These are not contradictory outcomes. Geometry support is an extrapolation diagnostic; density-ratio ESS is an overlap diagnostic for a particular target population. For a deployed design-distribution change, both are relevant. A central, concentrated target may be straightforward for prediction while still making exact likelihood-ratio reweighting statistically unstable from a finite broad-source calibration set.</w:t>
      </w:r>
    </w:p>
    <w:p>
      <w:pPr>
        <w:pStyle w:val="Heading2"/>
      </w:pPr>
      <w:r>
        <w:rPr>
          <w:rFonts w:ascii="Times New Roman" w:hAnsi="Times New Roman" w:eastAsia="Times New Roman"/>
          <w:sz w:val="21"/>
        </w:rPr>
        <w:t>6.4 Engineering interpretation</w:t>
      </w:r>
    </w:p>
    <w:p>
      <w:r>
        <w:rPr>
          <w:rFonts w:ascii="Times New Roman" w:hAnsi="Times New Roman" w:eastAsia="Times New Roman"/>
          <w:sz w:val="21"/>
        </w:rPr>
        <w:t>The results support three operational rules for this benchmark. First, attach uncertainty to the complete torque period when the downstream decision depends on extrema or ripple. Second, report distance-stratified coverage alongside aggregate coverage; a single marginal number can be materially misleading. Third, treat a vacuous weighted band as a request for more target-relevant high-fidelity calibration designs, not as a numerical nuisance to be clipped away.</w:t>
      </w:r>
    </w:p>
    <w:p>
      <w:r>
        <w:rPr>
          <w:rFonts w:ascii="Times New Roman" w:hAnsi="Times New Roman" w:eastAsia="Times New Roman"/>
          <w:sz w:val="21"/>
        </w:rPr>
        <w:t>The empirical Gaussian bands should not be rejected merely because weighted correction is vacuous: they performed conservatively on all released labels. Conversely, their empirical success should not be promoted to a distribution-free guarantee. A defensible engineering report can hold both statements simultaneously.</w:t>
      </w:r>
    </w:p>
    <w:p>
      <w:pPr>
        <w:pStyle w:val="Heading1"/>
      </w:pPr>
      <w:r>
        <w:rPr>
          <w:rFonts w:ascii="Times New Roman" w:hAnsi="Times New Roman" w:eastAsia="Times New Roman"/>
          <w:sz w:val="21"/>
        </w:rPr>
        <w:t>7. Limitations</w:t>
      </w:r>
    </w:p>
    <w:p>
      <w:r>
        <w:rPr>
          <w:rFonts w:ascii="Times New Roman" w:hAnsi="Times New Roman" w:eastAsia="Times New Roman"/>
          <w:sz w:val="21"/>
        </w:rPr>
        <w:t>This study has six principal limitations.</w:t>
      </w:r>
    </w:p>
    <w:p>
      <w:pPr>
        <w:spacing w:after="80" w:line="290" w:lineRule="auto"/>
        <w:ind w:left="540" w:hanging="279"/>
      </w:pPr>
      <w:r>
        <w:rPr>
          <w:rFonts w:ascii="Times New Roman" w:hAnsi="Times New Roman" w:eastAsia="Times New Roman"/>
          <w:sz w:val="21"/>
        </w:rPr>
        <w:t xml:space="preserve">1. </w:t>
      </w:r>
      <w:r>
        <w:rPr>
          <w:rFonts w:ascii="Times New Roman" w:hAnsi="Times New Roman" w:eastAsia="Times New Roman"/>
          <w:b/>
          <w:sz w:val="21"/>
        </w:rPr>
        <w:t>One numerical machine.</w:t>
      </w:r>
      <w:r>
        <w:rPr>
          <w:rFonts w:ascii="Times New Roman" w:hAnsi="Times New Roman" w:eastAsia="Times New Roman"/>
          <w:sz w:val="21"/>
        </w:rPr>
        <w:t xml:space="preserve"> All 23,250 designs come from one PMSM geometry and one high-fidelity modeling pipeline. Rows are independent simulated parameter draws, not independent physical machines.</w:t>
      </w:r>
    </w:p>
    <w:p>
      <w:pPr>
        <w:spacing w:after="80" w:line="290" w:lineRule="auto"/>
        <w:ind w:left="540" w:hanging="279"/>
      </w:pPr>
      <w:r>
        <w:rPr>
          <w:rFonts w:ascii="Times New Roman" w:hAnsi="Times New Roman" w:eastAsia="Times New Roman"/>
          <w:sz w:val="21"/>
        </w:rPr>
        <w:t xml:space="preserve">2. </w:t>
      </w:r>
      <w:r>
        <w:rPr>
          <w:rFonts w:ascii="Times New Roman" w:hAnsi="Times New Roman" w:eastAsia="Times New Roman"/>
          <w:b/>
          <w:sz w:val="21"/>
        </w:rPr>
        <w:t>Two-dimensional symmetry assumptions.</w:t>
      </w:r>
      <w:r>
        <w:rPr>
          <w:rFonts w:ascii="Times New Roman" w:hAnsi="Times New Roman" w:eastAsia="Times New Roman"/>
          <w:sz w:val="21"/>
        </w:rPr>
        <w:t xml:space="preserve"> The source model represents one quarter of a two-dimensional cross-section and assumes axial invariance. It excludes asymmetric manufacturing deviations, end effects, and other three-dimensional phenomena.</w:t>
      </w:r>
    </w:p>
    <w:p>
      <w:pPr>
        <w:spacing w:after="80" w:line="290" w:lineRule="auto"/>
        <w:ind w:left="540" w:hanging="279"/>
      </w:pPr>
      <w:r>
        <w:rPr>
          <w:rFonts w:ascii="Times New Roman" w:hAnsi="Times New Roman" w:eastAsia="Times New Roman"/>
          <w:sz w:val="21"/>
        </w:rPr>
        <w:t xml:space="preserve">3. </w:t>
      </w:r>
      <w:r>
        <w:rPr>
          <w:rFonts w:ascii="Times New Roman" w:hAnsi="Times New Roman" w:eastAsia="Times New Roman"/>
          <w:b/>
          <w:sz w:val="21"/>
        </w:rPr>
        <w:t>No simulator-discrepancy calibration.</w:t>
      </w:r>
      <w:r>
        <w:rPr>
          <w:rFonts w:ascii="Times New Roman" w:hAnsi="Times New Roman" w:eastAsia="Times New Roman"/>
          <w:sz w:val="21"/>
        </w:rPr>
        <w:t xml:space="preserve"> The bands calibrate surrogate error relative to the released simulator. They do not cover model-form error between the simulator and a manufactured machine.</w:t>
      </w:r>
    </w:p>
    <w:p>
      <w:pPr>
        <w:spacing w:after="80" w:line="290" w:lineRule="auto"/>
        <w:ind w:left="540" w:hanging="279"/>
      </w:pPr>
      <w:r>
        <w:rPr>
          <w:rFonts w:ascii="Times New Roman" w:hAnsi="Times New Roman" w:eastAsia="Times New Roman"/>
          <w:sz w:val="21"/>
        </w:rPr>
        <w:t xml:space="preserve">4. </w:t>
      </w:r>
      <w:r>
        <w:rPr>
          <w:rFonts w:ascii="Times New Roman" w:hAnsi="Times New Roman" w:eastAsia="Times New Roman"/>
          <w:b/>
          <w:sz w:val="21"/>
        </w:rPr>
        <w:t>Marginal, not local, guarantees.</w:t>
      </w:r>
      <w:r>
        <w:rPr>
          <w:rFonts w:ascii="Times New Roman" w:hAnsi="Times New Roman" w:eastAsia="Times New Roman"/>
          <w:sz w:val="21"/>
        </w:rPr>
        <w:t xml:space="preserve"> The geometry-scaled band retains an exchangeable marginal construction for source-like data but provides no universal conditional guarantee. Its sparse-tail coverage is inadequate.</w:t>
      </w:r>
    </w:p>
    <w:p>
      <w:pPr>
        <w:spacing w:after="80" w:line="290" w:lineRule="auto"/>
        <w:ind w:left="540" w:hanging="279"/>
      </w:pPr>
      <w:r>
        <w:rPr>
          <w:rFonts w:ascii="Times New Roman" w:hAnsi="Times New Roman" w:eastAsia="Times New Roman"/>
          <w:sz w:val="21"/>
        </w:rPr>
        <w:t xml:space="preserve">5. </w:t>
      </w:r>
      <w:r>
        <w:rPr>
          <w:rFonts w:ascii="Times New Roman" w:hAnsi="Times New Roman" w:eastAsia="Times New Roman"/>
          <w:b/>
          <w:sz w:val="21"/>
        </w:rPr>
        <w:t>Estimated shift weights.</w:t>
      </w:r>
      <w:r>
        <w:rPr>
          <w:rFonts w:ascii="Times New Roman" w:hAnsi="Times New Roman" w:eastAsia="Times New Roman"/>
          <w:sz w:val="21"/>
        </w:rPr>
        <w:t xml:space="preserve"> The density ratio is estimated with a quadratic logistic classifier. Exact weighted-conformal validity requires stronger knowledge or accuracy conditions. The diagnostic is also post-primary and uses a simpler surrogate.</w:t>
      </w:r>
    </w:p>
    <w:p>
      <w:pPr>
        <w:spacing w:after="80" w:line="290" w:lineRule="auto"/>
        <w:ind w:left="540" w:hanging="279"/>
      </w:pPr>
      <w:r>
        <w:rPr>
          <w:rFonts w:ascii="Times New Roman" w:hAnsi="Times New Roman" w:eastAsia="Times New Roman"/>
          <w:sz w:val="21"/>
        </w:rPr>
        <w:t xml:space="preserve">6. </w:t>
      </w:r>
      <w:r>
        <w:rPr>
          <w:rFonts w:ascii="Times New Roman" w:hAnsi="Times New Roman" w:eastAsia="Times New Roman"/>
          <w:b/>
          <w:sz w:val="21"/>
        </w:rPr>
        <w:t>ARD numerical bounds.</w:t>
      </w:r>
      <w:r>
        <w:rPr>
          <w:rFonts w:ascii="Times New Roman" w:hAnsi="Times New Roman" w:eastAsia="Times New Roman"/>
          <w:sz w:val="21"/>
        </w:rPr>
        <w:t xml:space="preserve"> Several optimized length scales reached the upper bound of 10 in normalized coordinates, suggesting weak sensitivity along those dimensions under the shared-kernel specification. The implementation is reproducible but is not an exhaustive kernel-optimization study.</w:t>
      </w:r>
    </w:p>
    <w:p>
      <w:r>
        <w:rPr>
          <w:rFonts w:ascii="Times New Roman" w:hAnsi="Times New Roman" w:eastAsia="Times New Roman"/>
          <w:sz w:val="21"/>
        </w:rPr>
        <w:t>The next validation step should acquire or reserve an untouched second machine/simulator configuration and prospectively fix both the conditional diagnostic and any improved local scale. Hardware claims additionally require measured torque curves with geometry-linked manufacturing information.</w:t>
      </w:r>
    </w:p>
    <w:p>
      <w:pPr>
        <w:pStyle w:val="Heading1"/>
      </w:pPr>
      <w:r>
        <w:rPr>
          <w:rFonts w:ascii="Times New Roman" w:hAnsi="Times New Roman" w:eastAsia="Times New Roman"/>
          <w:sz w:val="21"/>
        </w:rPr>
        <w:t>8. Conclusion</w:t>
      </w:r>
    </w:p>
    <w:p>
      <w:r>
        <w:rPr>
          <w:rFonts w:ascii="Times New Roman" w:hAnsi="Times New Roman" w:eastAsia="Times New Roman"/>
          <w:sz w:val="21"/>
        </w:rPr>
        <w:t>A Fourier-reduced ARD Gaussian-process surrogate combined with a max-error split-conformal wrapper provided near-nominal 90% simultaneous coverage on 11,250 broad uniform PMSM designs using bands substantially narrower than simpler response surfaces. That aggregate result was not the whole story. Coverage fell to 76.13% globally and 78.31% after geometry scaling in the sparsest input-distance quintile. Conversely, 10,000 narrow central Gaussian designs were all covered with smaller bands, while estimated weighted conformal prediction became entirely vacuous because effective source calibration overlap collapsed.</w:t>
      </w:r>
    </w:p>
    <w:p>
      <w:r>
        <w:rPr>
          <w:rFonts w:ascii="Times New Roman" w:hAnsi="Times New Roman" w:eastAsia="Times New Roman"/>
          <w:sz w:val="21"/>
        </w:rPr>
        <w:t>The central conclusion is therefore methodological and operational: whole-curve marginal coverage, local geometry reliability, extrapolation support, and target-density overlap are different quantities. Reporting them together produces a more honest assessment of a scientific surrogate than point accuracy or aggregate coverage alone. The released benchmark supports this conclusion for one PMSM simulator; extension to other machines and hardware remains future work.</w:t>
      </w:r>
    </w:p>
    <w:p>
      <w:pPr>
        <w:pStyle w:val="Heading1"/>
      </w:pPr>
      <w:r>
        <w:rPr>
          <w:rFonts w:ascii="Times New Roman" w:hAnsi="Times New Roman" w:eastAsia="Times New Roman"/>
          <w:sz w:val="21"/>
        </w:rPr>
        <w:t>Data and code availability</w:t>
      </w:r>
    </w:p>
    <w:p>
      <w:r>
        <w:rPr>
          <w:rFonts w:ascii="Times New Roman" w:hAnsi="Times New Roman" w:eastAsia="Times New Roman"/>
          <w:sz w:val="21"/>
        </w:rPr>
        <w:t xml:space="preserve">The source data are publicly available at Zenodo, DOI </w:t>
      </w:r>
      <w:r>
        <w:rPr>
          <w:rFonts w:ascii="Courier New" w:hAnsi="Courier New" w:eastAsia="Courier New"/>
          <w:sz w:val="18"/>
        </w:rPr>
        <w:t>10.5281/zenodo.15688397</w:t>
      </w:r>
      <w:r>
        <w:rPr>
          <w:rFonts w:ascii="Times New Roman" w:hAnsi="Times New Roman" w:eastAsia="Times New Roman"/>
          <w:sz w:val="21"/>
        </w:rPr>
        <w:t>, under GPL-3.0-or-later. The companion analysis contains deterministic split definitions, file hashes, audit outputs, model and conformal implementations, frozen result tables, figure generators, and automated tests. A public repository URL and archival DOI will be inserted at submission.</w:t>
      </w:r>
    </w:p>
    <w:p>
      <w:pPr>
        <w:pStyle w:val="Heading1"/>
      </w:pPr>
      <w:r>
        <w:rPr>
          <w:rFonts w:ascii="Times New Roman" w:hAnsi="Times New Roman" w:eastAsia="Times New Roman"/>
          <w:sz w:val="21"/>
        </w:rPr>
        <w:t>Declarations</w:t>
      </w:r>
    </w:p>
    <w:p>
      <w:r>
        <w:rPr>
          <w:rFonts w:ascii="Times New Roman" w:hAnsi="Times New Roman" w:eastAsia="Times New Roman"/>
          <w:b/>
          <w:sz w:val="21"/>
        </w:rPr>
        <w:t>Funding:</w:t>
      </w:r>
      <w:r>
        <w:rPr>
          <w:rFonts w:ascii="Times New Roman" w:hAnsi="Times New Roman" w:eastAsia="Times New Roman"/>
          <w:sz w:val="21"/>
        </w:rPr>
        <w:t xml:space="preserve"> To be completed by the authors.</w:t>
      </w:r>
    </w:p>
    <w:p>
      <w:r>
        <w:rPr>
          <w:rFonts w:ascii="Times New Roman" w:hAnsi="Times New Roman" w:eastAsia="Times New Roman"/>
          <w:b/>
          <w:sz w:val="21"/>
        </w:rPr>
        <w:t>Competing interests:</w:t>
      </w:r>
      <w:r>
        <w:rPr>
          <w:rFonts w:ascii="Times New Roman" w:hAnsi="Times New Roman" w:eastAsia="Times New Roman"/>
          <w:sz w:val="21"/>
        </w:rPr>
        <w:t xml:space="preserve"> The authors declare no competing interests, subject to final author confirmation.</w:t>
      </w:r>
    </w:p>
    <w:p>
      <w:r>
        <w:rPr>
          <w:rFonts w:ascii="Times New Roman" w:hAnsi="Times New Roman" w:eastAsia="Times New Roman"/>
          <w:b/>
          <w:sz w:val="21"/>
        </w:rPr>
        <w:t>Author contributions:</w:t>
      </w:r>
      <w:r>
        <w:rPr>
          <w:rFonts w:ascii="Times New Roman" w:hAnsi="Times New Roman" w:eastAsia="Times New Roman"/>
          <w:sz w:val="21"/>
        </w:rPr>
        <w:t xml:space="preserve"> To be completed after the author list is finalized.</w:t>
      </w:r>
    </w:p>
    <w:p>
      <w:r>
        <w:rPr>
          <w:rFonts w:ascii="Times New Roman" w:hAnsi="Times New Roman" w:eastAsia="Times New Roman"/>
          <w:b/>
          <w:sz w:val="21"/>
        </w:rPr>
        <w:t>Ethics approval:</w:t>
      </w:r>
      <w:r>
        <w:rPr>
          <w:rFonts w:ascii="Times New Roman" w:hAnsi="Times New Roman" w:eastAsia="Times New Roman"/>
          <w:sz w:val="21"/>
        </w:rPr>
        <w:t xml:space="preserve"> Not applicable; the study uses public numerical simulation data and no human or animal participants.</w:t>
      </w:r>
    </w:p>
    <w:p>
      <w:pPr>
        <w:pStyle w:val="Heading1"/>
      </w:pPr>
      <w:r>
        <w:t>References</w:t>
      </w:r>
    </w:p>
    <w:p>
      <w:pPr>
        <w:spacing w:after="80"/>
        <w:ind w:left="360" w:hanging="360"/>
      </w:pPr>
      <w:r>
        <w:rPr>
          <w:rFonts w:ascii="Times New Roman" w:hAnsi="Times New Roman" w:eastAsia="Times New Roman"/>
          <w:sz w:val="18"/>
        </w:rPr>
        <w:t>[1] Partovizadeh, A., Schöps, S., &amp; Loukrezis, D. (2025). Fourier-Enhanced Reduced-Order Surrogate Modeling for Uncertainty Quantification in Electric Machine Design. Engineering with Computers, 41, 2619-2639. https://doi.org/10.1007/s00366-025-02123-1</w:t>
      </w:r>
    </w:p>
    <w:p>
      <w:pPr>
        <w:spacing w:after="80"/>
        <w:ind w:left="360" w:hanging="360"/>
      </w:pPr>
      <w:r>
        <w:rPr>
          <w:rFonts w:ascii="Times New Roman" w:hAnsi="Times New Roman" w:eastAsia="Times New Roman"/>
          <w:sz w:val="18"/>
        </w:rPr>
        <w:t>[2] Lei, J., G'Sell, M., Rinaldo, A., Tibshirani, R. J., &amp; Wasserman, L. (2018). Distribution-Free Predictive Inference for Regression. Journal of the American Statistical Association, 113(523), 1094-1111. https://doi.org/10.1080/01621459.2017.1307116</w:t>
      </w:r>
    </w:p>
    <w:p>
      <w:pPr>
        <w:spacing w:after="80"/>
        <w:ind w:left="360" w:hanging="360"/>
      </w:pPr>
      <w:r>
        <w:rPr>
          <w:rFonts w:ascii="Times New Roman" w:hAnsi="Times New Roman" w:eastAsia="Times New Roman"/>
          <w:sz w:val="18"/>
        </w:rPr>
        <w:t>[3] Angelopoulos, A. N., &amp; Bates, S. (2023). Conformal Prediction: A Gentle Introduction. Foundations and Trends in Machine Learning, 16(4), 494-591. https://doi.org/10.1561/2200000101</w:t>
      </w:r>
    </w:p>
    <w:p>
      <w:pPr>
        <w:spacing w:after="80"/>
        <w:ind w:left="360" w:hanging="360"/>
      </w:pPr>
      <w:r>
        <w:rPr>
          <w:rFonts w:ascii="Times New Roman" w:hAnsi="Times New Roman" w:eastAsia="Times New Roman"/>
          <w:sz w:val="18"/>
        </w:rPr>
        <w:t>[4] Diquigiovanni, J., Fontana, M., &amp; Vantini, S. (2022). Conformal Prediction Bands for Multivariate Functional Data. Journal of Multivariate Analysis, 189, 104879. https://doi.org/10.1016/j.jmva.2021.104879</w:t>
      </w:r>
    </w:p>
    <w:p>
      <w:pPr>
        <w:spacing w:after="80"/>
        <w:ind w:left="360" w:hanging="360"/>
      </w:pPr>
      <w:r>
        <w:rPr>
          <w:rFonts w:ascii="Times New Roman" w:hAnsi="Times New Roman" w:eastAsia="Times New Roman"/>
          <w:sz w:val="18"/>
        </w:rPr>
        <w:t>[5] Diquigiovanni, J., Fontana, M., &amp; Vantini, S. (2025). The Importance of Being a Band: Finite-Sample Exact Distribution-Free Prediction Sets for Functional Data. Statistica Sinica, 35(2). https://doi.org/10.5705/ss.202022.0087</w:t>
      </w:r>
    </w:p>
    <w:p>
      <w:pPr>
        <w:spacing w:after="80"/>
        <w:ind w:left="360" w:hanging="360"/>
      </w:pPr>
      <w:r>
        <w:rPr>
          <w:rFonts w:ascii="Times New Roman" w:hAnsi="Times New Roman" w:eastAsia="Times New Roman"/>
          <w:sz w:val="18"/>
        </w:rPr>
        <w:t>[6] El Mekkaoui, S., Ferreira, C. J., Guevara Gómez, J. C., Agrell, C., Vaughan, N. J., &amp; Heggen, H. O. (2023). Neural Networks Based Conformal Prediction for Pipeline Structural Response. In Proceedings of the Twelfth Symposium on Conformal and Probabilistic Prediction with Applications (Vol. 204, pp. 134-146). https://proceedings.mlr.press/v204/el-mekkaoui23a.html</w:t>
      </w:r>
    </w:p>
    <w:p>
      <w:pPr>
        <w:spacing w:after="80"/>
        <w:ind w:left="360" w:hanging="360"/>
      </w:pPr>
      <w:r>
        <w:rPr>
          <w:rFonts w:ascii="Times New Roman" w:hAnsi="Times New Roman" w:eastAsia="Times New Roman"/>
          <w:sz w:val="18"/>
        </w:rPr>
        <w:t>[7] Jaber, E., Blot, V., Brunel, N. J. B., Chabridon, V., Remy, E., Iooss, B., Lucor, D., Mougeot, M., &amp; Leite, A. (2025). Conformal Approach to Gaussian Process Surrogate Evaluation with Marginal Coverage Guarantees. Journal of Machine Learning for Modeling and Computing, 6(3), 37-68. https://doi.org/10.1615/JMachLearnModelComput.2025054687</w:t>
      </w:r>
    </w:p>
    <w:p>
      <w:pPr>
        <w:spacing w:after="80"/>
        <w:ind w:left="360" w:hanging="360"/>
      </w:pPr>
      <w:r>
        <w:rPr>
          <w:rFonts w:ascii="Times New Roman" w:hAnsi="Times New Roman" w:eastAsia="Times New Roman"/>
          <w:sz w:val="18"/>
        </w:rPr>
        <w:t>[8] Gray, A., Gopakumar, V., Rousseau, S., &amp; Destercke, S. (2025). Guaranteed Prediction Sets for Functional Surrogate Models. In Proceedings of the Forty-First Conference on Uncertainty in Artificial Intelligence (Vol. 286, pp. 1569-1585). https://proceedings.mlr.press/v286/gray25a.html</w:t>
      </w:r>
    </w:p>
    <w:p>
      <w:pPr>
        <w:spacing w:after="80"/>
        <w:ind w:left="360" w:hanging="360"/>
      </w:pPr>
      <w:r>
        <w:rPr>
          <w:rFonts w:ascii="Times New Roman" w:hAnsi="Times New Roman" w:eastAsia="Times New Roman"/>
          <w:sz w:val="18"/>
        </w:rPr>
        <w:t>[9] Gopakumar, V., Gray, A., Oskarsson, J., Zanisi, L., Giles, D., Kusner, M. J., Pamela, S., &amp; Deisenroth, M. P. (2026). Uncertainty Quantification of Surrogate Models Using Conformal Prediction. Machine Learning: Science and Technology, 7(1), 015025. https://doi.org/10.1088/2632-2153/ae2e7b</w:t>
      </w:r>
    </w:p>
    <w:p>
      <w:pPr>
        <w:spacing w:after="80"/>
        <w:ind w:left="360" w:hanging="360"/>
      </w:pPr>
      <w:r>
        <w:rPr>
          <w:rFonts w:ascii="Times New Roman" w:hAnsi="Times New Roman" w:eastAsia="Times New Roman"/>
          <w:sz w:val="18"/>
        </w:rPr>
        <w:t>[10] Tibshirani, R. J., Barber, R. F., Candès, E. J., &amp; Ramdas, A. (2019). Conformal Prediction Under Covariate Shift. In Advances in Neural Information Processing Systems (Vol. 32). https://papers.neurips.cc/paper_files/paper/2019/hash/8fb21ee7a2207526da55a679f0332de2-Abstract.html</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5A5A5A"/>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Times New Roman"/>
        <w:i/>
        <w:color w:val="646464"/>
        <w:sz w:val="17"/>
      </w:rPr>
      <w:t>Curvewise Conformal PMSM Torque Bands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88" w:lineRule="auto"/>
      <w:jc w:val="both"/>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Times New Roman" w:hAnsi="Times New Roman"/>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Times New Roman" w:hAnsi="Times New Roman"/>
      <w:b/>
      <w:bCs/>
      <w:i w:val="0"/>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i/>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240"/>
      <w:contextualSpacing/>
      <w:jc w:val="center"/>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Times New Roman" w:hAnsi="Times New Roman"/>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Times New Roman" w:hAnsi="Times New Roman"/>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perCaption">
    <w:name w:val="Paper Caption"/>
    <w:pPr>
      <w:keepNext w:val="0"/>
      <w:spacing w:before="60" w:after="140"/>
      <w:jc w:val="left"/>
    </w:pPr>
    <w:rPr>
      <w:rFonts w:ascii="Times New Roman" w:hAnsi="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Curvewise Conformal Prediction Bands for Periodic PMSM Torque Surrogates under Design-Distribution Shift</dc:title>
  <dc:subject>Journal-neutral Paper 2 submission draft</dc:subject>
  <dc:creator>Anonymous</dc:creator>
  <cp:keywords>PMSM; conformal prediction; surrogate; torque</cp:keywords>
  <dc:description>Generated from evidence-validated Markdown</dc:description>
  <cp:lastModifiedBy>Anonymous</cp:lastModifiedBy>
  <cp:revision>1</cp:revision>
  <dcterms:created xsi:type="dcterms:W3CDTF">2013-12-23T23:15:00Z</dcterms:created>
  <dcterms:modified xsi:type="dcterms:W3CDTF">2013-12-23T23:15:00Z</dcterms:modified>
  <cp:category/>
</cp:coreProperties>
</file>