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in PMSM Stator-Fault Detection: A Leakage-Resistant Cross-Dataset Evaluation</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healthy-only detectors in a primary two-dataset analysis with motor/file separation, chronological target-health splits, 3 s alarm blocks, and no target-fault labels for fitting or thresholding. An exploratory study used three same-manufacturer 1.0, 1.5, and 3.0 kW PMSMs at fixed speed and load. The motor-balanced Log-Euclidean detector produced 0/42 healthy alarms and 95.71% fault-block detection. A motor-balanced Isolation Forest produced 0/42 and 96.07%, without a resolved difference. We froze the pipeline and health threshold before revealing 48 fault records from an independent dual-three-phase PMSM accelerated at eight loads. The frozen detector failed its empirical health gate (1/32 alarms; descriptive 95% Wilson upper confidence bound 15.74% versus a 12% limit), detected 25.00% of fault blocks (95% turn-stratified record-bootstrap interval 21.09-29.43%), and attained an area under the receiver-operating-characteristic curve (AUROC) of 0.635. Target-only Minimum Covariance Determinant produced 0/32 healthy alarms, 70.05% detection (65.36-75.26%), and AUROC 0.927. The frozen detector alarmed on none of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domain-adversarial neural networks (DANN), maximum mean discrepancy (MMD), correlation alignment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each physical motor from the Korea Advanced Institute of Science and Technology (KAIST) dataset as the outer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covariance geometry, and calibrated alarms</w:t>
      </w:r>
    </w:p>
    <w:p>
      <w:r>
        <w:rPr>
          <w:rFonts w:ascii="Times New Roman" w:hAnsi="Times New Roman" w:eastAsia="Times New Roman"/>
          <w:sz w:val="20"/>
        </w:rPr>
        <w:t>A one-class support vector machine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symmetric positive-definite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cyclic redundancy check (CRC); an extracted pair was additionally identical by a 256-bit Secure Hash Algorithm (SHA-256) digest. They are aliases rather than independent repeats. After deduplication, the current study contains three healthy and 42 fault records. Several Technical Data Management Streaming (TDMS) fault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root-mean-square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confidence interval (CI), maximum per-motor empirical false-alarm rate (FAR),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Its eight healthy records are acceleration sweeps at 0-35 Nm, not steady 5000 rpm records. A health-only audit fixed the common analysis interval to [12, 36) s before any external fault file was downloaded. The 0 Nm record supplies four 3 s target-adaptation blocks; the independent 10, 20, and 30 Nm records supply 24 system-calibration blocks; and the 5, 15, 25, and 35 Nm records supply 32 held-out healthy blocks.</w:t>
      </w:r>
    </w:p>
    <w:p>
      <w:r>
        <w:rPr>
          <w:rFonts w:ascii="Times New Roman" w:hAnsi="Times New Roman" w:eastAsia="Times New Roman"/>
          <w:sz w:val="20"/>
        </w:rPr>
        <w:t>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 byte-count, and Message-Digest Algorithm 5 (MD5) manifest, and processed once over the unchanged [12, 36) s interval. The run yielded a complete 6 fault-turn counts by 8 loads grid (384 system blocks). The chronological reveal log and hash-addressed commits are retained as audit evidence.</w:t>
      </w:r>
    </w:p>
    <w:p>
      <w:r>
        <w:rPr>
          <w:rFonts w:ascii="Times New Roman" w:hAnsi="Times New Roman" w:eastAsia="Times New Roman"/>
          <w:sz w:val="20"/>
        </w:rPr>
        <w:t>The six fault-turn levels were not crossed with fault phase: 1-, 3-, 5-, and 6-turn faults were assigned to phase U, whereas 2- and 4-turn faults were assigned to phase V. Thus fault-turn count and fault phase are not fully crossed, and their separate effects are not identifiable from this external dataset.</w:t>
      </w:r>
    </w:p>
    <w:p>
      <w:r>
        <w:rPr>
          <w:rFonts w:ascii="Times New Roman" w:hAnsi="Times New Roman" w:eastAsia="Times New Roman"/>
          <w:sz w:val="20"/>
        </w:rPr>
        <w:t>The predeclared empirical health gate (H1) required both a descriptive pooled 95% Wilson upper confidence bound no greater than 12% and a maximum load-specific empirical FAR no greater than 15%. Because its 32 blocks came from four records of one motor, H1 was an engineering decision rule rather than a population-level probability guarantee. The fault endpoint covers all eight loads, whereas the held-out health endpoint covers 5, 15, 25, and 35 N m. Pooled external block AUROC therefore contrasts eight fault-load conditions with four health-load conditions and is descriptive rather than load matched.</w:t>
      </w:r>
    </w:p>
    <w:p>
      <w:pPr>
        <w:pStyle w:val="Heading2"/>
      </w:pPr>
      <w:r>
        <w:rPr>
          <w:rFonts w:ascii="Times New Roman" w:hAnsi="Times New Roman" w:eastAsia="Times New Roman"/>
          <w:sz w:val="20"/>
        </w:rPr>
        <w:t>5.3 Prospectively frozen secondary transient-set audit</w:t>
      </w:r>
    </w:p>
    <w:p>
      <w:r>
        <w:rPr>
          <w:rFonts w:ascii="Times New Roman" w:hAnsi="Times New Roman" w:eastAsia="Times New Roman"/>
          <w:sz w:val="20"/>
        </w:rPr>
        <w:t>A secondary stress test used a public 10 kHz dataset containing 12 records from one 200 W PMSM and nine from one 20 kW PMSM [34]. Every record transitions from prefault operation to an interturn short circuit under steady-state, load-transient, or speed-transient operation; there are no independent healthy-only records. Before loading any signal values, we froze the archive hash, full-record inclusion rule, parser contract, channel whitelist, onset rule, method set, thresholds, and outputs. Only measured alpha-beta current entered the 26-feature score; fault current located onset and electrical speed was retained for quality control only.</w:t>
      </w:r>
    </w:p>
    <w:p>
      <w:r>
        <w:rPr>
          <w:rFonts w:ascii="Times New Roman" w:hAnsi="Times New Roman" w:eastAsia="Times New Roman"/>
          <w:sz w:val="20"/>
        </w:rPr>
        <w:t>The primary endpoint used non-overlapping 0.2 s windows, a 0.2 s prefault guard, and the first 1 s after the frozen causal onset. Within each motor, one complete record was held out while the remaining records were assigned by hash to healthy-reference fitting or calibration. At least 19 calibration windows and at least 80% compatible records per motor were required. Parser incompatibility and failure of this motor-level gate were predeclared reportable outcomes: no record, time interval, or onset could be manually substituted after reveal. Because prefault segments and fault segments occur within the same records, this audit was designated a secondary transient stress test rather than a third independent health-cohort validation.</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753"/>
        <w:gridCol w:w="1682"/>
        <w:gridCol w:w="1682"/>
        <w:gridCol w:w="1474"/>
        <w:gridCol w:w="1397"/>
        <w:gridCol w:w="1372"/>
      </w:tblGrid>
      <w:tr>
        <w:trPr>
          <w:tblHeader w:val="true"/>
        </w:trPr>
        <w:tc>
          <w:tcPr>
            <w:tcW w:type="dxa" w:w="175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47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3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37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587453"/>
            <wp:docPr id="3" name="Picture 3" descr="Record-level paired detection differences."/>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587453"/>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 differences</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013"/>
        <w:gridCol w:w="2416"/>
        <w:gridCol w:w="2034"/>
        <w:gridCol w:w="1897"/>
      </w:tblGrid>
      <w:tr>
        <w:trPr>
          <w:tblHeader w:val="true"/>
        </w:trPr>
        <w:tc>
          <w:tcPr>
            <w:tcW w:type="dxa" w:w="301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2416"/>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203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8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731187"/>
            <wp:docPr id="4" name="Picture 4" descr="Paired record differences against strong one-class baseline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731187"/>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Paired record differences against strong one-class baselines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primary setting selected from health autocorrelation.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(40.62-49.48%).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3252623"/>
            <wp:docPr id="8" name="Picture 8" descr="External fault detection, healthy false alarms, and the predeclared H1 decision."/>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3252623"/>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healthy false alarms, and the predeclared H1 decision</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733981"/>
            <wp:docPr id="9" name="Picture 9" descr="Threshold-normalized score and alarm drift over the acceleration trajectory."/>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73398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Threshold-normalized score and alarm drift over the acceleration trajectory</w:t>
      </w:r>
    </w:p>
    <w:p>
      <w:r>
        <w:rPr>
          <w:rFonts w:ascii="Times New Roman" w:hAnsi="Times New Roman" w:eastAsia="Times New Roman"/>
          <w:sz w:val="20"/>
        </w:rPr>
        <w:t>The failure was also load dependent. Frozen-detector block detection fell from 56.25% at 0 N m to 12.50% at 35 N m. Across the six fixed turn-phase conditions, detection ranged from 15.63% to 32.81% and did not increase monotonically. Because turn count and phase are not fully crossed, this pattern is not an identifiable severity trend. The full 6 by 8 condition grid shows that many high-load records triggered in only one of eight ordered blocks. The complete turn-phase-by-load alarm grid is shown in Fig. 10.</w:t>
      </w:r>
    </w:p>
    <w:p>
      <w:pPr>
        <w:keepNext/>
        <w:spacing w:before="80" w:after="0"/>
        <w:jc w:val="center"/>
      </w:pPr>
      <w:r>
        <w:drawing>
          <wp:inline xmlns:a="http://schemas.openxmlformats.org/drawingml/2006/main" xmlns:pic="http://schemas.openxmlformats.org/drawingml/2006/picture">
            <wp:extent cx="5806440" cy="3660149"/>
            <wp:docPr id="10" name="Picture 10" descr="Frozen-detector block detection over fault turns and load; row labels show the fixed fault phase, so turn and phase effects are not separately identifiable."/>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3660149"/>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block detection over fault turns and load; row labels show the fixed fault phase, so turn and phase effects are not separately identifiable</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806905"/>
            <wp:docPr id="11" name="Picture 11" descr="Post-reveal single-feature discrimination versus frozen-score contribution."/>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806905"/>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leave-one-motor-out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2"/>
      </w:pPr>
      <w:r>
        <w:rPr>
          <w:rFonts w:ascii="Times New Roman" w:hAnsi="Times New Roman" w:eastAsia="Times New Roman"/>
          <w:sz w:val="20"/>
        </w:rPr>
        <w:t>6.11 Secondary transient-set compatibility and null sensitivity</w:t>
      </w:r>
    </w:p>
    <w:p>
      <w:r>
        <w:rPr>
          <w:rFonts w:ascii="Times New Roman" w:hAnsi="Times New Roman" w:eastAsia="Times New Roman"/>
          <w:sz w:val="20"/>
        </w:rPr>
        <w:t xml:space="preserve">The frozen primary parser attempted all 21 official records and accepted none. The MATLAB </w:t>
      </w:r>
      <w:r>
        <w:rPr>
          <w:rFonts w:ascii="Courier New" w:hAnsi="Courier New" w:eastAsia="Courier New"/>
          <w:sz w:val="17"/>
        </w:rPr>
        <w:t>timeseries</w:t>
      </w:r>
      <w:r>
        <w:rPr>
          <w:rFonts w:ascii="Times New Roman" w:hAnsi="Times New Roman" w:eastAsia="Times New Roman"/>
          <w:sz w:val="20"/>
        </w:rPr>
        <w:t xml:space="preserve"> objects contained empty explicit time arrays even though uniform 10 kHz timing was encoded in their metadata, whereas the frozen parser required an explicit monotonic time vector. Consequently, the primary run produced no features, scores, or detector comparison; this is a prospective compatibility failure, not a fault-detection result.</w:t>
      </w:r>
    </w:p>
    <w:p>
      <w:r>
        <w:rPr>
          <w:rFonts w:ascii="Times New Roman" w:hAnsi="Times New Roman" w:eastAsia="Times New Roman"/>
          <w:sz w:val="20"/>
        </w:rPr>
        <w:t>An opt-in post-reveal structural repair reconstructed time only from the stored start, increment, and length metadata without changing signals, features, or onset rules. It made 12/12 records from the 200 W motor and 4/9 from the 20 kW motor compatible. The other five 20 kW onsets overlapped the frozen 0.5 s baseline, so that motor failed the 80% gate (44.44%) and was not selectively reanalyzed. A descriptive leave-one-record-out sensitivity on the single 200 W motor then produced 0/60 alarms in the primary first-second fault windows for every one of 12 detectors, and 0/120 across the full 2 s post-onset horizon. Held-out prefault alarms ranged from 7/176 to 13/176. Proposed produced 8/176 (4.55%) with mean record AUROC 0.541; Target MinCovDet produced 9/176 (5.11%) with AUROC 0.564. With no standalone healthy sessions, zero thresholded detection, and only one analyzed motor, this post-reveal result neither confirms generalization nor identifies positive or negative transfer. Full compatibility, method, and hash tables are reported in Online Resource 1, Section S9.</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area under the precision-recall curve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The secondary transient audit adds a different failure mode: a validation can fail before model comparison if file-time semantics or available prefault baselines do not meet the frozen contract. Reconstructing documented implicit time made analysis possible, but it did not restore confirmatory status. The 200 W null sensitivity is consistent with cross-record healthy heterogeneity overwhelming the short post-onset change under these thresholds; because this interpretation followed reveal, it is a design diagnostic rather than evidence for a revised detector.</w:t>
      </w:r>
    </w:p>
    <w:p>
      <w:r>
        <w:rPr>
          <w:rFonts w:ascii="Times New Roman" w:hAnsi="Times New Roman" w:eastAsia="Times New Roman"/>
          <w:sz w:val="20"/>
        </w:rPr>
        <w:t>Seven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external fault-turn count and phase are not fully crossed, so their effects cannot be separated. Sixth, the external shift is compound, so this experiment cannot causally separate topology, sampling rate, controller, speed, and load effects. Seventh, the secondary transient dataset has no independent healthy records; its frozen parser failed, only four of nine 20 kW records passed the repaired baseline gate, and the reported 200 W sensitivity is post-reveal and conditional on one motor.</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documented time semantics, and adequate prefault duration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A prospectively logged secondary audit likewise did not supply confirmatory evidence: its primary parser was incompatible with the stored time representation, and all methods missed the first second in the repaired single-motor sensitivity.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the independent dual-three-phase PMSM dataset and the secondary 200 W/20 kW transient dataset are available from Zenodo. All three are under the Creative Commons Attribution (CC BY) 4.0 licence [31, 32, 34]. The project contains resumable checksummed downloads, archive and MATLAB-file audits, duplicate removal, feature extraction, motor/file-level evaluation, paired bootstrap, sensitivity analyses, automated tests, and figure generation. Raw data remain excluded from version control; the reveal manifests, protocols, selected derived results, and audit metadata are retained for exact reconstruction. Detailed partitions, thresholds, comparator results, post-reveal diagnostics, sampling-rate controls, transient-set compatibility outcomes,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 large language model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p>
      <w:pPr>
        <w:spacing w:after="80"/>
        <w:ind w:left="360" w:hanging="360"/>
      </w:pPr>
      <w:r>
        <w:rPr>
          <w:rFonts w:ascii="Times New Roman" w:hAnsi="Times New Roman" w:eastAsia="Times New Roman"/>
          <w:sz w:val="18"/>
        </w:rPr>
        <w:t>[34] Zezula, L., Kozovsky, M., &amp; Blaha, P. (2024). Diagnostics of Interturn Short Circuits in PMSMs With Online Fault Indicators Estimation - Dataset [Data set]. Zenodo. https://doi.org/10.5281/zenodo.15631383</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