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3</w:t>
        <w:br/>
        <w:t>«Порождающие паттерны проектирования»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3. Порождающие паттерны проектирования</w:t>
      </w:r>
    </w:p>
    <w:p>
      <w:pPr>
        <w:pStyle w:val="Heading2"/>
      </w:pPr>
      <w:r>
        <w:t>Цель работы</w:t>
      </w:r>
    </w:p>
    <w:p>
      <w:r>
        <w:t>Реализовать порождающие паттерны и применить их к созданию игровых объектов и сценариев.</w:t>
      </w:r>
    </w:p>
    <w:p>
      <w:pPr>
        <w:pStyle w:val="Heading2"/>
      </w:pPr>
      <w:r>
        <w:t>Задание</w:t>
      </w:r>
    </w:p>
    <w:p>
      <w:r>
        <w:t>В модуле реализованы Singleton для конфигурации карты, Factory Method для создания юнита, Abstract Factory для согласованного создания объектов фракции и Builder для пошаговой сборки сценария обороны.</w:t>
      </w:r>
    </w:p>
    <w:p>
      <w:pPr>
        <w:pStyle w:val="Heading2"/>
      </w:pPr>
      <w:r>
        <w:t>Ход работы и реализация</w:t>
      </w:r>
    </w:p>
    <w:p>
      <w:r>
        <w:t>Каждый паттерн решает отдельную задачу создания: единая конфигурация, делегирование выбора типа юнита, создание совместимых объектов и настройка составного сценария.</w:t>
      </w:r>
    </w:p>
    <w:p>
      <w:pPr>
        <w:pStyle w:val="Heading2"/>
      </w:pPr>
      <w:r>
        <w:t>Результаты и проверка</w:t>
      </w:r>
    </w:p>
    <w:p>
      <w:r>
        <w:t>Фактический вывод `:lab03:run`: «Настройки карты: 20×12, золото=250»; Factory Method создал Брана; Abstract Factory создала стража Королевства и логово Орков; Builder вывел «Оборона крепости, юнитов=1, построек=1». Сборка Gradle завершилась успешно.</w:t>
      </w:r>
    </w:p>
    <w:p>
      <w:pPr>
        <w:pStyle w:val="Heading2"/>
      </w:pPr>
      <w:r>
        <w:t>Вывод</w:t>
      </w:r>
    </w:p>
    <w:p>
      <w:r>
        <w:t>Порождающие паттерны изолируют правила создания объектов и помогают сохранять согласованность игровых конфигураций.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