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5</w:t>
        <w:br/>
        <w:t>«Структурные паттерны проектирования»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5. Структурные паттерны проектирования</w:t>
      </w:r>
    </w:p>
    <w:p>
      <w:pPr>
        <w:pStyle w:val="Heading2"/>
      </w:pPr>
      <w:r>
        <w:t>Цель работы</w:t>
      </w:r>
    </w:p>
    <w:p>
      <w:r>
        <w:t>Использовать Proxy, Bridge и Adapter для управления доступом, разделения абстракции и адаптации старого интерфейса.</w:t>
      </w:r>
    </w:p>
    <w:p>
      <w:pPr>
        <w:pStyle w:val="Heading2"/>
      </w:pPr>
      <w:r>
        <w:t>Задание</w:t>
      </w:r>
    </w:p>
    <w:p>
      <w:r>
        <w:t>Proxy скрывает юниты за туманом войны; Bridge отделяет отображение юнита от конкретного рендерера; Adapter преобразует вызов современного интерфейса атаки в вызов старого боевого орудия.</w:t>
      </w:r>
    </w:p>
    <w:p>
      <w:pPr>
        <w:pStyle w:val="Heading2"/>
      </w:pPr>
      <w:r>
        <w:t>Ход работы и реализация</w:t>
      </w:r>
    </w:p>
    <w:p>
      <w:r>
        <w:t>Программа демонстрирует видимую область карты, компактное представление через renderer и вызов legacy-орудия через адаптер.</w:t>
      </w:r>
    </w:p>
    <w:p>
      <w:pPr>
        <w:pStyle w:val="Heading2"/>
      </w:pPr>
      <w:r>
        <w:t>Результаты и проверка</w:t>
      </w:r>
    </w:p>
    <w:p>
      <w:r>
        <w:t>Фактический вывод `:lab05:run`: Proxy отображает Лучника в позиции (2, 3); Bridge выводит `Лучник@2:3`; Adapter вызывает старое орудие по координатам (7, 4). Сборка Gradle успешна.</w:t>
      </w:r>
    </w:p>
    <w:p>
      <w:pPr>
        <w:pStyle w:val="Heading2"/>
      </w:pPr>
      <w:r>
        <w:t>Вывод</w:t>
      </w:r>
    </w:p>
    <w:p>
      <w:r>
        <w:t>Структурные паттерны связывают компоненты через узкие адаптирующие слои и помогают заменять внутренние реализации.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