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DISEÑO DE PATRONES</w:t>
      </w:r>
    </w:p>
    <w:p w:rsidR="00000000" w:rsidDel="00000000" w:rsidP="00000000" w:rsidRDefault="00000000" w:rsidRPr="00000000" w14:paraId="00000002">
      <w:pPr>
        <w:spacing w:before="2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Nro 8</w:t>
      </w:r>
    </w:p>
    <w:p w:rsidR="00000000" w:rsidDel="00000000" w:rsidP="00000000" w:rsidRDefault="00000000" w:rsidRPr="00000000" w14:paraId="00000003">
      <w:pPr>
        <w:spacing w:before="2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Metodología de Sistemas 2</w:t>
      </w:r>
    </w:p>
    <w:p w:rsidR="00000000" w:rsidDel="00000000" w:rsidP="00000000" w:rsidRDefault="00000000" w:rsidRPr="00000000" w14:paraId="00000004">
      <w:pPr>
        <w:spacing w:before="2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Profesora</w:t>
      </w:r>
    </w:p>
    <w:p w:rsidR="00000000" w:rsidDel="00000000" w:rsidP="00000000" w:rsidRDefault="00000000" w:rsidRPr="00000000" w14:paraId="00000005">
      <w:pPr>
        <w:spacing w:before="220" w:lineRule="auto"/>
        <w:jc w:val="center"/>
        <w:rPr/>
      </w:pPr>
      <w:r w:rsidDel="00000000" w:rsidR="00000000" w:rsidRPr="00000000">
        <w:rPr>
          <w:rtl w:val="0"/>
        </w:rPr>
        <w:t xml:space="preserve"> Carolina Ileana VARGAS</w:t>
      </w:r>
    </w:p>
    <w:p w:rsidR="00000000" w:rsidDel="00000000" w:rsidP="00000000" w:rsidRDefault="00000000" w:rsidRPr="00000000" w14:paraId="00000006">
      <w:pPr>
        <w:spacing w:before="2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Burgos Salvadeo Luka Edgardo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Romero German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NOMBRE Y TIPO DE PATRÓN</w:t>
      </w:r>
    </w:p>
    <w:p w:rsidR="00000000" w:rsidDel="00000000" w:rsidP="00000000" w:rsidRDefault="00000000" w:rsidRPr="00000000" w14:paraId="0000000E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Patrón: </w:t>
      </w:r>
      <w:r w:rsidDel="00000000" w:rsidR="00000000" w:rsidRPr="00000000">
        <w:rPr>
          <w:rtl w:val="0"/>
        </w:rPr>
        <w:t xml:space="preserve">Flyweight (Peso Ligero)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Patrón: </w:t>
      </w:r>
      <w:r w:rsidDel="00000000" w:rsidR="00000000" w:rsidRPr="00000000">
        <w:rPr>
          <w:rtl w:val="0"/>
        </w:rPr>
        <w:t xml:space="preserve">Estructural</w:t>
      </w:r>
    </w:p>
    <w:p w:rsidR="00000000" w:rsidDel="00000000" w:rsidP="00000000" w:rsidRDefault="00000000" w:rsidRPr="00000000" w14:paraId="00000011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DESCRIPCIÓN DEL PROBLEMA QUE RESUELVE</w:t>
      </w:r>
    </w:p>
    <w:p w:rsidR="00000000" w:rsidDel="00000000" w:rsidP="00000000" w:rsidRDefault="00000000" w:rsidRPr="00000000" w14:paraId="00000013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Cuando una aplicación instancia grandes cantidades de objetos muy similares, el consumo de memoria puede crecer hasta niveles inaceptables. Ejemplo típico: un videojuego con 100 000 árboles donde cada objeto replica textura, malla y color —datos idénticos entre instancias del mismo tipo— desperdiciando RAM innecesariamente.</w:t>
      </w:r>
    </w:p>
    <w:p w:rsidR="00000000" w:rsidDel="00000000" w:rsidP="00000000" w:rsidRDefault="00000000" w:rsidRPr="00000000" w14:paraId="00000015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DESCRIPCIÓN DE LA SOLUCIÓN</w:t>
      </w:r>
    </w:p>
    <w:p w:rsidR="00000000" w:rsidDel="00000000" w:rsidP="00000000" w:rsidRDefault="00000000" w:rsidRPr="00000000" w14:paraId="00000017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El patrón Flyweight divide el estado del objeto en dos partes: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Estado intrínseco:</w:t>
      </w:r>
      <w:r w:rsidDel="00000000" w:rsidR="00000000" w:rsidRPr="00000000">
        <w:rPr>
          <w:rtl w:val="0"/>
        </w:rPr>
        <w:t xml:space="preserve"> datos inmutables y compartibles (textura, color). Se almacena en el flyweight.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Estado extrínseco:</w:t>
      </w:r>
      <w:r w:rsidDel="00000000" w:rsidR="00000000" w:rsidRPr="00000000">
        <w:rPr>
          <w:rtl w:val="0"/>
        </w:rPr>
        <w:t xml:space="preserve"> datos únicos de cada instancia (posición, escala). Se pasa como parámetro al método.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Una FlyweightFactory gestiona un pool de flyweights: si el objeto ya existe lo reutiliza; si no, lo crea y lo registra. En lugar de 100 000 objetos completos, el sistema mantiene unos pocos flyweights compartidos y una lista liviana con los datos únicos de cada instancia.</w:t>
      </w:r>
    </w:p>
    <w:p w:rsidR="00000000" w:rsidDel="00000000" w:rsidP="00000000" w:rsidRDefault="00000000" w:rsidRPr="00000000" w14:paraId="0000001C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CLASES INVOLUCRADAS</w:t>
      </w:r>
    </w:p>
    <w:p w:rsidR="00000000" w:rsidDel="00000000" w:rsidP="00000000" w:rsidRDefault="00000000" w:rsidRPr="00000000" w14:paraId="0000001E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Flyweight (interfaz): declara el método que acepta el estado extrínseco.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ConcreteFlyweight: implementa la interfaz y almacena el estado intrínseco compartido.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FlyweightFactory: crea, almacena y devuelve objetos flyweight; gestiona el pool.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Client (Cliente): mantiene el estado extrínseco y lo pasa al flyweight al invocar operaciones.</w:t>
      </w:r>
    </w:p>
    <w:p w:rsidR="00000000" w:rsidDel="00000000" w:rsidP="00000000" w:rsidRDefault="00000000" w:rsidRPr="00000000" w14:paraId="00000023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COLABORACIÓN</w:t>
      </w:r>
    </w:p>
    <w:p w:rsidR="00000000" w:rsidDel="00000000" w:rsidP="00000000" w:rsidRDefault="00000000" w:rsidRPr="00000000" w14:paraId="00000025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Client solicita un flyweight a la FlyweightFactory por su clave intrínseca. La Factory lo devuelve del pool (o lo crea y registra). El Client invoca la operación del flyweight pasándole el estado extrínseco como argumento; el flyweight lo usa para realizar su tarea sin almacenarlo.</w:t>
      </w:r>
    </w:p>
    <w:p w:rsidR="00000000" w:rsidDel="00000000" w:rsidP="00000000" w:rsidRDefault="00000000" w:rsidRPr="00000000" w14:paraId="00000027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CONSECUENCIAS</w:t>
      </w:r>
    </w:p>
    <w:p w:rsidR="00000000" w:rsidDel="00000000" w:rsidP="00000000" w:rsidRDefault="00000000" w:rsidRPr="00000000" w14:paraId="00000029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Reducción drástica del uso de memoria RAM al compartir el estado intrínseco entre miles de instancias.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Mejora del rendimiento y escalabilidad: se pueden gestionar órdenes de magnitud más objetos.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Mayor complejidad de diseño: requiere identificar y separar claramente el estado intrínseco del extrínseco.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El código del cliente se vuelve más complejo al gestionar el estado extrínseco externamente.</w:t>
      </w:r>
    </w:p>
    <w:p w:rsidR="00000000" w:rsidDel="00000000" w:rsidP="00000000" w:rsidRDefault="00000000" w:rsidRPr="00000000" w14:paraId="00000030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EJEMPLO — BOSQUE EN VIDEOJUEGO (PYTHON)</w:t>
      </w:r>
    </w:p>
    <w:p w:rsidR="00000000" w:rsidDel="00000000" w:rsidP="00000000" w:rsidRDefault="00000000" w:rsidRPr="00000000" w14:paraId="00000032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100 000 árboles en un mapa; solo 1 objeto flyweight por tipo de árbol en memoria. El estado intrínseco (tipo, color, textura) vive en el flyweight; la posición (x, y) se pasa como parámetro:</w:t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ArbolFlyweight:        </w:t>
              <w:tab/>
              <w:t xml:space="preserve">           # Estado intrínseco compartido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def __init__(self, tipo, color, textura):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self.tipo, self.color, self.textura = tipo, color, textura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def dibujar(self, x, y):            </w:t>
              <w:tab/>
              <w:t xml:space="preserve"># Estado extrínseco como parametro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print(f'{self.tipo} en ({x},{y})')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ArbolFactory: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_pool = {}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@classmethod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def get(cls, tipo, color, textura):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</w:t>
              <w:tab/>
              <w:t xml:space="preserve">key = (tipo, color, textura)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</w:t>
              <w:tab/>
              <w:t xml:space="preserve">if key not in cls._pool: cls._pool[key] = ArbolFlyweight(tipo, color, textura)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</w:t>
              <w:tab/>
              <w:t xml:space="preserve">return cls._pool[key]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Usar: un único flyweight para 100 000 árboles del mismo tipo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bosque = [(ArbolFactory.get('Pino','verde','tex.png'), x, x%500) for x in range(100_000)]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arbol, x, y in bosque: arbol.dibujar(x, y)</w:t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este enfoque, existe UN solo objeto ArbolFlyweight por tipo de árbol, reduciendo el consumo de memoria hasta un 99 % respecto a instanciar 100 000 objetos completos.</w:t>
      </w:r>
    </w:p>
    <w:p w:rsidR="00000000" w:rsidDel="00000000" w:rsidP="00000000" w:rsidRDefault="00000000" w:rsidRPr="00000000" w14:paraId="00000048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BIBLIOGRAFÍA</w:t>
      </w:r>
    </w:p>
    <w:p w:rsidR="00000000" w:rsidDel="00000000" w:rsidP="00000000" w:rsidRDefault="00000000" w:rsidRPr="00000000" w14:paraId="0000004A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192.00000000000003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Refactoring.Guru. (2024). Flyweight. Recuperado de</w:t>
      </w:r>
      <w:hyperlink r:id="rId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https://refactoring.guru/es/design-patterns/flyweight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Gamma, E., Helm, R., Johnson, R., y Vlissides, J. (1994). Design patterns: Elements of reusable object-oriented software. Addison-Wesley. Recuperado de</w:t>
      </w:r>
      <w:hyperlink r:id="rId8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https://www.amazon.com/Design-Patterns-Elements-Reusable-Object-Oriented/dp/0201633612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SourceMaking. (2024). Flyweight design pattern. Recuperado de https://sourcemaking.com/design_patterns/flyweight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114300" distT="114300" distL="114300" distR="114300">
          <wp:extent cx="5731200" cy="7493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749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amazon.com/Design-Patterns-Elements-Reusable-Object-Oriented/dp/0201633612" TargetMode="External"/><Relationship Id="rId5" Type="http://schemas.openxmlformats.org/officeDocument/2006/relationships/styles" Target="styles.xml"/><Relationship Id="rId6" Type="http://schemas.openxmlformats.org/officeDocument/2006/relationships/hyperlink" Target="https://refactoring.guru/es/design-patterns/flyweight" TargetMode="External"/><Relationship Id="rId7" Type="http://schemas.openxmlformats.org/officeDocument/2006/relationships/hyperlink" Target="https://refactoring.guru/es/design-patterns/flyweight" TargetMode="External"/><Relationship Id="rId8" Type="http://schemas.openxmlformats.org/officeDocument/2006/relationships/hyperlink" Target="https://www.amazon.com/Design-Patterns-Elements-Reusable-Object-Oriented/dp/0201633612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