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MGN测试报告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40"/>
          <w:szCs w:val="30"/>
          <w:lang w:val="en-US" w:eastAsia="zh-CN"/>
        </w:rPr>
        <w:t>MGN测试报告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330776417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_Toc330776417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_Toc330776417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_Toc528899615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MGN测试</w:t>
      </w:r>
      <w:r>
        <w:tab/>
      </w:r>
      <w:r>
        <w:fldChar w:fldCharType="begin"/>
      </w:r>
      <w:r>
        <w:instrText xml:space="preserve"> PAGEREF _Toc528899615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_Toc2010586556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44"/>
        </w:rPr>
        <w:t xml:space="preserve">1.1 </w:t>
      </w:r>
      <w:r>
        <w:rPr>
          <w:rFonts w:hint="eastAsia"/>
          <w:szCs w:val="44"/>
          <w:lang w:eastAsia="zh-CN"/>
        </w:rPr>
        <w:t>数据集</w:t>
      </w:r>
      <w:r>
        <w:tab/>
      </w:r>
      <w:r>
        <w:fldChar w:fldCharType="begin"/>
      </w:r>
      <w:r>
        <w:instrText xml:space="preserve"> PAGEREF _Toc2010586556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_Toc1285960908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1.2 度量</w:t>
      </w:r>
      <w:r>
        <w:tab/>
      </w:r>
      <w:r>
        <w:fldChar w:fldCharType="begin"/>
      </w:r>
      <w:r>
        <w:instrText xml:space="preserve"> PAGEREF _Toc1285960908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_Toc35522559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1.3 测试环境</w:t>
      </w:r>
      <w:r>
        <w:tab/>
      </w:r>
      <w:r>
        <w:fldChar w:fldCharType="begin"/>
      </w:r>
      <w:r>
        <w:instrText xml:space="preserve"> PAGEREF _Toc35522559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_Toc1240880334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1.4 测试结果</w:t>
      </w:r>
      <w:r>
        <w:tab/>
      </w:r>
      <w:r>
        <w:fldChar w:fldCharType="begin"/>
      </w:r>
      <w:r>
        <w:instrText xml:space="preserve"> PAGEREF _Toc1240880334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_Toc1601897139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_Toc1601897139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528899615"/>
      <w:bookmarkStart w:id="3" w:name="OLE_LINK266"/>
      <w:bookmarkStart w:id="4" w:name="OLE_LINK265"/>
      <w:r>
        <w:rPr>
          <w:rFonts w:hint="eastAsia"/>
          <w:lang w:val="en-US" w:eastAsia="zh-CN"/>
        </w:rPr>
        <w:t>MGN测试</w:t>
      </w:r>
      <w:bookmarkEnd w:id="2"/>
    </w:p>
    <w:p>
      <w:pPr>
        <w:pStyle w:val="56"/>
        <w:bidi w:val="0"/>
        <w:rPr>
          <w:rFonts w:hint="default"/>
          <w:lang w:val="en-US"/>
        </w:rPr>
      </w:pPr>
      <w:r>
        <w:rPr>
          <w:rFonts w:hint="eastAsia"/>
          <w:lang w:eastAsia="zh-CN"/>
        </w:rPr>
        <w:t>多粒度网络</w:t>
      </w:r>
      <w:r>
        <w:rPr>
          <w:rFonts w:hint="eastAsia"/>
          <w:lang w:val="en-US" w:eastAsia="zh-CN"/>
        </w:rPr>
        <w:t>(MGN, Multiple Granularity Network)是云从科技提出的一种</w:t>
      </w:r>
      <w:r>
        <w:rPr>
          <w:rFonts w:hint="eastAsia"/>
          <w:lang w:eastAsia="zh-CN"/>
        </w:rPr>
        <w:t>行人重识别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Person Re-Identification，ReID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算法。本文会在公开数据集上对其进行性能测试。</w:t>
      </w:r>
    </w:p>
    <w:p>
      <w:pPr>
        <w:pStyle w:val="49"/>
        <w:spacing w:before="156" w:after="156"/>
        <w:rPr>
          <w:szCs w:val="44"/>
        </w:rPr>
      </w:pPr>
      <w:bookmarkStart w:id="5" w:name="_Toc2010586556"/>
      <w:r>
        <w:rPr>
          <w:rFonts w:hint="eastAsia"/>
          <w:szCs w:val="44"/>
          <w:lang w:eastAsia="zh-CN"/>
        </w:rPr>
        <w:t>数据集</w:t>
      </w:r>
      <w:bookmarkEnd w:id="5"/>
    </w:p>
    <w:p>
      <w:pPr>
        <w:pStyle w:val="56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测试数据包括Market-1501和DukeMTMC-reID。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Market-1501[1]有32668张行人图片，共1501个行人，由6个摄像头在一个超市前拍摄得到。其中训练集包含12936张图片共751个行人，测试集包含19732张图片共750个行人。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DukeMTMC-reID[2]有36411张图片，共1812个行人，由8个摄像头拍摄得到。其中测试集有17661张图片，训练集有16522张图片。</w:t>
      </w:r>
    </w:p>
    <w:p>
      <w:pPr>
        <w:pStyle w:val="49"/>
        <w:bidi w:val="0"/>
        <w:rPr>
          <w:rFonts w:hint="eastAsia"/>
          <w:lang w:val="en-US" w:eastAsia="zh-CN"/>
        </w:rPr>
      </w:pPr>
      <w:bookmarkStart w:id="6" w:name="_Toc1285960908"/>
      <w:r>
        <w:rPr>
          <w:rFonts w:hint="eastAsia"/>
          <w:lang w:val="en-US" w:eastAsia="zh-CN"/>
        </w:rPr>
        <w:t>度量</w:t>
      </w:r>
      <w:bookmarkEnd w:id="6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mAP，P表示Precision，即识别的准确率。AP指一次识别的平均准确率。mAP表示多次识别的平均识别率。mAP是比Rank-k更准确的度量。mAP的计算示例如图1所示。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017520"/>
            <wp:effectExtent l="0" t="0" r="9525" b="11430"/>
            <wp:docPr id="7" name="图片 7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图1：mAP计算方式</w:t>
      </w:r>
    </w:p>
    <w:p>
      <w:pPr>
        <w:pStyle w:val="56"/>
        <w:bidi w:val="0"/>
        <w:rPr>
          <w:rFonts w:hint="eastAsia"/>
          <w:lang w:val="en-US" w:eastAsia="zh-CN"/>
        </w:rPr>
      </w:pPr>
    </w:p>
    <w:p>
      <w:pPr>
        <w:pStyle w:val="49"/>
        <w:bidi w:val="0"/>
        <w:rPr>
          <w:rFonts w:hint="default"/>
          <w:lang w:val="en-US" w:eastAsia="zh-CN"/>
        </w:rPr>
      </w:pPr>
      <w:bookmarkStart w:id="7" w:name="_Toc35522559"/>
      <w:r>
        <w:rPr>
          <w:rFonts w:hint="eastAsia"/>
          <w:lang w:val="en-US" w:eastAsia="zh-CN"/>
        </w:rPr>
        <w:t>测试环境</w:t>
      </w:r>
      <w:bookmarkEnd w:id="7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测试电脑系统配置和环境如下表所示：</w:t>
      </w:r>
    </w:p>
    <w:p>
      <w:pPr>
        <w:bidi w:val="0"/>
        <w:jc w:val="center"/>
        <w:rPr>
          <w:rFonts w:hint="default"/>
          <w:lang w:val="en-US" w:eastAsia="zh-CN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8" w:space="0"/>
              <w:left w:val="nil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</w:t>
            </w:r>
          </w:p>
        </w:tc>
        <w:tc>
          <w:tcPr>
            <w:tcW w:w="4261" w:type="dxa"/>
            <w:tcBorders>
              <w:top w:val="single" w:color="auto" w:sz="18" w:space="0"/>
              <w:left w:val="single" w:color="auto" w:sz="4" w:space="0"/>
              <w:bottom w:val="doub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ub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426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i7-7700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GPU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GeForce GTX 1080Ti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Ubuntu16.04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操作系统类型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64位</w:t>
            </w:r>
          </w:p>
        </w:tc>
      </w:tr>
    </w:tbl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49"/>
        <w:bidi w:val="0"/>
        <w:rPr>
          <w:rFonts w:hint="default"/>
          <w:lang w:val="en-US" w:eastAsia="zh-CN"/>
        </w:rPr>
      </w:pPr>
      <w:bookmarkStart w:id="8" w:name="_Toc1240880334"/>
      <w:r>
        <w:rPr>
          <w:rFonts w:hint="eastAsia"/>
          <w:lang w:val="en-US" w:eastAsia="zh-CN"/>
        </w:rPr>
        <w:t>测试结果</w:t>
      </w:r>
      <w:bookmarkEnd w:id="8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测试结果如下表</w:t>
      </w:r>
      <w:bookmarkStart w:id="14" w:name="_GoBack"/>
      <w:bookmarkEnd w:id="14"/>
      <w:r>
        <w:rPr>
          <w:rFonts w:hint="eastAsia"/>
          <w:lang w:val="en-US" w:eastAsia="zh-CN"/>
        </w:rPr>
        <w:t>所示：</w:t>
      </w:r>
    </w:p>
    <w:p>
      <w:pPr>
        <w:pStyle w:val="56"/>
        <w:bidi w:val="0"/>
        <w:rPr>
          <w:rFonts w:hint="eastAsia"/>
          <w:lang w:val="en-US" w:eastAsia="zh-CN"/>
        </w:rPr>
      </w:pPr>
    </w:p>
    <w:tbl>
      <w:tblPr>
        <w:tblStyle w:val="2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972"/>
        <w:gridCol w:w="1155"/>
        <w:gridCol w:w="1154"/>
        <w:gridCol w:w="1155"/>
        <w:gridCol w:w="1319"/>
        <w:gridCol w:w="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8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972" w:type="dxa"/>
            <w:tcBorders>
              <w:top w:val="single" w:color="auto" w:sz="18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155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Rank1</w:t>
            </w:r>
          </w:p>
        </w:tc>
        <w:tc>
          <w:tcPr>
            <w:tcW w:w="1154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Rank3</w:t>
            </w:r>
          </w:p>
        </w:tc>
        <w:tc>
          <w:tcPr>
            <w:tcW w:w="1155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Rank5</w:t>
            </w:r>
          </w:p>
        </w:tc>
        <w:tc>
          <w:tcPr>
            <w:tcW w:w="1319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Rank10</w:t>
            </w:r>
          </w:p>
        </w:tc>
        <w:tc>
          <w:tcPr>
            <w:tcW w:w="845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double" w:color="auto" w:sz="4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Duke</w:t>
            </w:r>
          </w:p>
        </w:tc>
        <w:tc>
          <w:tcPr>
            <w:tcW w:w="972" w:type="dxa"/>
            <w:tcBorders>
              <w:top w:val="double" w:color="auto" w:sz="4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0.7652</w:t>
            </w:r>
          </w:p>
        </w:tc>
        <w:tc>
          <w:tcPr>
            <w:tcW w:w="1155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0.8820</w:t>
            </w:r>
          </w:p>
        </w:tc>
        <w:tc>
          <w:tcPr>
            <w:tcW w:w="1154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0.9295</w:t>
            </w:r>
          </w:p>
        </w:tc>
        <w:tc>
          <w:tcPr>
            <w:tcW w:w="1155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0.9452</w:t>
            </w:r>
          </w:p>
        </w:tc>
        <w:tc>
          <w:tcPr>
            <w:tcW w:w="1319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0.9636</w:t>
            </w:r>
          </w:p>
        </w:tc>
        <w:tc>
          <w:tcPr>
            <w:tcW w:w="845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Duke(RK)</w:t>
            </w:r>
          </w:p>
        </w:tc>
        <w:tc>
          <w:tcPr>
            <w:tcW w:w="972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0.8987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0.9183</w:t>
            </w:r>
          </w:p>
        </w:tc>
        <w:tc>
          <w:tcPr>
            <w:tcW w:w="115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0.9443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0.9533</w:t>
            </w:r>
          </w:p>
        </w:tc>
        <w:tc>
          <w:tcPr>
            <w:tcW w:w="131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0.9672</w:t>
            </w:r>
          </w:p>
        </w:tc>
        <w:tc>
          <w:tcPr>
            <w:tcW w:w="84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22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</w:t>
            </w:r>
          </w:p>
        </w:tc>
        <w:tc>
          <w:tcPr>
            <w:tcW w:w="972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0.8570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0.9495</w:t>
            </w:r>
          </w:p>
        </w:tc>
        <w:tc>
          <w:tcPr>
            <w:tcW w:w="115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0.9742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0.9807</w:t>
            </w:r>
          </w:p>
        </w:tc>
        <w:tc>
          <w:tcPr>
            <w:tcW w:w="131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0.9893</w:t>
            </w:r>
          </w:p>
        </w:tc>
        <w:tc>
          <w:tcPr>
            <w:tcW w:w="84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Market(RK)</w:t>
            </w:r>
          </w:p>
        </w:tc>
        <w:tc>
          <w:tcPr>
            <w:tcW w:w="972" w:type="dxa"/>
            <w:tcBorders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0.9410</w:t>
            </w:r>
          </w:p>
        </w:tc>
        <w:tc>
          <w:tcPr>
            <w:tcW w:w="1155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0.9558</w:t>
            </w:r>
          </w:p>
        </w:tc>
        <w:tc>
          <w:tcPr>
            <w:tcW w:w="1154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0.9754</w:t>
            </w:r>
          </w:p>
        </w:tc>
        <w:tc>
          <w:tcPr>
            <w:tcW w:w="1155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0.9792</w:t>
            </w:r>
          </w:p>
        </w:tc>
        <w:tc>
          <w:tcPr>
            <w:tcW w:w="1319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0.9846</w:t>
            </w:r>
          </w:p>
        </w:tc>
        <w:tc>
          <w:tcPr>
            <w:tcW w:w="845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76.33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bookmarkEnd w:id="3"/>
    <w:bookmarkEnd w:id="4"/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9" w:name="_Toc416058540"/>
      <w:bookmarkStart w:id="10" w:name="_Toc1601897139"/>
      <w:r>
        <w:t>参考文献</w:t>
      </w:r>
      <w:bookmarkEnd w:id="9"/>
      <w:bookmarkEnd w:id="10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1" w:name="_Ref1750952483"/>
      <w:r>
        <w:fldChar w:fldCharType="end"/>
      </w:r>
      <w:bookmarkStart w:id="12" w:name="_Ref523470783"/>
      <w:r>
        <w:rPr>
          <w:rFonts w:hint="eastAsia"/>
        </w:rPr>
        <w:t>Zheng, L., Shen, L., Tian, L., Wang, S., Wang, J., Tian, Q.: Scalable person reidentification: A benchmark. In: ICCV (2015)</w:t>
      </w:r>
      <w:bookmarkEnd w:id="11"/>
      <w:r>
        <w:rPr>
          <w:rFonts w:hint="eastAsia"/>
          <w:lang w:val="en-US" w:eastAsia="zh-CN"/>
        </w:rPr>
        <w:t>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3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Vision workshop on Benchmarking Multi-Target Tracking (2016)</w:t>
      </w:r>
      <w:bookmarkEnd w:id="13"/>
      <w:r>
        <w:rPr>
          <w:rFonts w:hint="eastAsia"/>
          <w:lang w:val="en-US" w:eastAsia="zh-CN"/>
        </w:rPr>
        <w:t>.</w:t>
      </w:r>
    </w:p>
    <w:bookmarkEnd w:id="12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BEBFA34"/>
    <w:rsid w:val="3BF6E47E"/>
    <w:rsid w:val="3DCB4993"/>
    <w:rsid w:val="567BD87A"/>
    <w:rsid w:val="5DFD20FB"/>
    <w:rsid w:val="5DFF3907"/>
    <w:rsid w:val="5F8D7A42"/>
    <w:rsid w:val="6D3B191D"/>
    <w:rsid w:val="6FEF0876"/>
    <w:rsid w:val="6FFF9FB2"/>
    <w:rsid w:val="77D3DD57"/>
    <w:rsid w:val="7D4FDE61"/>
    <w:rsid w:val="7E3DE362"/>
    <w:rsid w:val="7EFFEDD9"/>
    <w:rsid w:val="7FFF6C03"/>
    <w:rsid w:val="B7FE7BFD"/>
    <w:rsid w:val="BCD7B991"/>
    <w:rsid w:val="CDBB6DF1"/>
    <w:rsid w:val="D3BDD0EB"/>
    <w:rsid w:val="DE7F2494"/>
    <w:rsid w:val="E5B7A48A"/>
    <w:rsid w:val="EEDF95C5"/>
    <w:rsid w:val="F8FF063A"/>
    <w:rsid w:val="F97F59E8"/>
    <w:rsid w:val="FBFB4AE4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13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2016-05-31T04:46:00Z</dcterms:created>
  <dc:creator>lk</dc:creator>
  <cp:lastModifiedBy>liukai</cp:lastModifiedBy>
  <cp:lastPrinted>2017-07-01T02:29:00Z</cp:lastPrinted>
  <dcterms:modified xsi:type="dcterms:W3CDTF">2019-05-27T09:30:45Z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