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60" w:before="0"/>
        <w:jc w:val="center"/>
      </w:pPr>
      <w:r>
        <w:rPr>
          <w:rFonts w:ascii="Arial" w:cs="Arial" w:eastAsia="Arial" w:hAnsi="Arial"/>
          <w:b/>
          <w:bCs/>
          <w:color w:val="888888"/>
          <w:sz w:val="22"/>
          <w:szCs w:val="22"/>
        </w:rPr>
        <w:t xml:space="preserve">ICCN — INE2  |  Deep Learning in Cybersecurity</w:t>
      </w:r>
    </w:p>
    <w:p>
      <w:pPr>
        <w:pBdr>
          <w:top w:val="single" w:color="2E75B6" w:sz="10" w:space="8"/>
          <w:bottom w:val="single" w:color="2E75B6" w:sz="10" w:space="8"/>
        </w:pBdr>
        <w:spacing w:after="120" w:before="120"/>
        <w:jc w:val="center"/>
      </w:pPr>
      <w:r>
        <w:rPr>
          <w:rFonts w:ascii="Arial" w:cs="Arial" w:eastAsia="Arial" w:hAnsi="Arial"/>
          <w:b/>
          <w:bCs/>
          <w:color w:val="1F4E79"/>
          <w:sz w:val="52"/>
          <w:szCs w:val="52"/>
        </w:rPr>
        <w:t xml:space="preserve">Project 5: Explainable IDS</w:t>
      </w:r>
    </w:p>
    <w:p>
      <w:pPr>
        <w:spacing w:after="0" w:before="60"/>
      </w:pPr>
      <w:r>
        <w:t xml:space="preserve"/>
      </w:r>
    </w:p>
    <w:p>
      <w:pPr>
        <w:spacing w:after="60" w:before="0"/>
        <w:jc w:val="center"/>
      </w:pPr>
      <w:r>
        <w:rPr>
          <w:rFonts w:ascii="Arial" w:cs="Arial" w:eastAsia="Arial" w:hAnsi="Arial"/>
          <w:i/>
          <w:iCs/>
          <w:color w:val="2E75B6"/>
          <w:sz w:val="24"/>
          <w:szCs w:val="24"/>
        </w:rPr>
        <w:t xml:space="preserve">Making IDS Decisions Interpretable &amp; Assessing Explanation Reliability</w:t>
      </w:r>
    </w:p>
    <w:p>
      <w:pPr>
        <w:spacing w:after="0" w:before="80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none" w:color="FFFFFF" w:sz="0"/>
              <w:left w:val="none" w:color="FFFFFF" w:sz="0"/>
              <w:bottom w:val="none" w:color="FFFFFF" w:sz="0"/>
              <w:right w:val="none" w:color="FFFFFF" w:sz="0"/>
            </w:tcBorders>
            <w:tcMar>
              <w:top w:type="dxa" w:w="55"/>
              <w:left w:type="dxa" w:w="0"/>
              <w:bottom w:type="dxa" w:w="55"/>
              <w:right w:type="dxa" w:w="100"/>
            </w:tcMar>
          </w:tcPr>
          <w:p>
            <w:pPr>
              <w:jc w:val="right"/>
            </w:pPr>
            <w:r>
              <w:rPr>
                <w:rFonts w:ascii="Arial" w:cs="Arial" w:eastAsia="Arial" w:hAnsi="Arial"/>
                <w:b/>
                <w:bCs/>
                <w:color w:val="888888"/>
                <w:sz w:val="22"/>
                <w:szCs w:val="22"/>
              </w:rPr>
              <w:t xml:space="preserve">Dataset:</w:t>
            </w:r>
          </w:p>
        </w:tc>
        <w:tc>
          <w:tcPr>
            <w:tcW w:type="dxa" w:w="4200"/>
            <w:tcBorders>
              <w:top w:val="none" w:color="FFFFFF" w:sz="0"/>
              <w:left w:val="none" w:color="FFFFFF" w:sz="0"/>
              <w:bottom w:val="none" w:color="FFFFFF" w:sz="0"/>
              <w:right w:val="none" w:color="FFFFFF" w:sz="0"/>
            </w:tcBorders>
            <w:tcMar>
              <w:top w:type="dxa" w:w="55"/>
              <w:left w:type="dxa" w:w="0"/>
              <w:bottom w:type="dxa" w:w="55"/>
            </w:tcMar>
          </w:tcPr>
          <w:p>
            <w:r>
              <w:rPr>
                <w:rFonts w:ascii="Arial" w:cs="Arial" w:eastAsia="Arial" w:hAnsi="Arial"/>
                <w:color w:val="333333"/>
                <w:sz w:val="22"/>
                <w:szCs w:val="22"/>
              </w:rPr>
              <w:t xml:space="preserve">NSL-KDD (KDDTrain+ / KDDTest+)</w:t>
            </w:r>
          </w:p>
        </w:tc>
      </w:tr>
      <w:tr>
        <w:tc>
          <w:tcPr>
            <w:tcW w:type="dxa" w:w="2800"/>
            <w:tcBorders>
              <w:top w:val="none" w:color="FFFFFF" w:sz="0"/>
              <w:left w:val="none" w:color="FFFFFF" w:sz="0"/>
              <w:bottom w:val="none" w:color="FFFFFF" w:sz="0"/>
              <w:right w:val="none" w:color="FFFFFF" w:sz="0"/>
            </w:tcBorders>
            <w:tcMar>
              <w:top w:type="dxa" w:w="55"/>
              <w:left w:type="dxa" w:w="0"/>
              <w:bottom w:type="dxa" w:w="55"/>
              <w:right w:type="dxa" w:w="100"/>
            </w:tcMar>
          </w:tcPr>
          <w:p>
            <w:pPr>
              <w:jc w:val="right"/>
            </w:pPr>
            <w:r>
              <w:rPr>
                <w:rFonts w:ascii="Arial" w:cs="Arial" w:eastAsia="Arial" w:hAnsi="Arial"/>
                <w:b/>
                <w:bCs/>
                <w:color w:val="888888"/>
                <w:sz w:val="22"/>
                <w:szCs w:val="22"/>
              </w:rPr>
              <w:t xml:space="preserve">Models:</w:t>
            </w:r>
          </w:p>
        </w:tc>
        <w:tc>
          <w:tcPr>
            <w:tcW w:type="dxa" w:w="4200"/>
            <w:tcBorders>
              <w:top w:val="none" w:color="FFFFFF" w:sz="0"/>
              <w:left w:val="none" w:color="FFFFFF" w:sz="0"/>
              <w:bottom w:val="none" w:color="FFFFFF" w:sz="0"/>
              <w:right w:val="none" w:color="FFFFFF" w:sz="0"/>
            </w:tcBorders>
            <w:tcMar>
              <w:top w:type="dxa" w:w="55"/>
              <w:left w:type="dxa" w:w="0"/>
              <w:bottom w:type="dxa" w:w="55"/>
            </w:tcMar>
          </w:tcPr>
          <w:p>
            <w:r>
              <w:rPr>
                <w:rFonts w:ascii="Arial" w:cs="Arial" w:eastAsia="Arial" w:hAnsi="Arial"/>
                <w:color w:val="333333"/>
                <w:sz w:val="22"/>
                <w:szCs w:val="22"/>
              </w:rPr>
              <w:t xml:space="preserve">Logistic Regression · Random Forest · MLP</w:t>
            </w:r>
          </w:p>
        </w:tc>
      </w:tr>
      <w:tr>
        <w:tc>
          <w:tcPr>
            <w:tcW w:type="dxa" w:w="2800"/>
            <w:tcBorders>
              <w:top w:val="none" w:color="FFFFFF" w:sz="0"/>
              <w:left w:val="none" w:color="FFFFFF" w:sz="0"/>
              <w:bottom w:val="none" w:color="FFFFFF" w:sz="0"/>
              <w:right w:val="none" w:color="FFFFFF" w:sz="0"/>
            </w:tcBorders>
            <w:tcMar>
              <w:top w:type="dxa" w:w="55"/>
              <w:left w:type="dxa" w:w="0"/>
              <w:bottom w:type="dxa" w:w="55"/>
              <w:right w:type="dxa" w:w="100"/>
            </w:tcMar>
          </w:tcPr>
          <w:p>
            <w:pPr>
              <w:jc w:val="right"/>
            </w:pPr>
            <w:r>
              <w:rPr>
                <w:rFonts w:ascii="Arial" w:cs="Arial" w:eastAsia="Arial" w:hAnsi="Arial"/>
                <w:b/>
                <w:bCs/>
                <w:color w:val="888888"/>
                <w:sz w:val="22"/>
                <w:szCs w:val="22"/>
              </w:rPr>
              <w:t xml:space="preserve">XAI Methods:</w:t>
            </w:r>
          </w:p>
        </w:tc>
        <w:tc>
          <w:tcPr>
            <w:tcW w:type="dxa" w:w="4200"/>
            <w:tcBorders>
              <w:top w:val="none" w:color="FFFFFF" w:sz="0"/>
              <w:left w:val="none" w:color="FFFFFF" w:sz="0"/>
              <w:bottom w:val="none" w:color="FFFFFF" w:sz="0"/>
              <w:right w:val="none" w:color="FFFFFF" w:sz="0"/>
            </w:tcBorders>
            <w:tcMar>
              <w:top w:type="dxa" w:w="55"/>
              <w:left w:type="dxa" w:w="0"/>
              <w:bottom w:type="dxa" w:w="55"/>
            </w:tcMar>
          </w:tcPr>
          <w:p>
            <w:r>
              <w:rPr>
                <w:rFonts w:ascii="Arial" w:cs="Arial" w:eastAsia="Arial" w:hAnsi="Arial"/>
                <w:color w:val="333333"/>
                <w:sz w:val="22"/>
                <w:szCs w:val="22"/>
              </w:rPr>
              <w:t xml:space="preserve">SHAP (TreeSHAP + KernelSHAP) + LIME</w:t>
            </w:r>
          </w:p>
        </w:tc>
      </w:tr>
      <w:tr>
        <w:tc>
          <w:tcPr>
            <w:tcW w:type="dxa" w:w="2800"/>
            <w:tcBorders>
              <w:top w:val="none" w:color="FFFFFF" w:sz="0"/>
              <w:left w:val="none" w:color="FFFFFF" w:sz="0"/>
              <w:bottom w:val="none" w:color="FFFFFF" w:sz="0"/>
              <w:right w:val="none" w:color="FFFFFF" w:sz="0"/>
            </w:tcBorders>
            <w:tcMar>
              <w:top w:type="dxa" w:w="55"/>
              <w:left w:type="dxa" w:w="0"/>
              <w:bottom w:type="dxa" w:w="55"/>
              <w:right w:type="dxa" w:w="100"/>
            </w:tcMar>
          </w:tcPr>
          <w:p>
            <w:pPr>
              <w:jc w:val="right"/>
            </w:pPr>
            <w:r>
              <w:rPr>
                <w:rFonts w:ascii="Arial" w:cs="Arial" w:eastAsia="Arial" w:hAnsi="Arial"/>
                <w:b/>
                <w:bCs/>
                <w:color w:val="888888"/>
                <w:sz w:val="22"/>
                <w:szCs w:val="22"/>
              </w:rPr>
              <w:t xml:space="preserve">Group:</w:t>
            </w:r>
          </w:p>
        </w:tc>
        <w:tc>
          <w:tcPr>
            <w:tcW w:type="dxa" w:w="4200"/>
            <w:tcBorders>
              <w:top w:val="none" w:color="FFFFFF" w:sz="0"/>
              <w:left w:val="none" w:color="FFFFFF" w:sz="0"/>
              <w:bottom w:val="none" w:color="FFFFFF" w:sz="0"/>
              <w:right w:val="none" w:color="FFFFFF" w:sz="0"/>
            </w:tcBorders>
            <w:tcMar>
              <w:top w:type="dxa" w:w="55"/>
              <w:left w:type="dxa" w:w="0"/>
              <w:bottom w:type="dxa" w:w="55"/>
            </w:tcMar>
          </w:tcPr>
          <w:p>
            <w:r>
              <w:rPr>
                <w:rFonts w:ascii="Arial" w:cs="Arial" w:eastAsia="Arial" w:hAnsi="Arial"/>
                <w:color w:val="333333"/>
                <w:sz w:val="22"/>
                <w:szCs w:val="22"/>
              </w:rPr>
              <w:t xml:space="preserve">[Group Name]</w:t>
            </w:r>
          </w:p>
        </w:tc>
      </w:tr>
      <w:tr>
        <w:tc>
          <w:tcPr>
            <w:tcW w:type="dxa" w:w="2800"/>
            <w:tcBorders>
              <w:top w:val="none" w:color="FFFFFF" w:sz="0"/>
              <w:left w:val="none" w:color="FFFFFF" w:sz="0"/>
              <w:bottom w:val="none" w:color="FFFFFF" w:sz="0"/>
              <w:right w:val="none" w:color="FFFFFF" w:sz="0"/>
            </w:tcBorders>
            <w:tcMar>
              <w:top w:type="dxa" w:w="55"/>
              <w:left w:type="dxa" w:w="0"/>
              <w:bottom w:type="dxa" w:w="55"/>
              <w:right w:type="dxa" w:w="100"/>
            </w:tcMar>
          </w:tcPr>
          <w:p>
            <w:pPr>
              <w:jc w:val="right"/>
            </w:pPr>
            <w:r>
              <w:rPr>
                <w:rFonts w:ascii="Arial" w:cs="Arial" w:eastAsia="Arial" w:hAnsi="Arial"/>
                <w:b/>
                <w:bCs/>
                <w:color w:val="888888"/>
                <w:sz w:val="22"/>
                <w:szCs w:val="22"/>
              </w:rPr>
              <w:t xml:space="preserve">Date:</w:t>
            </w:r>
          </w:p>
        </w:tc>
        <w:tc>
          <w:tcPr>
            <w:tcW w:type="dxa" w:w="4200"/>
            <w:tcBorders>
              <w:top w:val="none" w:color="FFFFFF" w:sz="0"/>
              <w:left w:val="none" w:color="FFFFFF" w:sz="0"/>
              <w:bottom w:val="none" w:color="FFFFFF" w:sz="0"/>
              <w:right w:val="none" w:color="FFFFFF" w:sz="0"/>
            </w:tcBorders>
            <w:tcMar>
              <w:top w:type="dxa" w:w="55"/>
              <w:left w:type="dxa" w:w="0"/>
              <w:bottom w:type="dxa" w:w="55"/>
            </w:tcMar>
          </w:tcPr>
          <w:p>
            <w:r>
              <w:rPr>
                <w:rFonts w:ascii="Arial" w:cs="Arial" w:eastAsia="Arial" w:hAnsi="Arial"/>
                <w:color w:val="333333"/>
                <w:sz w:val="22"/>
                <w:szCs w:val="22"/>
              </w:rPr>
              <w:t xml:space="preserve">[Submission Date]</w:t>
            </w:r>
          </w:p>
        </w:tc>
      </w:tr>
    </w:tbl>
    <w:p>
      <w:r>
        <w:br w:type="page"/>
      </w:r>
    </w:p>
    <w:p>
      <w:pPr>
        <w:pStyle w:val="Heading1"/>
        <w:pBdr>
          <w:bottom w:val="single" w:color="2E75B6" w:sz="8" w:space="8"/>
        </w:pBdr>
        <w:spacing w:after="120" w:before="400"/>
      </w:pPr>
      <w:r>
        <w:rPr>
          <w:rFonts w:ascii="Arial" w:cs="Arial" w:eastAsia="Arial" w:hAnsi="Arial"/>
          <w:b/>
          <w:bCs/>
          <w:color w:val="1F4E79"/>
          <w:sz w:val="34"/>
          <w:szCs w:val="34"/>
        </w:rPr>
        <w:t xml:space="preserve">Table of Contents</w:t>
      </w:r>
    </w:p>
    <w:sdt>
      <w:sdtPr>
        <w:alias w:val="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Bdr>
          <w:bottom w:val="single" w:color="2E75B6" w:sz="8" w:space="8"/>
        </w:pBdr>
        <w:spacing w:after="120" w:before="400"/>
      </w:pPr>
      <w:r>
        <w:rPr>
          <w:rFonts w:ascii="Arial" w:cs="Arial" w:eastAsia="Arial" w:hAnsi="Arial"/>
          <w:b/>
          <w:bCs/>
          <w:color w:val="1F4E79"/>
          <w:sz w:val="34"/>
          <w:szCs w:val="34"/>
        </w:rPr>
        <w:t xml:space="preserve">0. Requirements vs. Implementation — Compliance Check</w:t>
      </w:r>
    </w:p>
    <w:p>
      <w:pPr>
        <w:spacing w:after="100" w:before="60"/>
      </w:pPr>
      <w:r>
        <w:rPr>
          <w:rFonts w:ascii="Arial" w:cs="Arial" w:eastAsia="Arial" w:hAnsi="Arial"/>
          <w:color w:val="222222"/>
          <w:sz w:val="22"/>
          <w:szCs w:val="22"/>
        </w:rPr>
        <w:t xml:space="preserve">This section maps every requirement from the project PDF (ICCN-INE2) to our implementation. It is placed first so the professor can immediately verify coverage.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960"/>
        <w:gridCol w:w="160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Requirement (PDF)</w:t>
            </w:r>
          </w:p>
        </w:tc>
        <w:tc>
          <w:tcPr>
            <w:tcW w:type="dxa" w:w="3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Our Implementation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Status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Problem formulation &amp; threat modelling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Separate Threat Model document — STRIDE analysis, attacker capability levels (white/grey/black-box), manipulable feature taxonomy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5E20"/>
                <w:sz w:val="21"/>
                <w:szCs w:val="21"/>
              </w:rPr>
              <w:t xml:space="preserve">✔ Done</w:t>
            </w:r>
          </w:p>
        </w:tc>
      </w:tr>
      <w:tr>
        <w:tc>
          <w:tcPr>
            <w:tcW w:type="dxa" w:w="3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Baseline model</w:t>
            </w:r>
          </w:p>
        </w:tc>
        <w:tc>
          <w:tcPr>
            <w:tcW w:type="dxa" w:w="39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Logistic Regression (C=1.0, seed=42) — inherently interpretable via coefficients</w:t>
            </w:r>
          </w:p>
        </w:tc>
        <w:tc>
          <w:tcPr>
            <w:tcW w:type="dxa" w:w="1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1B5E20"/>
                <w:sz w:val="21"/>
                <w:szCs w:val="21"/>
              </w:rPr>
              <w:t xml:space="preserve">✔ Done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At least 3 experimental variations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Var 1: RF + TreeSHAP | Var 2: MLP + KernelSHAP + LIME | Var 3: SHAP-guided adversarial attack grid (3 top_k × 3 ε)</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5E20"/>
                <w:sz w:val="21"/>
                <w:szCs w:val="21"/>
              </w:rPr>
              <w:t xml:space="preserve">✔ Done</w:t>
            </w:r>
          </w:p>
        </w:tc>
      </w:tr>
      <w:tr>
        <w:tc>
          <w:tcPr>
            <w:tcW w:type="dxa" w:w="3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Appropriate metrics (F1, PR-AUC, etc.)</w:t>
            </w:r>
          </w:p>
        </w:tc>
        <w:tc>
          <w:tcPr>
            <w:tcW w:type="dxa" w:w="39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F1 (macro), Precision, Recall, PR-AUC, Jaccard stability, Evasion Rate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1B5E20"/>
                <w:sz w:val="21"/>
                <w:szCs w:val="21"/>
              </w:rPr>
              <w:t xml:space="preserve">✔ Done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Security reasoning &amp; analysis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SHAP importance → evasion attack → feature-randomisation defence → policy recommendation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5E20"/>
                <w:sz w:val="21"/>
                <w:szCs w:val="21"/>
              </w:rPr>
              <w:t xml:space="preserve">✔ Done</w:t>
            </w:r>
          </w:p>
        </w:tc>
      </w:tr>
      <w:tr>
        <w:tc>
          <w:tcPr>
            <w:tcW w:type="dxa" w:w="3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Fixed random seeds</w:t>
            </w:r>
          </w:p>
        </w:tc>
        <w:tc>
          <w:tcPr>
            <w:tcW w:type="dxa" w:w="39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SEED=42 everywhere: numpy, all sklearn models, SHAP sampler, LIME explainer, defence noise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1B5E20"/>
                <w:sz w:val="21"/>
                <w:szCs w:val="21"/>
              </w:rPr>
              <w:t xml:space="preserve">✔ Done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Document preprocessing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Detailed in Section 3 and reproducibility.md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5E20"/>
                <w:sz w:val="21"/>
                <w:szCs w:val="21"/>
              </w:rPr>
              <w:t xml:space="preserve">✔ Done</w:t>
            </w:r>
          </w:p>
        </w:tc>
      </w:tr>
      <w:tr>
        <w:tc>
          <w:tcPr>
            <w:tcW w:type="dxa" w:w="3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Code with README</w:t>
            </w:r>
          </w:p>
        </w:tc>
        <w:tc>
          <w:tcPr>
            <w:tcW w:type="dxa" w:w="39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pipeline.py (fully runnable, auto-downloads dataset) + README.md</w:t>
            </w:r>
          </w:p>
        </w:tc>
        <w:tc>
          <w:tcPr>
            <w:tcW w:type="dxa" w:w="1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1B5E20"/>
                <w:sz w:val="21"/>
                <w:szCs w:val="21"/>
              </w:rPr>
              <w:t xml:space="preserve">✔ Done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Reproducibility file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reproducibility.md — exact commands, library versions, expected output ranges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5E20"/>
                <w:sz w:val="21"/>
                <w:szCs w:val="21"/>
              </w:rPr>
              <w:t xml:space="preserve">✔ Done</w:t>
            </w:r>
          </w:p>
        </w:tc>
      </w:tr>
      <w:tr>
        <w:tc>
          <w:tcPr>
            <w:tcW w:type="dxa" w:w="3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Oral defence (10–15 min)</w:t>
            </w:r>
          </w:p>
        </w:tc>
        <w:tc>
          <w:tcPr>
            <w:tcW w:type="dxa" w:w="39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14-slide deck + oral defence guide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1B5E20"/>
                <w:sz w:val="21"/>
                <w:szCs w:val="21"/>
              </w:rPr>
              <w:t xml:space="preserve">✔ Done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Report (PDF ≤ 10 pages)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This document — 10 sections, within page limit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5E20"/>
                <w:sz w:val="21"/>
                <w:szCs w:val="21"/>
              </w:rPr>
              <w:t xml:space="preserve">✔ Done</w:t>
            </w:r>
          </w:p>
        </w:tc>
      </w:tr>
      <w:tr>
        <w:tc>
          <w:tcPr>
            <w:tcW w:type="dxa" w:w="3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Explainability deliverable</w:t>
            </w:r>
          </w:p>
        </w:tc>
        <w:tc>
          <w:tcPr>
            <w:tcW w:type="dxa" w:w="39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SHAP beeswarm plot + SHAP vs LIME comparison chart + top-10 tables</w:t>
            </w:r>
          </w:p>
        </w:tc>
        <w:tc>
          <w:tcPr>
            <w:tcW w:type="dxa" w:w="1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1B5E20"/>
                <w:sz w:val="21"/>
                <w:szCs w:val="21"/>
              </w:rPr>
              <w:t xml:space="preserve">✔ Done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Security / risk analysis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Adversarial evasion results + defence evaluation + policy discussion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5E20"/>
                <w:sz w:val="21"/>
                <w:szCs w:val="21"/>
              </w:rPr>
              <w:t xml:space="preserve">✔ Done</w:t>
            </w:r>
          </w:p>
        </w:tc>
      </w:tr>
    </w:tbl>
    <w:p>
      <w:r>
        <w:br w:type="page"/>
      </w:r>
    </w:p>
    <w:p>
      <w:pPr>
        <w:pStyle w:val="Heading1"/>
        <w:pBdr>
          <w:bottom w:val="single" w:color="2E75B6" w:sz="8" w:space="8"/>
        </w:pBdr>
        <w:spacing w:after="120" w:before="400"/>
      </w:pPr>
      <w:r>
        <w:rPr>
          <w:rFonts w:ascii="Arial" w:cs="Arial" w:eastAsia="Arial" w:hAnsi="Arial"/>
          <w:b/>
          <w:bCs/>
          <w:color w:val="1F4E79"/>
          <w:sz w:val="34"/>
          <w:szCs w:val="34"/>
        </w:rPr>
        <w:t xml:space="preserve">1. Abstract</w:t>
      </w:r>
    </w:p>
    <w:p>
      <w:pPr>
        <w:spacing w:after="100" w:before="60"/>
      </w:pPr>
      <w:r>
        <w:rPr>
          <w:rFonts w:ascii="Arial" w:cs="Arial" w:eastAsia="Arial" w:hAnsi="Arial"/>
          <w:color w:val="222222"/>
          <w:sz w:val="22"/>
          <w:szCs w:val="22"/>
        </w:rPr>
        <w:t xml:space="preserve">This report presents Project 5: Explainable Intrusion Detection System (Explainable IDS) on the NSL-KDD dataset. We train three classifiers — Logistic Regression (baseline), Random Forest, and a Multi-Layer Perceptron — on 125,973 network connection records. Post-hoc explainability is applied via SHAP (TreeSHAP for the Random Forest; KernelSHAP for the MLP) and LIME. We evaluate explanation stability using Jaccard similarity on pairs of similar attack samples. Our central contribution beyond standard XAI is a SHAP-guided adversarial evasion attack: we show that the feature importance map produced by SHAP can be used to perturb attack-class inputs toward the decision boundary, achieving approximately 35% evasion rate. We also evaluate a feature-randomisation defence and discuss the fundamental tension between explainability and adversarial robustness.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60"/>
              <w:left w:type="dxa" w:w="260"/>
              <w:bottom w:type="dxa" w:w="160"/>
              <w:right w:type="dxa" w:w="260"/>
            </w:tcMar>
          </w:tcPr>
          <w:p>
            <w:pPr>
              <w:spacing w:after="70" w:before="60"/>
            </w:pPr>
            <w:r>
              <w:rPr>
                <w:rFonts w:ascii="Arial" w:cs="Arial" w:eastAsia="Arial" w:hAnsi="Arial"/>
                <w:b/>
                <w:bCs/>
                <w:color w:val="0D47A1"/>
                <w:sz w:val="22"/>
                <w:szCs w:val="22"/>
              </w:rPr>
              <w:t xml:space="preserve">Key Results at a Glance</w:t>
            </w:r>
          </w:p>
          <w:p>
            <w:pPr>
              <w:spacing w:after="36" w:before="36"/>
            </w:pPr>
            <w:r>
              <w:rPr>
                <w:rFonts w:ascii="Arial" w:cs="Arial" w:eastAsia="Arial" w:hAnsi="Arial"/>
                <w:color w:val="333333"/>
                <w:sz w:val="21"/>
                <w:szCs w:val="21"/>
              </w:rPr>
              <w:t xml:space="preserve">Random Forest:  F1 (macro) = 0.7726  |  PR-AUC = 0.9650</w:t>
            </w:r>
          </w:p>
          <w:p>
            <w:pPr>
              <w:spacing w:after="36" w:before="36"/>
            </w:pPr>
            <w:r>
              <w:rPr>
                <w:rFonts w:ascii="Arial" w:cs="Arial" w:eastAsia="Arial" w:hAnsi="Arial"/>
                <w:color w:val="333333"/>
                <w:sz w:val="21"/>
                <w:szCs w:val="21"/>
              </w:rPr>
              <w:t xml:space="preserve">MLP:            F1 (macro) = 0.8060  |  PR-AUC = 0.9461</w:t>
            </w:r>
          </w:p>
          <w:p>
            <w:pPr>
              <w:spacing w:after="36" w:before="36"/>
            </w:pPr>
            <w:r>
              <w:rPr>
                <w:rFonts w:ascii="Arial" w:cs="Arial" w:eastAsia="Arial" w:hAnsi="Arial"/>
                <w:color w:val="333333"/>
                <w:sz w:val="21"/>
                <w:szCs w:val="21"/>
              </w:rPr>
              <w:t xml:space="preserve">SHAP Jaccard stability (top-10, similar pairs): 0.994 ± 0.037</w:t>
            </w:r>
          </w:p>
          <w:p>
            <w:pPr>
              <w:spacing w:after="36" w:before="36"/>
            </w:pPr>
            <w:r>
              <w:rPr>
                <w:rFonts w:ascii="Arial" w:cs="Arial" w:eastAsia="Arial" w:hAnsi="Arial"/>
                <w:color w:val="333333"/>
                <w:sz w:val="21"/>
                <w:szCs w:val="21"/>
              </w:rPr>
              <w:t xml:space="preserve">SHAP top feature: flag_SF  |  SHAP–LIME Spearman ρ = 0.745 (p &lt; 0.0001)</w:t>
            </w:r>
          </w:p>
          <w:p>
            <w:pPr>
              <w:spacing w:after="36" w:before="36"/>
            </w:pPr>
            <w:r>
              <w:rPr>
                <w:rFonts w:ascii="Arial" w:cs="Arial" w:eastAsia="Arial" w:hAnsi="Arial"/>
                <w:color w:val="333333"/>
                <w:sz w:val="21"/>
                <w:szCs w:val="21"/>
              </w:rPr>
              <w:t xml:space="preserve">Adversarial evasion (top-10, ε = 0.10): 35.04%</w:t>
            </w:r>
          </w:p>
          <w:p>
            <w:pPr>
              <w:spacing w:after="36" w:before="36"/>
            </w:pPr>
            <w:r>
              <w:rPr>
                <w:rFonts w:ascii="Arial" w:cs="Arial" w:eastAsia="Arial" w:hAnsi="Arial"/>
                <w:color w:val="333333"/>
                <w:sz w:val="21"/>
                <w:szCs w:val="21"/>
              </w:rPr>
              <w:t xml:space="preserve">Defence effectiveness (feature randomisation): 0.00% reduction</w:t>
            </w:r>
          </w:p>
        </w:tc>
      </w:tr>
    </w:tbl>
    <w:p>
      <w:r>
        <w:br w:type="page"/>
      </w:r>
    </w:p>
    <w:p>
      <w:pPr>
        <w:pStyle w:val="Heading1"/>
        <w:pBdr>
          <w:bottom w:val="single" w:color="2E75B6" w:sz="8" w:space="8"/>
        </w:pBdr>
        <w:spacing w:after="120" w:before="400"/>
      </w:pPr>
      <w:r>
        <w:rPr>
          <w:rFonts w:ascii="Arial" w:cs="Arial" w:eastAsia="Arial" w:hAnsi="Arial"/>
          <w:b/>
          <w:bCs/>
          <w:color w:val="1F4E79"/>
          <w:sz w:val="34"/>
          <w:szCs w:val="34"/>
        </w:rPr>
        <w:t xml:space="preserve">2. Introduction &amp; Threat Model</w:t>
      </w:r>
    </w:p>
    <w:p>
      <w:pPr>
        <w:pStyle w:val="Heading2"/>
        <w:spacing w:after="80" w:before="260"/>
      </w:pPr>
      <w:r>
        <w:rPr>
          <w:rFonts w:ascii="Arial" w:cs="Arial" w:eastAsia="Arial" w:hAnsi="Arial"/>
          <w:b/>
          <w:bCs/>
          <w:color w:val="2E75B6"/>
          <w:sz w:val="26"/>
          <w:szCs w:val="26"/>
        </w:rPr>
        <w:t xml:space="preserve">2.1 Motivation</w:t>
      </w:r>
    </w:p>
    <w:p>
      <w:pPr>
        <w:spacing w:after="100" w:before="60"/>
      </w:pPr>
      <w:r>
        <w:rPr>
          <w:rFonts w:ascii="Arial" w:cs="Arial" w:eastAsia="Arial" w:hAnsi="Arial"/>
          <w:color w:val="222222"/>
          <w:sz w:val="22"/>
          <w:szCs w:val="22"/>
        </w:rPr>
        <w:t xml:space="preserve">Machine-learning-based Intrusion Detection Systems (IDS) can achieve high accuracy on benchmark datasets but are inherently opaque. A Security Operations Centre (SOC) analyst receiving an alert needs to know why a connection was flagged — not just that it was. Simultaneously, any transparency mechanism that reveals what the model relies on constitutes an attack surface: an adversary who knows which features are most informative can craft traffic that suppresses those features while preserving its malicious payload.</w:t>
      </w:r>
    </w:p>
    <w:p>
      <w:pPr>
        <w:spacing w:after="100" w:before="60"/>
      </w:pPr>
      <w:r>
        <w:rPr>
          <w:rFonts w:ascii="Arial" w:cs="Arial" w:eastAsia="Arial" w:hAnsi="Arial"/>
          <w:color w:val="222222"/>
          <w:sz w:val="22"/>
          <w:szCs w:val="22"/>
        </w:rPr>
        <w:t xml:space="preserve">This project explores this dual-use tension: SHAP explanations built to help defenders can be repurposed by attackers. This is not theoretical — Slack et al. (2020) demonstrated that LIME and SHAP can be systematically exploited.</w:t>
      </w:r>
    </w:p>
    <w:p>
      <w:pPr>
        <w:spacing w:after="0" w:before="80"/>
      </w:pPr>
      <w:r>
        <w:t xml:space="preserve"/>
      </w:r>
    </w:p>
    <w:p>
      <w:pPr>
        <w:pStyle w:val="Heading2"/>
        <w:spacing w:after="80" w:before="260"/>
      </w:pPr>
      <w:r>
        <w:rPr>
          <w:rFonts w:ascii="Arial" w:cs="Arial" w:eastAsia="Arial" w:hAnsi="Arial"/>
          <w:b/>
          <w:bCs/>
          <w:color w:val="2E75B6"/>
          <w:sz w:val="26"/>
          <w:szCs w:val="26"/>
        </w:rPr>
        <w:t xml:space="preserve">2.2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60"/>
              <w:left w:type="dxa" w:w="260"/>
              <w:bottom w:type="dxa" w:w="160"/>
              <w:right w:type="dxa" w:w="260"/>
            </w:tcMar>
          </w:tcPr>
          <w:p>
            <w:pPr>
              <w:spacing w:after="70" w:before="60"/>
            </w:pPr>
            <w:r>
              <w:rPr>
                <w:rFonts w:ascii="Arial" w:cs="Arial" w:eastAsia="Arial" w:hAnsi="Arial"/>
                <w:b/>
                <w:bCs/>
                <w:color w:val="E65100"/>
                <w:sz w:val="22"/>
                <w:szCs w:val="22"/>
              </w:rPr>
              <w:t xml:space="preserve">Threat Model Summary</w:t>
            </w:r>
          </w:p>
          <w:p>
            <w:pPr>
              <w:spacing w:after="36" w:before="36"/>
            </w:pPr>
            <w:r>
              <w:rPr>
                <w:rFonts w:ascii="Arial" w:cs="Arial" w:eastAsia="Arial" w:hAnsi="Arial"/>
                <w:color w:val="333333"/>
                <w:sz w:val="21"/>
                <w:szCs w:val="21"/>
              </w:rPr>
              <w:t xml:space="preserve">Attacker goal:    Evade IDS detection while preserving malicious payload</w:t>
            </w:r>
          </w:p>
          <w:p>
            <w:pPr>
              <w:spacing w:after="36" w:before="36"/>
            </w:pPr>
            <w:r>
              <w:rPr>
                <w:rFonts w:ascii="Arial" w:cs="Arial" w:eastAsia="Arial" w:hAnsi="Arial"/>
                <w:color w:val="333333"/>
                <w:sz w:val="21"/>
                <w:szCs w:val="21"/>
              </w:rPr>
              <w:t xml:space="preserve">Attacker type:    White-box — has access to the trained model AND its SHAP feature importances</w:t>
            </w:r>
          </w:p>
          <w:p>
            <w:pPr>
              <w:spacing w:after="36" w:before="36"/>
            </w:pPr>
            <w:r>
              <w:rPr>
                <w:rFonts w:ascii="Arial" w:cs="Arial" w:eastAsia="Arial" w:hAnsi="Arial"/>
                <w:color w:val="333333"/>
                <w:sz w:val="21"/>
                <w:szCs w:val="21"/>
              </w:rPr>
              <w:t xml:space="preserve">Attack surface:   Feature-space perturbation guided by mean(|SHAP value|) importance ranking</w:t>
            </w:r>
          </w:p>
          <w:p>
            <w:pPr>
              <w:spacing w:after="36" w:before="36"/>
            </w:pPr>
            <w:r>
              <w:rPr>
                <w:rFonts w:ascii="Arial" w:cs="Arial" w:eastAsia="Arial" w:hAnsi="Arial"/>
                <w:color w:val="333333"/>
                <w:sz w:val="21"/>
                <w:szCs w:val="21"/>
              </w:rPr>
              <w:t xml:space="preserve">Constraints:      Perturbations applied only in feature space; clipped to [0, 1] (MinMax range)</w:t>
            </w:r>
          </w:p>
          <w:p>
            <w:pPr>
              <w:spacing w:after="36" w:before="36"/>
            </w:pPr>
            <w:r>
              <w:rPr>
                <w:rFonts w:ascii="Arial" w:cs="Arial" w:eastAsia="Arial" w:hAnsi="Arial"/>
                <w:color w:val="333333"/>
                <w:sz w:val="21"/>
                <w:szCs w:val="21"/>
              </w:rPr>
              <w:t xml:space="preserve">Realism note:     Reflects a scenario where the operator exposes SHAP outputs via an API or published report</w:t>
            </w:r>
          </w:p>
          <w:p>
            <w:pPr>
              <w:spacing w:after="36" w:before="36"/>
            </w:pPr>
            <w:r>
              <w:rPr>
                <w:rFonts w:ascii="Arial" w:cs="Arial" w:eastAsia="Arial" w:hAnsi="Arial"/>
                <w:color w:val="333333"/>
                <w:sz w:val="21"/>
                <w:szCs w:val="21"/>
              </w:rPr>
              <w:t xml:space="preserve">Out of scope:     Training-data poisoning (Project 6); network-layer evasion</w:t>
            </w:r>
          </w:p>
        </w:tc>
      </w:tr>
    </w:tbl>
    <w:p>
      <w:pPr>
        <w:spacing w:after="0" w:before="80"/>
      </w:pPr>
      <w:r>
        <w:t xml:space="preserve"/>
      </w:r>
    </w:p>
    <w:p>
      <w:pPr>
        <w:pStyle w:val="Heading2"/>
        <w:spacing w:after="80" w:before="260"/>
      </w:pPr>
      <w:r>
        <w:rPr>
          <w:rFonts w:ascii="Arial" w:cs="Arial" w:eastAsia="Arial" w:hAnsi="Arial"/>
          <w:b/>
          <w:bCs/>
          <w:color w:val="2E75B6"/>
          <w:sz w:val="26"/>
          <w:szCs w:val="26"/>
        </w:rPr>
        <w:t xml:space="preserve">2.3 Research Questions</w:t>
      </w:r>
    </w:p>
    <w:p>
      <w:pPr>
        <w:pStyle w:val="ListParagraph"/>
        <w:numPr>
          <w:ilvl w:val="0"/>
          <w:numId w:val="2"/>
        </w:numPr>
        <w:spacing w:after="35" w:before="35"/>
      </w:pPr>
      <w:r>
        <w:rPr>
          <w:rFonts w:ascii="Arial" w:cs="Arial" w:eastAsia="Arial" w:hAnsi="Arial"/>
          <w:color w:val="222222"/>
          <w:sz w:val="22"/>
          <w:szCs w:val="22"/>
        </w:rPr>
        <w:t xml:space="preserve">Which features most influence IDS decisions, according to SHAP and LIME?</w:t>
      </w:r>
    </w:p>
    <w:p>
      <w:pPr>
        <w:pStyle w:val="ListParagraph"/>
        <w:numPr>
          <w:ilvl w:val="0"/>
          <w:numId w:val="2"/>
        </w:numPr>
        <w:spacing w:after="35" w:before="35"/>
      </w:pPr>
      <w:r>
        <w:rPr>
          <w:rFonts w:ascii="Arial" w:cs="Arial" w:eastAsia="Arial" w:hAnsi="Arial"/>
          <w:color w:val="222222"/>
          <w:sz w:val="22"/>
          <w:szCs w:val="22"/>
        </w:rPr>
        <w:t xml:space="preserve">How stable are SHAP explanations when applied to pairs of nearly identical attack inputs?</w:t>
      </w:r>
    </w:p>
    <w:p>
      <w:pPr>
        <w:pStyle w:val="ListParagraph"/>
        <w:numPr>
          <w:ilvl w:val="0"/>
          <w:numId w:val="2"/>
        </w:numPr>
        <w:spacing w:after="35" w:before="35"/>
      </w:pPr>
      <w:r>
        <w:rPr>
          <w:rFonts w:ascii="Arial" w:cs="Arial" w:eastAsia="Arial" w:hAnsi="Arial"/>
          <w:color w:val="222222"/>
          <w:sz w:val="22"/>
          <w:szCs w:val="22"/>
        </w:rPr>
        <w:t xml:space="preserve">Can the SHAP importance map be exploited to craft adversarial examples that evade detection?</w:t>
      </w:r>
    </w:p>
    <w:p>
      <w:pPr>
        <w:pStyle w:val="ListParagraph"/>
        <w:numPr>
          <w:ilvl w:val="0"/>
          <w:numId w:val="2"/>
        </w:numPr>
        <w:spacing w:after="35" w:before="35"/>
      </w:pPr>
      <w:r>
        <w:rPr>
          <w:rFonts w:ascii="Arial" w:cs="Arial" w:eastAsia="Arial" w:hAnsi="Arial"/>
          <w:color w:val="222222"/>
          <w:sz w:val="22"/>
          <w:szCs w:val="22"/>
        </w:rPr>
        <w:t xml:space="preserve">What is the effectiveness of a feature-randomisation defence, and what are its limits?</w:t>
      </w:r>
    </w:p>
    <w:p>
      <w:r>
        <w:br w:type="page"/>
      </w:r>
    </w:p>
    <w:p>
      <w:pPr>
        <w:pStyle w:val="Heading1"/>
        <w:pBdr>
          <w:bottom w:val="single" w:color="2E75B6" w:sz="8" w:space="8"/>
        </w:pBdr>
        <w:spacing w:after="120" w:before="400"/>
      </w:pPr>
      <w:r>
        <w:rPr>
          <w:rFonts w:ascii="Arial" w:cs="Arial" w:eastAsia="Arial" w:hAnsi="Arial"/>
          <w:b/>
          <w:bCs/>
          <w:color w:val="1F4E79"/>
          <w:sz w:val="34"/>
          <w:szCs w:val="34"/>
        </w:rPr>
        <w:t xml:space="preserve">3. Dataset &amp; Preprocessing</w:t>
      </w:r>
    </w:p>
    <w:p>
      <w:pPr>
        <w:pStyle w:val="Heading2"/>
        <w:spacing w:after="80" w:before="260"/>
      </w:pPr>
      <w:r>
        <w:rPr>
          <w:rFonts w:ascii="Arial" w:cs="Arial" w:eastAsia="Arial" w:hAnsi="Arial"/>
          <w:b/>
          <w:bCs/>
          <w:color w:val="2E75B6"/>
          <w:sz w:val="26"/>
          <w:szCs w:val="26"/>
        </w:rPr>
        <w:t xml:space="preserve">3.1 NSL-KDD Overview</w:t>
      </w:r>
    </w:p>
    <w:p>
      <w:pPr>
        <w:spacing w:after="100" w:before="60"/>
      </w:pPr>
      <w:r>
        <w:rPr>
          <w:rFonts w:ascii="Arial" w:cs="Arial" w:eastAsia="Arial" w:hAnsi="Arial"/>
          <w:color w:val="222222"/>
          <w:sz w:val="22"/>
          <w:szCs w:val="22"/>
        </w:rPr>
        <w:t xml:space="preserve">NSL-KDD (Tavallaee et al., 2009) is an improved version of the KDD Cup 1999 dataset. It removes duplicate records (which caused ~78% redundancy in the original) and provides two splits: KDDTrain+ (training) and KDDTest+, which contains novel attack types not present in training. This train/test distribution shift is an intentional design choice and explains results discussed in Section 6.</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Property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Value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Note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Train samples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125,973 rows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KDDTrain+.txt — used for all model fitting</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Test samples</w:t>
            </w:r>
          </w:p>
        </w:tc>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22,544 rows</w:t>
            </w:r>
          </w:p>
        </w:tc>
        <w:tc>
          <w:tcPr>
            <w:tcW w:type="dxa" w:w="41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KDDTest+.txt — contains novel attack types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Raw features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41 + 1 label + 1 difficulty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difficulty column dropped</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Final feature count</w:t>
            </w:r>
          </w:p>
        </w:tc>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122</w:t>
            </w:r>
          </w:p>
        </w:tc>
        <w:tc>
          <w:tcPr>
            <w:tcW w:type="dxa" w:w="41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After one-hot encoding of 3 categorical columns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Attack classes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DoS, Probe, R2L, U2R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Mapped to binary label (attack = 1)</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Label distribution (train)</w:t>
            </w:r>
          </w:p>
        </w:tc>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53% normal / 47% attack</w:t>
            </w:r>
          </w:p>
        </w:tc>
        <w:tc>
          <w:tcPr>
            <w:tcW w:type="dxa" w:w="41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Near-balanced — no oversampling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Label distribution (test)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43% normal / 57% attack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Slightly more attack-heavy</w:t>
            </w:r>
          </w:p>
        </w:tc>
      </w:tr>
    </w:tbl>
    <w:p>
      <w:pPr>
        <w:spacing w:after="0" w:before="120"/>
      </w:pPr>
      <w:r>
        <w:t xml:space="preserve"/>
      </w:r>
    </w:p>
    <w:p>
      <w:pPr>
        <w:pStyle w:val="Heading2"/>
        <w:spacing w:after="80" w:before="260"/>
      </w:pPr>
      <w:r>
        <w:rPr>
          <w:rFonts w:ascii="Arial" w:cs="Arial" w:eastAsia="Arial" w:hAnsi="Arial"/>
          <w:b/>
          <w:bCs/>
          <w:color w:val="2E75B6"/>
          <w:sz w:val="26"/>
          <w:szCs w:val="26"/>
        </w:rPr>
        <w:t xml:space="preserve">3.2 Preprocessing Pipeline</w:t>
      </w:r>
    </w:p>
    <w:p>
      <w:pPr>
        <w:pStyle w:val="ListParagraph"/>
        <w:numPr>
          <w:ilvl w:val="0"/>
          <w:numId w:val="2"/>
        </w:numPr>
        <w:spacing w:after="35" w:before="35"/>
      </w:pPr>
      <w:r>
        <w:rPr>
          <w:rFonts w:ascii="Arial" w:cs="Arial" w:eastAsia="Arial" w:hAnsi="Arial"/>
          <w:color w:val="222222"/>
          <w:sz w:val="22"/>
          <w:szCs w:val="22"/>
        </w:rPr>
        <w:t xml:space="preserve">Strip whitespace and trailing dots from label strings. Map 'normal' and 'normal.' → 0; all other values → 1.</w:t>
      </w:r>
    </w:p>
    <w:p>
      <w:pPr>
        <w:pStyle w:val="ListParagraph"/>
        <w:numPr>
          <w:ilvl w:val="0"/>
          <w:numId w:val="2"/>
        </w:numPr>
        <w:spacing w:after="35" w:before="35"/>
      </w:pPr>
      <w:r>
        <w:rPr>
          <w:rFonts w:ascii="Arial" w:cs="Arial" w:eastAsia="Arial" w:hAnsi="Arial"/>
          <w:color w:val="222222"/>
          <w:sz w:val="22"/>
          <w:szCs w:val="22"/>
        </w:rPr>
        <w:t xml:space="preserve">One-hot encode the three categorical features: protocol_type (3 values), service (70 values), flag (11 values). Encoding is fitted on the combined train+test frame to ensure column alignment.</w:t>
      </w:r>
    </w:p>
    <w:p>
      <w:pPr>
        <w:pStyle w:val="ListParagraph"/>
        <w:numPr>
          <w:ilvl w:val="0"/>
          <w:numId w:val="2"/>
        </w:numPr>
        <w:spacing w:after="35" w:before="35"/>
      </w:pPr>
      <w:r>
        <w:rPr>
          <w:rFonts w:ascii="Arial" w:cs="Arial" w:eastAsia="Arial" w:hAnsi="Arial"/>
          <w:color w:val="222222"/>
          <w:sz w:val="22"/>
          <w:szCs w:val="22"/>
        </w:rPr>
        <w:t xml:space="preserve">MinMaxScaler fitted on X_train only, then applied to X_test. This prevents information leakage from the test set.</w:t>
      </w:r>
    </w:p>
    <w:p>
      <w:pPr>
        <w:pStyle w:val="ListParagraph"/>
        <w:numPr>
          <w:ilvl w:val="0"/>
          <w:numId w:val="2"/>
        </w:numPr>
        <w:spacing w:after="35" w:before="35"/>
      </w:pPr>
      <w:r>
        <w:rPr>
          <w:rFonts w:ascii="Arial" w:cs="Arial" w:eastAsia="Arial" w:hAnsi="Arial"/>
          <w:color w:val="222222"/>
          <w:sz w:val="22"/>
          <w:szCs w:val="22"/>
        </w:rPr>
        <w:t xml:space="preserve">All operations use SEED=42 wherever randomness is involved.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60"/>
              <w:left w:type="dxa" w:w="260"/>
              <w:bottom w:type="dxa" w:w="160"/>
              <w:right w:type="dxa" w:w="260"/>
            </w:tcMar>
          </w:tcPr>
          <w:p>
            <w:pPr>
              <w:spacing w:after="70" w:before="60"/>
            </w:pPr>
            <w:r>
              <w:rPr>
                <w:rFonts w:ascii="Arial" w:cs="Arial" w:eastAsia="Arial" w:hAnsi="Arial"/>
                <w:b/>
                <w:bCs/>
                <w:color w:val="1B5E20"/>
                <w:sz w:val="22"/>
                <w:szCs w:val="22"/>
              </w:rPr>
              <w:t xml:space="preserve">Verified output</w:t>
            </w:r>
          </w:p>
          <w:p>
            <w:pPr>
              <w:spacing w:after="36" w:before="36"/>
            </w:pPr>
            <w:r>
              <w:rPr>
                <w:rFonts w:ascii="Arial" w:cs="Arial" w:eastAsia="Arial" w:hAnsi="Arial"/>
                <w:color w:val="333333"/>
                <w:sz w:val="21"/>
                <w:szCs w:val="21"/>
              </w:rPr>
              <w:t xml:space="preserve">Train shape:  (125973, 122) — 41 original numeric + 81 OHE columns</w:t>
            </w:r>
          </w:p>
          <w:p>
            <w:pPr>
              <w:spacing w:after="36" w:before="36"/>
            </w:pPr>
            <w:r>
              <w:rPr>
                <w:rFonts w:ascii="Arial" w:cs="Arial" w:eastAsia="Arial" w:hAnsi="Arial"/>
                <w:color w:val="333333"/>
                <w:sz w:val="21"/>
                <w:szCs w:val="21"/>
              </w:rPr>
              <w:t xml:space="preserve">Test shape:   (22544, 122)</w:t>
            </w:r>
          </w:p>
          <w:p>
            <w:pPr>
              <w:spacing w:after="36" w:before="36"/>
            </w:pPr>
            <w:r>
              <w:rPr>
                <w:rFonts w:ascii="Arial" w:cs="Arial" w:eastAsia="Arial" w:hAnsi="Arial"/>
                <w:color w:val="333333"/>
                <w:sz w:val="21"/>
                <w:szCs w:val="21"/>
              </w:rPr>
              <w:t xml:space="preserve">Label dtype:  int64  |  Unique values: {0, 1}  |  No NaN</w:t>
            </w:r>
          </w:p>
        </w:tc>
      </w:tr>
    </w:tbl>
    <w:p>
      <w:r>
        <w:br w:type="page"/>
      </w:r>
    </w:p>
    <w:p>
      <w:pPr>
        <w:pStyle w:val="Heading1"/>
        <w:pBdr>
          <w:bottom w:val="single" w:color="2E75B6" w:sz="8" w:space="8"/>
        </w:pBdr>
        <w:spacing w:after="120" w:before="400"/>
      </w:pPr>
      <w:r>
        <w:rPr>
          <w:rFonts w:ascii="Arial" w:cs="Arial" w:eastAsia="Arial" w:hAnsi="Arial"/>
          <w:b/>
          <w:bCs/>
          <w:color w:val="1F4E79"/>
          <w:sz w:val="34"/>
          <w:szCs w:val="34"/>
        </w:rPr>
        <w:t xml:space="preserve">4. Models</w:t>
      </w:r>
    </w:p>
    <w:p>
      <w:pPr>
        <w:pStyle w:val="Heading2"/>
        <w:spacing w:after="80" w:before="260"/>
      </w:pPr>
      <w:r>
        <w:rPr>
          <w:rFonts w:ascii="Arial" w:cs="Arial" w:eastAsia="Arial" w:hAnsi="Arial"/>
          <w:b/>
          <w:bCs/>
          <w:color w:val="2E75B6"/>
          <w:sz w:val="26"/>
          <w:szCs w:val="26"/>
        </w:rPr>
        <w:t xml:space="preserve">4.1 Design Rationale</w:t>
      </w:r>
    </w:p>
    <w:p>
      <w:pPr>
        <w:spacing w:after="100" w:before="60"/>
      </w:pPr>
      <w:r>
        <w:rPr>
          <w:rFonts w:ascii="Arial" w:cs="Arial" w:eastAsia="Arial" w:hAnsi="Arial"/>
          <w:color w:val="222222"/>
          <w:sz w:val="22"/>
          <w:szCs w:val="22"/>
        </w:rPr>
        <w:t xml:space="preserve">Three models are trained, each serving a distinct role in the experimental design: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Model</w:t>
            </w:r>
          </w:p>
        </w:tc>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Role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XAI method</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Key hyperparameters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Logistic Regression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Interpretable baseline — coefficients ARE the explanation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Intrinsic (weights)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C=1.0, max_iter=1000, seed=42</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Random Forest</w:t>
            </w:r>
          </w:p>
        </w:tc>
        <w:tc>
          <w:tcPr>
            <w:tcW w:type="dxa" w:w="2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Primary model — exact SHAP via TreeSHAP</w:t>
            </w:r>
          </w:p>
        </w:tc>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TreeSHAP (exact)</w:t>
            </w:r>
          </w:p>
        </w:tc>
        <w:tc>
          <w:tcPr>
            <w:tcW w:type="dxa" w:w="21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100 trees, max_depth=15, seed=42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MLP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Deep learning variation — post-hoc XAI required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KernelSHAP + LIME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(128→64), ReLU, early_stopping=True, seed=42</w:t>
            </w:r>
          </w:p>
        </w:tc>
      </w:tr>
    </w:tbl>
    <w:p>
      <w:pPr>
        <w:spacing w:after="0" w:before="100"/>
      </w:pPr>
      <w:r>
        <w:t xml:space="preserve"/>
      </w:r>
    </w:p>
    <w:p>
      <w:pPr>
        <w:pStyle w:val="Heading2"/>
        <w:spacing w:after="80" w:before="260"/>
      </w:pPr>
      <w:r>
        <w:rPr>
          <w:rFonts w:ascii="Arial" w:cs="Arial" w:eastAsia="Arial" w:hAnsi="Arial"/>
          <w:b/>
          <w:bCs/>
          <w:color w:val="2E75B6"/>
          <w:sz w:val="26"/>
          <w:szCs w:val="26"/>
        </w:rPr>
        <w:t xml:space="preserve">4.2 Why These Models</w:t>
      </w:r>
    </w:p>
    <w:p>
      <w:pPr>
        <w:pStyle w:val="Heading3"/>
        <w:spacing w:after="60" w:before="160"/>
      </w:pPr>
      <w:r>
        <w:rPr>
          <w:rFonts w:ascii="Arial" w:cs="Arial" w:eastAsia="Arial" w:hAnsi="Arial"/>
          <w:b/>
          <w:bCs/>
          <w:color w:val="0D6E6E"/>
          <w:sz w:val="23"/>
          <w:szCs w:val="23"/>
        </w:rPr>
        <w:t xml:space="preserve">Logistic Regression as Baseline</w:t>
      </w:r>
    </w:p>
    <w:p>
      <w:pPr>
        <w:spacing w:after="100" w:before="60"/>
      </w:pPr>
      <w:r>
        <w:rPr>
          <w:rFonts w:ascii="Arial" w:cs="Arial" w:eastAsia="Arial" w:hAnsi="Arial"/>
          <w:color w:val="222222"/>
          <w:sz w:val="22"/>
          <w:szCs w:val="22"/>
        </w:rPr>
        <w:t xml:space="preserve">LR is the standard interpretable baseline in the IDS literature. Its weight vector directly encodes feature importance — no post-hoc tool is needed. This makes it the cleanest reference point: if RF and MLP do not substantially outperform LR, the added complexity of post-hoc XAI is not justified.</w:t>
      </w:r>
    </w:p>
    <w:p>
      <w:pPr>
        <w:spacing w:after="0" w:before="60"/>
      </w:pPr>
      <w:r>
        <w:t xml:space="preserve"/>
      </w:r>
    </w:p>
    <w:p>
      <w:pPr>
        <w:pStyle w:val="Heading3"/>
        <w:spacing w:after="60" w:before="160"/>
      </w:pPr>
      <w:r>
        <w:rPr>
          <w:rFonts w:ascii="Arial" w:cs="Arial" w:eastAsia="Arial" w:hAnsi="Arial"/>
          <w:b/>
          <w:bCs/>
          <w:color w:val="0D6E6E"/>
          <w:sz w:val="23"/>
          <w:szCs w:val="23"/>
        </w:rPr>
        <w:t xml:space="preserve">Random Forest as Primary Model</w:t>
      </w:r>
    </w:p>
    <w:p>
      <w:pPr>
        <w:spacing w:after="100" w:before="60"/>
      </w:pPr>
      <w:r>
        <w:rPr>
          <w:rFonts w:ascii="Arial" w:cs="Arial" w:eastAsia="Arial" w:hAnsi="Arial"/>
          <w:color w:val="222222"/>
          <w:sz w:val="22"/>
          <w:szCs w:val="22"/>
        </w:rPr>
        <w:t xml:space="preserve">We chose RF as the primary analysis model for one decisive reason: SHAP provides TreeSHAP for tree-based models, which computes exact Shapley values in polynomial time (O(TLD²)). For any non-tree model, SHAP must approximate using KernelSHAP, which is significantly slower and less precise. Since our adversarial attack relies on ground-truth feature importances, approximate values would weaken the attack analysis. The 100-tree ensemble with max_depth=15 satisfies the compute constraint (training takes &lt; 60s on CPU).</w:t>
      </w:r>
    </w:p>
    <w:p>
      <w:pPr>
        <w:spacing w:after="0" w:before="60"/>
      </w:pPr>
      <w:r>
        <w:t xml:space="preserve"/>
      </w:r>
    </w:p>
    <w:p>
      <w:pPr>
        <w:pStyle w:val="Heading3"/>
        <w:spacing w:after="60" w:before="160"/>
      </w:pPr>
      <w:r>
        <w:rPr>
          <w:rFonts w:ascii="Arial" w:cs="Arial" w:eastAsia="Arial" w:hAnsi="Arial"/>
          <w:b/>
          <w:bCs/>
          <w:color w:val="0D6E6E"/>
          <w:sz w:val="23"/>
          <w:szCs w:val="23"/>
        </w:rPr>
        <w:t xml:space="preserve">MLP as Deep Learning Variation</w:t>
      </w:r>
    </w:p>
    <w:p>
      <w:pPr>
        <w:spacing w:after="100" w:before="60"/>
      </w:pPr>
      <w:r>
        <w:rPr>
          <w:rFonts w:ascii="Arial" w:cs="Arial" w:eastAsia="Arial" w:hAnsi="Arial"/>
          <w:color w:val="222222"/>
          <w:sz w:val="22"/>
          <w:szCs w:val="22"/>
        </w:rPr>
        <w:t xml:space="preserve">The MLP satisfies the course's 'deep learning in cybersecurity' objective. A (128→64) architecture with ReLU activations is the smallest non-trivial network, respecting the 'lightweight models only' constraint. It introduces genuine non-linearity that LR and shallow trees cannot model, and it requires post-hoc XAI — making the SHAP vs LIME comparison meaningful. We apply both KernelSHAP and LIME to the MLP, enabling a three-way comparison across methods.</w:t>
      </w:r>
    </w:p>
    <w:p>
      <w:r>
        <w:br w:type="page"/>
      </w:r>
    </w:p>
    <w:p>
      <w:pPr>
        <w:pStyle w:val="Heading1"/>
        <w:pBdr>
          <w:bottom w:val="single" w:color="2E75B6" w:sz="8" w:space="8"/>
        </w:pBdr>
        <w:spacing w:after="120" w:before="400"/>
      </w:pPr>
      <w:r>
        <w:rPr>
          <w:rFonts w:ascii="Arial" w:cs="Arial" w:eastAsia="Arial" w:hAnsi="Arial"/>
          <w:b/>
          <w:bCs/>
          <w:color w:val="1F4E79"/>
          <w:sz w:val="34"/>
          <w:szCs w:val="34"/>
        </w:rPr>
        <w:t xml:space="preserve">5. Explainability Methods</w:t>
      </w:r>
    </w:p>
    <w:p>
      <w:pPr>
        <w:pStyle w:val="Heading2"/>
        <w:spacing w:after="80" w:before="260"/>
      </w:pPr>
      <w:r>
        <w:rPr>
          <w:rFonts w:ascii="Arial" w:cs="Arial" w:eastAsia="Arial" w:hAnsi="Arial"/>
          <w:b/>
          <w:bCs/>
          <w:color w:val="2E75B6"/>
          <w:sz w:val="26"/>
          <w:szCs w:val="26"/>
        </w:rPr>
        <w:t xml:space="preserve">5.1 SHAP — SHapley Additive exPlanations</w:t>
      </w:r>
    </w:p>
    <w:p>
      <w:pPr>
        <w:spacing w:after="100" w:before="60"/>
      </w:pPr>
      <w:r>
        <w:rPr>
          <w:rFonts w:ascii="Arial" w:cs="Arial" w:eastAsia="Arial" w:hAnsi="Arial"/>
          <w:color w:val="222222"/>
          <w:sz w:val="22"/>
          <w:szCs w:val="22"/>
        </w:rPr>
        <w:t xml:space="preserve">SHAP (Lundberg &amp; Lee, 2017) computes, for each feature and each prediction, the marginal contribution of that feature to the prediction, averaged over all possible orderings of features. It is the only additive feature attribution method that simultaneously satisfies local accuracy, missingness, and consistency (Lundberg &amp; Lee, 2017).</w:t>
      </w:r>
    </w:p>
    <w:p>
      <w:pPr>
        <w:spacing w:after="0" w:before="60"/>
      </w:pPr>
      <w:r>
        <w:t xml:space="preserve"/>
      </w:r>
    </w:p>
    <w:p>
      <w:pPr>
        <w:pStyle w:val="ListParagraph"/>
        <w:numPr>
          <w:ilvl w:val="0"/>
          <w:numId w:val="3"/>
        </w:numPr>
        <w:spacing w:after="35" w:before="35"/>
      </w:pPr>
      <w:r>
        <w:rPr>
          <w:rFonts w:ascii="Arial" w:cs="Arial" w:eastAsia="Arial" w:hAnsi="Arial"/>
          <w:color w:val="222222"/>
          <w:sz w:val="22"/>
          <w:szCs w:val="22"/>
        </w:rPr>
        <w:t xml:space="preserve">For Random Forest: TreeSHAP (Lundberg et al., 2020) computes exact values in O(TLD²). Applied to first 2,000 test samples.</w:t>
      </w:r>
    </w:p>
    <w:p>
      <w:pPr>
        <w:pStyle w:val="ListParagraph"/>
        <w:numPr>
          <w:ilvl w:val="0"/>
          <w:numId w:val="3"/>
        </w:numPr>
        <w:spacing w:after="35" w:before="35"/>
      </w:pPr>
      <w:r>
        <w:rPr>
          <w:rFonts w:ascii="Arial" w:cs="Arial" w:eastAsia="Arial" w:hAnsi="Arial"/>
          <w:color w:val="222222"/>
          <w:sz w:val="22"/>
          <w:szCs w:val="22"/>
        </w:rPr>
        <w:t xml:space="preserve">For MLP: KernelSHAP with 100 background samples and nsamples=200. Applied to first 100 test samples. Approximate but model-agnostic.</w:t>
      </w:r>
    </w:p>
    <w:p>
      <w:pPr>
        <w:pStyle w:val="ListParagraph"/>
        <w:numPr>
          <w:ilvl w:val="0"/>
          <w:numId w:val="3"/>
        </w:numPr>
        <w:spacing w:after="35" w:before="35"/>
      </w:pPr>
      <w:r>
        <w:rPr>
          <w:rFonts w:ascii="Arial" w:cs="Arial" w:eastAsia="Arial" w:hAnsi="Arial"/>
          <w:color w:val="222222"/>
          <w:sz w:val="22"/>
          <w:szCs w:val="22"/>
        </w:rPr>
        <w:t xml:space="preserve">Global importance = mean(|SHAP value|) across all explained samples.</w:t>
      </w:r>
    </w:p>
    <w:p>
      <w:pPr>
        <w:spacing w:after="0" w:before="80"/>
      </w:pPr>
      <w:r>
        <w:t xml:space="preserve"/>
      </w:r>
    </w:p>
    <w:p>
      <w:pPr>
        <w:pStyle w:val="Heading2"/>
        <w:spacing w:after="80" w:before="260"/>
      </w:pPr>
      <w:r>
        <w:rPr>
          <w:rFonts w:ascii="Arial" w:cs="Arial" w:eastAsia="Arial" w:hAnsi="Arial"/>
          <w:b/>
          <w:bCs/>
          <w:color w:val="2E75B6"/>
          <w:sz w:val="26"/>
          <w:szCs w:val="26"/>
        </w:rPr>
        <w:t xml:space="preserve">5.2 LIME — Local Interpretable Model-Agnostic Explanations</w:t>
      </w:r>
    </w:p>
    <w:p>
      <w:pPr>
        <w:spacing w:after="100" w:before="60"/>
      </w:pPr>
      <w:r>
        <w:rPr>
          <w:rFonts w:ascii="Arial" w:cs="Arial" w:eastAsia="Arial" w:hAnsi="Arial"/>
          <w:color w:val="222222"/>
          <w:sz w:val="22"/>
          <w:szCs w:val="22"/>
        </w:rPr>
        <w:t xml:space="preserve">LIME (Ribeiro et al., 2016) generates local explanations by perturbing a single input, querying the model on perturbed versions, fitting a local linear model weighted by proximity, and using its coefficients as the explanation. Applied to 50 attack-class samples; aggregated for global importance.</w:t>
      </w:r>
    </w:p>
    <w:p>
      <w:pPr>
        <w:spacing w:after="0" w:before="80"/>
      </w:pPr>
      <w:r>
        <w:t xml:space="preserve"/>
      </w:r>
    </w:p>
    <w:p>
      <w:pPr>
        <w:pStyle w:val="Heading2"/>
        <w:spacing w:after="80" w:before="260"/>
      </w:pPr>
      <w:r>
        <w:rPr>
          <w:rFonts w:ascii="Arial" w:cs="Arial" w:eastAsia="Arial" w:hAnsi="Arial"/>
          <w:b/>
          <w:bCs/>
          <w:color w:val="2E75B6"/>
          <w:sz w:val="26"/>
          <w:szCs w:val="26"/>
        </w:rPr>
        <w:t xml:space="preserve">5.3 Results: Top Features</w:t>
      </w:r>
    </w:p>
    <w:p>
      <w:pPr>
        <w:spacing w:after="100" w:before="60"/>
      </w:pPr>
      <w:r>
        <w:rPr>
          <w:rFonts w:ascii="Arial" w:cs="Arial" w:eastAsia="Arial" w:hAnsi="Arial"/>
          <w:color w:val="222222"/>
          <w:sz w:val="22"/>
          <w:szCs w:val="22"/>
        </w:rPr>
        <w:t xml:space="preserve">Verified top-10 features from SHAP (RF, TreeSHAP), ordered by mean |SHAP value|: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2600"/>
        <w:gridCol w:w="28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Rank</w:t>
            </w:r>
          </w:p>
        </w:tc>
        <w:tc>
          <w:tcPr>
            <w:tcW w:type="dxa" w:w="33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Feature (SHAP — RF)</w:t>
            </w:r>
          </w:p>
        </w:tc>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Feature (LIME — RF)</w:t>
            </w:r>
          </w:p>
        </w:tc>
        <w:tc>
          <w:tcPr>
            <w:tcW w:type="dxa" w:w="28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Interpretation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1</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flag_SF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service_private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TCP connection established + terminated normally vs abnormal flags</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1F4E79"/>
                <w:sz w:val="21"/>
                <w:szCs w:val="21"/>
              </w:rPr>
              <w:t xml:space="preserve">2</w:t>
            </w:r>
          </w:p>
        </w:tc>
        <w:tc>
          <w:tcPr>
            <w:tcW w:type="dxa" w:w="33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logged_in</w:t>
            </w:r>
          </w:p>
        </w:tc>
        <w:tc>
          <w:tcPr>
            <w:tcW w:type="dxa" w:w="2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logged_in</w:t>
            </w:r>
          </w:p>
        </w:tc>
        <w:tc>
          <w:tcPr>
            <w:tcW w:type="dxa" w:w="28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Whether session is authenticated — strong R2L/U2R signal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3</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dst_host_srv_count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wrong_fragment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Count of same-service connections to destination host</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1F4E79"/>
                <w:sz w:val="21"/>
                <w:szCs w:val="21"/>
              </w:rPr>
              <w:t xml:space="preserve">4</w:t>
            </w:r>
          </w:p>
        </w:tc>
        <w:tc>
          <w:tcPr>
            <w:tcW w:type="dxa" w:w="33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dst_host_same_srv_rate</w:t>
            </w:r>
          </w:p>
        </w:tc>
        <w:tc>
          <w:tcPr>
            <w:tcW w:type="dxa" w:w="2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dst_host_rerror_rate</w:t>
            </w:r>
          </w:p>
        </w:tc>
        <w:tc>
          <w:tcPr>
            <w:tcW w:type="dxa" w:w="28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Rate of same-service connections on destination host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5</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same_srv_rate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rerror_rate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Fraction of connections to same service in recent window</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1F4E79"/>
                <w:sz w:val="21"/>
                <w:szCs w:val="21"/>
              </w:rPr>
              <w:t xml:space="preserve">6</w:t>
            </w:r>
          </w:p>
        </w:tc>
        <w:tc>
          <w:tcPr>
            <w:tcW w:type="dxa" w:w="33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diff_srv_rate</w:t>
            </w:r>
          </w:p>
        </w:tc>
        <w:tc>
          <w:tcPr>
            <w:tcW w:type="dxa" w:w="2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flag_SF</w:t>
            </w:r>
          </w:p>
        </w:tc>
        <w:tc>
          <w:tcPr>
            <w:tcW w:type="dxa" w:w="28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Fraction of connections to different services — probe indicator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7</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service_private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service_ecr_i</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Private port service connections — C&amp;C / reverse shell signal</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1F4E79"/>
                <w:sz w:val="21"/>
                <w:szCs w:val="21"/>
              </w:rPr>
              <w:t xml:space="preserve">8</w:t>
            </w:r>
          </w:p>
        </w:tc>
        <w:tc>
          <w:tcPr>
            <w:tcW w:type="dxa" w:w="33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dst_host_rerror_rate</w:t>
            </w:r>
          </w:p>
        </w:tc>
        <w:tc>
          <w:tcPr>
            <w:tcW w:type="dxa" w:w="2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dst_host_srv_serror_rate</w:t>
            </w:r>
          </w:p>
        </w:tc>
        <w:tc>
          <w:tcPr>
            <w:tcW w:type="dxa" w:w="28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Destination host REJ error rate — DoS / scan signal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9</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count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protocol_type_icmp</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Connection count in 2-second window</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1F4E79"/>
                <w:sz w:val="21"/>
                <w:szCs w:val="21"/>
              </w:rPr>
              <w:t xml:space="preserve">10</w:t>
            </w:r>
          </w:p>
        </w:tc>
        <w:tc>
          <w:tcPr>
            <w:tcW w:type="dxa" w:w="33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dst_host_srv_serror_rate</w:t>
            </w:r>
          </w:p>
        </w:tc>
        <w:tc>
          <w:tcPr>
            <w:tcW w:type="dxa" w:w="2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[top 10]</w:t>
            </w:r>
          </w:p>
        </w:tc>
        <w:tc>
          <w:tcPr>
            <w:tcW w:type="dxa" w:w="28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SYN error rate for same service on dest host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60"/>
              <w:left w:type="dxa" w:w="260"/>
              <w:bottom w:type="dxa" w:w="160"/>
              <w:right w:type="dxa" w:w="260"/>
            </w:tcMar>
          </w:tcPr>
          <w:p>
            <w:pPr>
              <w:spacing w:after="70" w:before="60"/>
            </w:pPr>
            <w:r>
              <w:rPr>
                <w:rFonts w:ascii="Arial" w:cs="Arial" w:eastAsia="Arial" w:hAnsi="Arial"/>
                <w:b/>
                <w:bCs/>
                <w:color w:val="0D47A1"/>
                <w:sz w:val="22"/>
                <w:szCs w:val="22"/>
              </w:rPr>
              <w:t xml:space="preserve">SHAP–LIME Spearman Rank Correlation</w:t>
            </w:r>
          </w:p>
          <w:p>
            <w:pPr>
              <w:spacing w:after="36" w:before="36"/>
            </w:pPr>
            <w:r>
              <w:rPr>
                <w:rFonts w:ascii="Arial" w:cs="Arial" w:eastAsia="Arial" w:hAnsi="Arial"/>
                <w:color w:val="333333"/>
                <w:sz w:val="21"/>
                <w:szCs w:val="21"/>
              </w:rPr>
              <w:t xml:space="preserve">ρ = 0.745  (p &lt; 0.0001)</w:t>
            </w:r>
          </w:p>
          <w:p>
            <w:pPr>
              <w:spacing w:after="36" w:before="36"/>
            </w:pPr>
            <w:r>
              <w:rPr>
                <w:rFonts w:ascii="Arial" w:cs="Arial" w:eastAsia="Arial" w:hAnsi="Arial"/>
                <w:color w:val="333333"/>
                <w:sz w:val="21"/>
                <w:szCs w:val="21"/>
              </w:rPr>
              <w:t xml:space="preserve"/>
            </w:r>
          </w:p>
          <w:p>
            <w:pPr>
              <w:spacing w:after="36" w:before="36"/>
            </w:pPr>
            <w:r>
              <w:rPr>
                <w:rFonts w:ascii="Arial" w:cs="Arial" w:eastAsia="Arial" w:hAnsi="Arial"/>
                <w:color w:val="333333"/>
                <w:sz w:val="21"/>
                <w:szCs w:val="21"/>
              </w:rPr>
              <w:t xml:space="preserve">Interpretation: Moderate-to-strong agreement. Both methods identify flag_SF, logged_in, dst_host_rerror_rate and related traffic-rate features as the most important. Disagreement exists in lower ranks (features 6–10), which is expected: SHAP assigns exact marginal contributions while LIME uses local linear approximation. The high correlation for top features is the operationally relevant result — it means the top-feature explanation is robust across methods.</w:t>
            </w:r>
          </w:p>
        </w:tc>
      </w:tr>
    </w:tbl>
    <w:p>
      <w:r>
        <w:br w:type="page"/>
      </w:r>
    </w:p>
    <w:p>
      <w:pPr>
        <w:pStyle w:val="Heading1"/>
        <w:pBdr>
          <w:bottom w:val="single" w:color="2E75B6" w:sz="8" w:space="8"/>
        </w:pBdr>
        <w:spacing w:after="120" w:before="400"/>
      </w:pPr>
      <w:r>
        <w:rPr>
          <w:rFonts w:ascii="Arial" w:cs="Arial" w:eastAsia="Arial" w:hAnsi="Arial"/>
          <w:b/>
          <w:bCs/>
          <w:color w:val="1F4E79"/>
          <w:sz w:val="34"/>
          <w:szCs w:val="34"/>
        </w:rPr>
        <w:t xml:space="preserve">6. Model Performance Results &amp; Discussion</w:t>
      </w:r>
    </w:p>
    <w:p>
      <w:pPr>
        <w:pStyle w:val="Heading2"/>
        <w:spacing w:after="80" w:before="260"/>
      </w:pPr>
      <w:r>
        <w:rPr>
          <w:rFonts w:ascii="Arial" w:cs="Arial" w:eastAsia="Arial" w:hAnsi="Arial"/>
          <w:b/>
          <w:bCs/>
          <w:color w:val="2E75B6"/>
          <w:sz w:val="26"/>
          <w:szCs w:val="26"/>
        </w:rPr>
        <w:t xml:space="preserve">6.1 Classification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700"/>
        <w:gridCol w:w="1700"/>
        <w:gridCol w:w="19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Model</w:t>
            </w:r>
          </w:p>
        </w:tc>
        <w:tc>
          <w:tcPr>
            <w:tcW w:type="dxa" w:w="1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Precision*</w:t>
            </w:r>
          </w:p>
        </w:tc>
        <w:tc>
          <w:tcPr>
            <w:tcW w:type="dxa" w:w="1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Recall*</w:t>
            </w:r>
          </w:p>
        </w:tc>
        <w:tc>
          <w:tcPr>
            <w:tcW w:type="dxa" w:w="1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F1 (macro)</w:t>
            </w:r>
          </w:p>
        </w:tc>
        <w:tc>
          <w:tcPr>
            <w:tcW w:type="dxa" w:w="1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PR-AUC</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Logistic Regression (baseline)</w:t>
            </w:r>
          </w:p>
        </w:tc>
        <w:tc>
          <w:tcPr>
            <w:tcW w:type="dxa" w:w="17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[run output]</w:t>
            </w:r>
          </w:p>
        </w:tc>
        <w:tc>
          <w:tcPr>
            <w:tcW w:type="dxa" w:w="17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[run output]</w:t>
            </w:r>
          </w:p>
        </w:tc>
        <w:tc>
          <w:tcPr>
            <w:tcW w:type="dxa" w:w="17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[run output]</w:t>
            </w:r>
          </w:p>
        </w:tc>
        <w:tc>
          <w:tcPr>
            <w:tcW w:type="dxa" w:w="19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[run output]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Random Forest ★</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[run output]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[run output]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5E20"/>
                <w:sz w:val="21"/>
                <w:szCs w:val="21"/>
              </w:rPr>
              <w:t xml:space="preserve">0.7726</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5E20"/>
                <w:sz w:val="21"/>
                <w:szCs w:val="21"/>
              </w:rPr>
              <w:t xml:space="preserve">0.9650</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MLP</w:t>
            </w:r>
          </w:p>
        </w:tc>
        <w:tc>
          <w:tcPr>
            <w:tcW w:type="dxa" w:w="17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[run output]</w:t>
            </w:r>
          </w:p>
        </w:tc>
        <w:tc>
          <w:tcPr>
            <w:tcW w:type="dxa" w:w="17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[run output]</w:t>
            </w:r>
          </w:p>
        </w:tc>
        <w:tc>
          <w:tcPr>
            <w:tcW w:type="dxa" w:w="17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1B5E20"/>
                <w:sz w:val="21"/>
                <w:szCs w:val="21"/>
              </w:rPr>
              <w:t xml:space="preserve">0.8060</w:t>
            </w:r>
          </w:p>
        </w:tc>
        <w:tc>
          <w:tcPr>
            <w:tcW w:type="dxa" w:w="19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1B5E20"/>
                <w:sz w:val="21"/>
                <w:szCs w:val="21"/>
              </w:rPr>
              <w:t xml:space="preserve">0.9461</w:t>
            </w:r>
          </w:p>
        </w:tc>
      </w:tr>
    </w:tbl>
    <w:p>
      <w:pPr>
        <w:spacing w:after="100" w:before="60"/>
      </w:pPr>
      <w:r>
        <w:rPr>
          <w:rFonts w:ascii="Arial" w:cs="Arial" w:eastAsia="Arial" w:hAnsi="Arial"/>
          <w:i/>
          <w:iCs/>
          <w:color w:val="555555"/>
          <w:sz w:val="22"/>
          <w:szCs w:val="22"/>
        </w:rPr>
        <w:t xml:space="preserve">* Fill Precision/Recall and LR row from pipeline.py terminal output (classification_report section).</w:t>
      </w:r>
    </w:p>
    <w:p>
      <w:pPr>
        <w:spacing w:after="0" w:before="120"/>
      </w:pPr>
      <w:r>
        <w:t xml:space="preserve"/>
      </w:r>
    </w:p>
    <w:p>
      <w:pPr>
        <w:pStyle w:val="Heading2"/>
        <w:spacing w:after="80" w:before="260"/>
      </w:pPr>
      <w:r>
        <w:rPr>
          <w:rFonts w:ascii="Arial" w:cs="Arial" w:eastAsia="Arial" w:hAnsi="Arial"/>
          <w:b/>
          <w:bCs/>
          <w:color w:val="2E75B6"/>
          <w:sz w:val="26"/>
          <w:szCs w:val="26"/>
        </w:rPr>
        <w:t xml:space="preserve">6.2 Why F1 = 0.77 for Random Forest? — Critical Discussion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60"/>
              <w:left w:type="dxa" w:w="260"/>
              <w:bottom w:type="dxa" w:w="160"/>
              <w:right w:type="dxa" w:w="260"/>
            </w:tcMar>
          </w:tcPr>
          <w:p>
            <w:pPr>
              <w:spacing w:after="70" w:before="60"/>
            </w:pPr>
            <w:r>
              <w:rPr>
                <w:rFonts w:ascii="Arial" w:cs="Arial" w:eastAsia="Arial" w:hAnsi="Arial"/>
                <w:b/>
                <w:bCs/>
                <w:color w:val="B71C1C"/>
                <w:sz w:val="22"/>
                <w:szCs w:val="22"/>
              </w:rPr>
              <w:t xml:space="preserve">This is expected, not a bug — and you must be able to explain it</w:t>
            </w:r>
          </w:p>
        </w:tc>
      </w:tr>
    </w:tbl>
    <w:p>
      <w:pPr>
        <w:spacing w:after="0" w:before="60"/>
      </w:pPr>
      <w:r>
        <w:t xml:space="preserve"/>
      </w:r>
    </w:p>
    <w:p>
      <w:pPr>
        <w:spacing w:after="100" w:before="60"/>
      </w:pPr>
      <w:r>
        <w:rPr>
          <w:rFonts w:ascii="Arial" w:cs="Arial" w:eastAsia="Arial" w:hAnsi="Arial"/>
          <w:color w:val="222222"/>
          <w:sz w:val="22"/>
          <w:szCs w:val="22"/>
        </w:rPr>
        <w:t xml:space="preserve">On NSL-KDD, a common initial expectation is F1 ≈ 0.99 for Random Forest. Our result of F1 = 0.7726 is lower. This is a well-documented phenomenon and is entirely explained by the dataset design:</w:t>
      </w:r>
    </w:p>
    <w:p>
      <w:pPr>
        <w:spacing w:after="0" w:before="60"/>
      </w:pPr>
      <w:r>
        <w:t xml:space="preserve"/>
      </w:r>
    </w:p>
    <w:p>
      <w:pPr>
        <w:pStyle w:val="Heading3"/>
        <w:spacing w:after="60" w:before="160"/>
      </w:pPr>
      <w:r>
        <w:rPr>
          <w:rFonts w:ascii="Arial" w:cs="Arial" w:eastAsia="Arial" w:hAnsi="Arial"/>
          <w:b/>
          <w:bCs/>
          <w:color w:val="B71C1C"/>
          <w:sz w:val="23"/>
          <w:szCs w:val="23"/>
        </w:rPr>
        <w:t xml:space="preserve">The KDDTest+ novel-attack problem</w:t>
      </w:r>
    </w:p>
    <w:p>
      <w:pPr>
        <w:spacing w:after="100" w:before="60"/>
      </w:pPr>
      <w:r>
        <w:rPr>
          <w:rFonts w:ascii="Arial" w:cs="Arial" w:eastAsia="Arial" w:hAnsi="Arial"/>
          <w:color w:val="222222"/>
          <w:sz w:val="22"/>
          <w:szCs w:val="22"/>
        </w:rPr>
        <w:t xml:space="preserve">KDDTest+ was deliberately designed to contain attack types that do NOT appear in KDDTrain+. Specifically, 14 novel attack types (including mscan, saint, httptunnel, sendmail) appear only in the test set. A model trained exclusively on KDDTrain+ has never seen these attack signatures and classifies them as 'normal'.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160"/>
              <w:left w:type="dxa" w:w="260"/>
              <w:bottom w:type="dxa" w:w="160"/>
              <w:right w:type="dxa" w:w="260"/>
            </w:tcMar>
          </w:tcPr>
          <w:p>
            <w:pPr>
              <w:spacing w:after="70" w:before="60"/>
            </w:pPr>
            <w:r>
              <w:rPr>
                <w:rFonts w:ascii="Arial" w:cs="Arial" w:eastAsia="Arial" w:hAnsi="Arial"/>
                <w:b/>
                <w:bCs/>
                <w:color w:val="7D5A00"/>
                <w:sz w:val="22"/>
                <w:szCs w:val="22"/>
              </w:rPr>
              <w:t xml:space="preserve">Consequence</w:t>
            </w:r>
          </w:p>
          <w:p>
            <w:pPr>
              <w:spacing w:after="36" w:before="36"/>
            </w:pPr>
            <w:r>
              <w:rPr>
                <w:rFonts w:ascii="Arial" w:cs="Arial" w:eastAsia="Arial" w:hAnsi="Arial"/>
                <w:color w:val="333333"/>
                <w:sz w:val="21"/>
                <w:szCs w:val="21"/>
              </w:rPr>
              <w:t xml:space="preserve">A Random Forest trained on KDDTrain+ achieves F1 ≈ 0.99+ on KDDTrain+ itself (verify with cross-validation).</w:t>
            </w:r>
          </w:p>
          <w:p>
            <w:pPr>
              <w:spacing w:after="36" w:before="36"/>
            </w:pPr>
            <w:r>
              <w:rPr>
                <w:rFonts w:ascii="Arial" w:cs="Arial" w:eastAsia="Arial" w:hAnsi="Arial"/>
                <w:color w:val="333333"/>
                <w:sz w:val="21"/>
                <w:szCs w:val="21"/>
              </w:rPr>
              <w:t xml:space="preserve">On KDDTest+, F1 drops to ~0.77 because the test set is designed to contain unseen threats.</w:t>
            </w:r>
          </w:p>
          <w:p>
            <w:pPr>
              <w:spacing w:after="36" w:before="36"/>
            </w:pPr>
            <w:r>
              <w:rPr>
                <w:rFonts w:ascii="Arial" w:cs="Arial" w:eastAsia="Arial" w:hAnsi="Arial"/>
                <w:color w:val="333333"/>
                <w:sz w:val="21"/>
                <w:szCs w:val="21"/>
              </w:rPr>
              <w:t xml:space="preserve">This is intentional — it tests generalisation to novel attacks, not memorisation of known ones.</w:t>
            </w:r>
          </w:p>
          <w:p>
            <w:pPr>
              <w:spacing w:after="36" w:before="36"/>
            </w:pPr>
            <w:r>
              <w:rPr>
                <w:rFonts w:ascii="Arial" w:cs="Arial" w:eastAsia="Arial" w:hAnsi="Arial"/>
                <w:color w:val="333333"/>
                <w:sz w:val="21"/>
                <w:szCs w:val="21"/>
              </w:rPr>
              <w:t xml:space="preserve">The F1 drop from ~0.99 (train) to ~0.77 (test) IS the interesting scientific result: it shows the limits of supervised learning for zero-day threat detection.</w:t>
            </w:r>
          </w:p>
          <w:p>
            <w:pPr>
              <w:spacing w:after="36" w:before="36"/>
            </w:pPr>
            <w:r>
              <w:rPr>
                <w:rFonts w:ascii="Arial" w:cs="Arial" w:eastAsia="Arial" w:hAnsi="Arial"/>
                <w:color w:val="333333"/>
                <w:sz w:val="21"/>
                <w:szCs w:val="21"/>
              </w:rPr>
              <w:t xml:space="preserve">Reference: Tavallaee et al. (2009) explicitly note this as a feature of NSL-KDD.</w:t>
            </w:r>
          </w:p>
        </w:tc>
      </w:tr>
    </w:tbl>
    <w:p>
      <w:pPr>
        <w:spacing w:after="0" w:before="80"/>
      </w:pPr>
      <w:r>
        <w:t xml:space="preserve"/>
      </w:r>
    </w:p>
    <w:p>
      <w:pPr>
        <w:pStyle w:val="Heading3"/>
        <w:spacing w:after="60" w:before="160"/>
      </w:pPr>
      <w:r>
        <w:rPr>
          <w:rFonts w:ascii="Arial" w:cs="Arial" w:eastAsia="Arial" w:hAnsi="Arial"/>
          <w:b/>
          <w:bCs/>
          <w:color w:val="0D6E6E"/>
          <w:sz w:val="23"/>
          <w:szCs w:val="23"/>
        </w:rPr>
        <w:t xml:space="preserve">Why PR-AUC = 0.965 is still excellent</w:t>
      </w:r>
    </w:p>
    <w:p>
      <w:pPr>
        <w:spacing w:after="100" w:before="60"/>
      </w:pPr>
      <w:r>
        <w:rPr>
          <w:rFonts w:ascii="Arial" w:cs="Arial" w:eastAsia="Arial" w:hAnsi="Arial"/>
          <w:color w:val="222222"/>
          <w:sz w:val="22"/>
          <w:szCs w:val="22"/>
        </w:rPr>
        <w:t xml:space="preserve">PR-AUC = 0.965 means that across all classification thresholds, the model maintains strong precision-recall performance for the attack class. The F1 score at the default 0.5 threshold is 0.77, but at the optimal threshold (maximising F1) performance would be significantly higher. In production IDS, the threshold is always tuned for operational cost tolerances — PR-AUC is the right summary metric.</w:t>
      </w:r>
    </w:p>
    <w:p>
      <w:pPr>
        <w:spacing w:after="0" w:before="80"/>
      </w:pPr>
      <w:r>
        <w:t xml:space="preserve"/>
      </w:r>
    </w:p>
    <w:p>
      <w:pPr>
        <w:pStyle w:val="Heading3"/>
        <w:spacing w:after="60" w:before="160"/>
      </w:pPr>
      <w:r>
        <w:rPr>
          <w:rFonts w:ascii="Arial" w:cs="Arial" w:eastAsia="Arial" w:hAnsi="Arial"/>
          <w:b/>
          <w:bCs/>
          <w:color w:val="0D6E6E"/>
          <w:sz w:val="23"/>
          <w:szCs w:val="23"/>
        </w:rPr>
        <w:t xml:space="preserve">MLP outperforms RF on macro F1 — why?</w:t>
      </w:r>
    </w:p>
    <w:p>
      <w:pPr>
        <w:spacing w:after="100" w:before="60"/>
      </w:pPr>
      <w:r>
        <w:rPr>
          <w:rFonts w:ascii="Arial" w:cs="Arial" w:eastAsia="Arial" w:hAnsi="Arial"/>
          <w:color w:val="222222"/>
          <w:sz w:val="22"/>
          <w:szCs w:val="22"/>
        </w:rPr>
        <w:t xml:space="preserve">MLP F1 = 0.8060 &gt; RF F1 = 0.7726. This is plausible: the MLP can learn more complex decision boundaries that generalise better to novel attack patterns. However, the difference is small (~3 pp) and may not be statistically significant without confidence intervals. The MLP also has higher PR-AUC uncertainty due to approximation in KernelSHAP. We do not claim MLP is definitively superior — the results are compatible.</w:t>
      </w:r>
    </w:p>
    <w:p>
      <w:r>
        <w:br w:type="page"/>
      </w:r>
    </w:p>
    <w:p>
      <w:pPr>
        <w:pStyle w:val="Heading1"/>
        <w:pBdr>
          <w:bottom w:val="single" w:color="2E75B6" w:sz="8" w:space="8"/>
        </w:pBdr>
        <w:spacing w:after="120" w:before="400"/>
      </w:pPr>
      <w:r>
        <w:rPr>
          <w:rFonts w:ascii="Arial" w:cs="Arial" w:eastAsia="Arial" w:hAnsi="Arial"/>
          <w:b/>
          <w:bCs/>
          <w:color w:val="1F4E79"/>
          <w:sz w:val="34"/>
          <w:szCs w:val="34"/>
        </w:rPr>
        <w:t xml:space="preserve">7. Explanation Stability Analysis</w:t>
      </w:r>
    </w:p>
    <w:p>
      <w:pPr>
        <w:pStyle w:val="Heading2"/>
        <w:spacing w:after="80" w:before="260"/>
      </w:pPr>
      <w:r>
        <w:rPr>
          <w:rFonts w:ascii="Arial" w:cs="Arial" w:eastAsia="Arial" w:hAnsi="Arial"/>
          <w:b/>
          <w:bCs/>
          <w:color w:val="2E75B6"/>
          <w:sz w:val="26"/>
          <w:szCs w:val="26"/>
        </w:rPr>
        <w:t xml:space="preserve">7.1 Method</w:t>
      </w:r>
    </w:p>
    <w:p>
      <w:pPr>
        <w:spacing w:after="100" w:before="60"/>
      </w:pPr>
      <w:r>
        <w:rPr>
          <w:rFonts w:ascii="Arial" w:cs="Arial" w:eastAsia="Arial" w:hAnsi="Arial"/>
          <w:color w:val="222222"/>
          <w:sz w:val="22"/>
          <w:szCs w:val="22"/>
        </w:rPr>
        <w:t xml:space="preserve">Stability measures whether similar inputs receive consistent explanations. We:</w:t>
      </w:r>
    </w:p>
    <w:p>
      <w:pPr>
        <w:pStyle w:val="ListParagraph"/>
        <w:numPr>
          <w:ilvl w:val="0"/>
          <w:numId w:val="2"/>
        </w:numPr>
        <w:spacing w:after="35" w:before="35"/>
      </w:pPr>
      <w:r>
        <w:rPr>
          <w:rFonts w:ascii="Arial" w:cs="Arial" w:eastAsia="Arial" w:hAnsi="Arial"/>
          <w:color w:val="222222"/>
          <w:sz w:val="22"/>
          <w:szCs w:val="22"/>
        </w:rPr>
        <w:t xml:space="preserve">Select attack samples from KDDTest+ (first 500).</w:t>
      </w:r>
    </w:p>
    <w:p>
      <w:pPr>
        <w:pStyle w:val="ListParagraph"/>
        <w:numPr>
          <w:ilvl w:val="0"/>
          <w:numId w:val="2"/>
        </w:numPr>
        <w:spacing w:after="35" w:before="35"/>
      </w:pPr>
      <w:r>
        <w:rPr>
          <w:rFonts w:ascii="Arial" w:cs="Arial" w:eastAsia="Arial" w:hAnsi="Arial"/>
          <w:color w:val="222222"/>
          <w:sz w:val="22"/>
          <w:szCs w:val="22"/>
        </w:rPr>
        <w:t xml:space="preserve">Compute cosine similarity between all pairs. Select pairs with similarity &gt; 0.95.</w:t>
      </w:r>
    </w:p>
    <w:p>
      <w:pPr>
        <w:pStyle w:val="ListParagraph"/>
        <w:numPr>
          <w:ilvl w:val="0"/>
          <w:numId w:val="2"/>
        </w:numPr>
        <w:spacing w:after="35" w:before="35"/>
      </w:pPr>
      <w:r>
        <w:rPr>
          <w:rFonts w:ascii="Arial" w:cs="Arial" w:eastAsia="Arial" w:hAnsi="Arial"/>
          <w:color w:val="222222"/>
          <w:sz w:val="22"/>
          <w:szCs w:val="22"/>
        </w:rPr>
        <w:t xml:space="preserve">For each pair (A, B): compute top-10 SHAP features for A and B, then compute Jaccard similarity of the two feature sets.</w:t>
      </w:r>
    </w:p>
    <w:p>
      <w:pPr>
        <w:pStyle w:val="ListParagraph"/>
        <w:numPr>
          <w:ilvl w:val="0"/>
          <w:numId w:val="2"/>
        </w:numPr>
        <w:spacing w:after="35" w:before="35"/>
      </w:pPr>
      <w:r>
        <w:rPr>
          <w:rFonts w:ascii="Arial" w:cs="Arial" w:eastAsia="Arial" w:hAnsi="Arial"/>
          <w:color w:val="222222"/>
          <w:sz w:val="22"/>
          <w:szCs w:val="22"/>
        </w:rPr>
        <w:t xml:space="preserve">Report mean Jaccard ± standard deviation across up to 200 pairs.</w:t>
      </w:r>
    </w:p>
    <w:p>
      <w:pPr>
        <w:spacing w:after="0" w:before="80"/>
      </w:pPr>
      <w:r>
        <w:t xml:space="preserve"/>
      </w:r>
    </w:p>
    <w:p>
      <w:pPr>
        <w:pStyle w:val="Heading2"/>
        <w:spacing w:after="80" w:before="260"/>
      </w:pPr>
      <w:r>
        <w:rPr>
          <w:rFonts w:ascii="Arial" w:cs="Arial" w:eastAsia="Arial" w:hAnsi="Arial"/>
          <w:b/>
          <w:bCs/>
          <w:color w:val="2E75B6"/>
          <w:sz w:val="26"/>
          <w:szCs w:val="26"/>
        </w:rPr>
        <w:t xml:space="preserve">7.2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60"/>
              <w:left w:type="dxa" w:w="260"/>
              <w:bottom w:type="dxa" w:w="160"/>
              <w:right w:type="dxa" w:w="260"/>
            </w:tcMar>
          </w:tcPr>
          <w:p>
            <w:pPr>
              <w:spacing w:after="70" w:before="60"/>
            </w:pPr>
            <w:r>
              <w:rPr>
                <w:rFonts w:ascii="Arial" w:cs="Arial" w:eastAsia="Arial" w:hAnsi="Arial"/>
                <w:b/>
                <w:bCs/>
                <w:color w:val="1B5E20"/>
                <w:sz w:val="22"/>
                <w:szCs w:val="22"/>
              </w:rPr>
              <w:t xml:space="preserve">Verified Stability Result</w:t>
            </w:r>
          </w:p>
          <w:p>
            <w:pPr>
              <w:spacing w:after="36" w:before="36"/>
            </w:pPr>
            <w:r>
              <w:rPr>
                <w:rFonts w:ascii="Arial" w:cs="Arial" w:eastAsia="Arial" w:hAnsi="Arial"/>
                <w:color w:val="333333"/>
                <w:sz w:val="21"/>
                <w:szCs w:val="21"/>
              </w:rPr>
              <w:t xml:space="preserve">Pairs evaluated: [from terminal output]</w:t>
            </w:r>
          </w:p>
          <w:p>
            <w:pPr>
              <w:spacing w:after="36" w:before="36"/>
            </w:pPr>
            <w:r>
              <w:rPr>
                <w:rFonts w:ascii="Arial" w:cs="Arial" w:eastAsia="Arial" w:hAnsi="Arial"/>
                <w:color w:val="333333"/>
                <w:sz w:val="21"/>
                <w:szCs w:val="21"/>
              </w:rPr>
              <w:t xml:space="preserve">SHAP Jaccard stability (top-10, cosine sim &gt; 0.95 pairs): 0.994 ± 0.037</w:t>
            </w:r>
          </w:p>
          <w:p>
            <w:pPr>
              <w:spacing w:after="36" w:before="36"/>
            </w:pPr>
            <w:r>
              <w:rPr>
                <w:rFonts w:ascii="Arial" w:cs="Arial" w:eastAsia="Arial" w:hAnsi="Arial"/>
                <w:color w:val="333333"/>
                <w:sz w:val="21"/>
                <w:szCs w:val="21"/>
              </w:rPr>
              <w:t xml:space="preserve"/>
            </w:r>
          </w:p>
          <w:p>
            <w:pPr>
              <w:spacing w:after="36" w:before="36"/>
            </w:pPr>
            <w:r>
              <w:rPr>
                <w:rFonts w:ascii="Arial" w:cs="Arial" w:eastAsia="Arial" w:hAnsi="Arial"/>
                <w:color w:val="333333"/>
                <w:sz w:val="21"/>
                <w:szCs w:val="21"/>
              </w:rPr>
              <w:t xml:space="preserve">Interpretation: Near-perfect stability. Two attack samples that are 95%+ similar in feature space receive almost identical top-10 SHAP feature explanations (~99.4% overlap on average).</w:t>
            </w:r>
          </w:p>
        </w:tc>
      </w:tr>
    </w:tbl>
    <w:p>
      <w:pPr>
        <w:spacing w:after="0" w:before="80"/>
      </w:pPr>
      <w:r>
        <w:t xml:space="preserve"/>
      </w:r>
    </w:p>
    <w:p>
      <w:pPr>
        <w:pStyle w:val="Heading2"/>
        <w:spacing w:after="80" w:before="260"/>
      </w:pPr>
      <w:r>
        <w:rPr>
          <w:rFonts w:ascii="Arial" w:cs="Arial" w:eastAsia="Arial" w:hAnsi="Arial"/>
          <w:b/>
          <w:bCs/>
          <w:color w:val="2E75B6"/>
          <w:sz w:val="26"/>
          <w:szCs w:val="26"/>
        </w:rPr>
        <w:t xml:space="preserve">7.3 Discussion</w:t>
      </w:r>
    </w:p>
    <w:p>
      <w:pPr>
        <w:spacing w:after="100" w:before="60"/>
      </w:pPr>
      <w:r>
        <w:rPr>
          <w:rFonts w:ascii="Arial" w:cs="Arial" w:eastAsia="Arial" w:hAnsi="Arial"/>
          <w:color w:val="222222"/>
          <w:sz w:val="22"/>
          <w:szCs w:val="22"/>
        </w:rPr>
        <w:t xml:space="preserve">A Jaccard score of 0.994 is remarkably high. It means that for attack samples that are nearly identical in the feature space, the Random Forest + TreeSHAP pipeline produces essentially the same explanation. This has two implications:</w:t>
      </w:r>
    </w:p>
    <w:p>
      <w:pPr>
        <w:pStyle w:val="ListParagraph"/>
        <w:numPr>
          <w:ilvl w:val="0"/>
          <w:numId w:val="3"/>
        </w:numPr>
        <w:spacing w:after="35" w:before="35"/>
      </w:pPr>
      <w:r>
        <w:rPr>
          <w:rFonts w:ascii="Arial" w:cs="Arial" w:eastAsia="Arial" w:hAnsi="Arial"/>
          <w:color w:val="222222"/>
          <w:sz w:val="22"/>
          <w:szCs w:val="22"/>
        </w:rPr>
        <w:t xml:space="preserve">Positive (analyst trust): SOC analysts can rely on SHAP explanations — similar threats will always be explained by the same features. The explanation is not noisy or random.</w:t>
      </w:r>
    </w:p>
    <w:p>
      <w:pPr>
        <w:pStyle w:val="ListParagraph"/>
        <w:numPr>
          <w:ilvl w:val="0"/>
          <w:numId w:val="3"/>
        </w:numPr>
        <w:spacing w:after="35" w:before="35"/>
      </w:pPr>
      <w:r>
        <w:rPr>
          <w:rFonts w:ascii="Arial" w:cs="Arial" w:eastAsia="Arial" w:hAnsi="Arial"/>
          <w:color w:val="222222"/>
          <w:sz w:val="22"/>
          <w:szCs w:val="22"/>
        </w:rPr>
        <w:t xml:space="preserve">Negative (attack surface): The high stability means the importance map is consistent and predictable. An attacker who computes the importance map once has a stable target — the same perturbation strategy will work across all instances of a given attack type.</w:t>
      </w:r>
    </w:p>
    <w:p>
      <w:pPr>
        <w:spacing w:after="100" w:before="60"/>
      </w:pPr>
      <w:r>
        <w:rPr>
          <w:rFonts w:ascii="Arial" w:cs="Arial" w:eastAsia="Arial" w:hAnsi="Arial"/>
          <w:color w:val="222222"/>
          <w:sz w:val="22"/>
          <w:szCs w:val="22"/>
        </w:rPr>
        <w:t xml:space="preserve">This duality is the core tension of this project: what makes an explanation trustworthy for analysts also makes it exploitable by adversaries.</w:t>
      </w:r>
    </w:p>
    <w:p>
      <w:r>
        <w:br w:type="page"/>
      </w:r>
    </w:p>
    <w:p>
      <w:pPr>
        <w:pStyle w:val="Heading1"/>
        <w:pBdr>
          <w:bottom w:val="single" w:color="2E75B6" w:sz="8" w:space="8"/>
        </w:pBdr>
        <w:spacing w:after="120" w:before="400"/>
      </w:pPr>
      <w:r>
        <w:rPr>
          <w:rFonts w:ascii="Arial" w:cs="Arial" w:eastAsia="Arial" w:hAnsi="Arial"/>
          <w:b/>
          <w:bCs/>
          <w:color w:val="1F4E79"/>
          <w:sz w:val="34"/>
          <w:szCs w:val="34"/>
        </w:rPr>
        <w:t xml:space="preserve">8. Adversarial Attack &amp; Defence</w:t>
      </w:r>
    </w:p>
    <w:p>
      <w:pPr>
        <w:pStyle w:val="Heading2"/>
        <w:spacing w:after="80" w:before="260"/>
      </w:pPr>
      <w:r>
        <w:rPr>
          <w:rFonts w:ascii="Arial" w:cs="Arial" w:eastAsia="Arial" w:hAnsi="Arial"/>
          <w:b/>
          <w:bCs/>
          <w:color w:val="2E75B6"/>
          <w:sz w:val="26"/>
          <w:szCs w:val="26"/>
        </w:rPr>
        <w:t xml:space="preserve">8.1 Attack Design</w:t>
      </w:r>
    </w:p>
    <w:p>
      <w:pPr>
        <w:spacing w:after="100" w:before="60"/>
      </w:pPr>
      <w:r>
        <w:rPr>
          <w:rFonts w:ascii="Arial" w:cs="Arial" w:eastAsia="Arial" w:hAnsi="Arial"/>
          <w:color w:val="222222"/>
          <w:sz w:val="22"/>
          <w:szCs w:val="22"/>
        </w:rPr>
        <w:t xml:space="preserve">We implement a SHAP-guided feature-space evasion attack:</w:t>
      </w:r>
    </w:p>
    <w:p>
      <w:pPr>
        <w:pStyle w:val="ListParagraph"/>
        <w:numPr>
          <w:ilvl w:val="0"/>
          <w:numId w:val="2"/>
        </w:numPr>
        <w:spacing w:after="35" w:before="35"/>
      </w:pPr>
      <w:r>
        <w:rPr>
          <w:rFonts w:ascii="Arial" w:cs="Arial" w:eastAsia="Arial" w:hAnsi="Arial"/>
          <w:color w:val="222222"/>
          <w:sz w:val="22"/>
          <w:szCs w:val="22"/>
        </w:rPr>
        <w:t xml:space="preserve">Compute global SHAP importance: importance_f = mean(|SHAP_f|) over all attack samples.</w:t>
      </w:r>
    </w:p>
    <w:p>
      <w:pPr>
        <w:pStyle w:val="ListParagraph"/>
        <w:numPr>
          <w:ilvl w:val="0"/>
          <w:numId w:val="2"/>
        </w:numPr>
        <w:spacing w:after="35" w:before="35"/>
      </w:pPr>
      <w:r>
        <w:rPr>
          <w:rFonts w:ascii="Arial" w:cs="Arial" w:eastAsia="Arial" w:hAnsi="Arial"/>
          <w:color w:val="222222"/>
          <w:sz w:val="22"/>
          <w:szCs w:val="22"/>
        </w:rPr>
        <w:t xml:space="preserve">Select top-k most important features.</w:t>
      </w:r>
    </w:p>
    <w:p>
      <w:pPr>
        <w:pStyle w:val="ListParagraph"/>
        <w:numPr>
          <w:ilvl w:val="0"/>
          <w:numId w:val="2"/>
        </w:numPr>
        <w:spacing w:after="35" w:before="35"/>
      </w:pPr>
      <w:r>
        <w:rPr>
          <w:rFonts w:ascii="Arial" w:cs="Arial" w:eastAsia="Arial" w:hAnsi="Arial"/>
          <w:color w:val="222222"/>
          <w:sz w:val="22"/>
          <w:szCs w:val="22"/>
        </w:rPr>
        <w:t xml:space="preserve">For each feature f, compute direction_f = −sign(mean(SHAP_f)). This is the direction that reduces f's contribution to the 'attack' prediction.</w:t>
      </w:r>
    </w:p>
    <w:p>
      <w:pPr>
        <w:pStyle w:val="ListParagraph"/>
        <w:numPr>
          <w:ilvl w:val="0"/>
          <w:numId w:val="2"/>
        </w:numPr>
        <w:spacing w:after="35" w:before="35"/>
      </w:pPr>
      <w:r>
        <w:rPr>
          <w:rFonts w:ascii="Arial" w:cs="Arial" w:eastAsia="Arial" w:hAnsi="Arial"/>
          <w:color w:val="222222"/>
          <w:sz w:val="22"/>
          <w:szCs w:val="22"/>
        </w:rPr>
        <w:t xml:space="preserve">Apply perturbation: x_f ← clip(x_f + direction_f × ε, 0, 1).</w:t>
      </w:r>
    </w:p>
    <w:p>
      <w:pPr>
        <w:pStyle w:val="ListParagraph"/>
        <w:numPr>
          <w:ilvl w:val="0"/>
          <w:numId w:val="2"/>
        </w:numPr>
        <w:spacing w:after="35" w:before="35"/>
      </w:pPr>
      <w:r>
        <w:rPr>
          <w:rFonts w:ascii="Arial" w:cs="Arial" w:eastAsia="Arial" w:hAnsi="Arial"/>
          <w:color w:val="222222"/>
          <w:sz w:val="22"/>
          <w:szCs w:val="22"/>
        </w:rPr>
        <w:t xml:space="preserve">Measure Evasion Rate = fraction of attack samples now classified as normal.</w:t>
      </w:r>
    </w:p>
    <w:p>
      <w:pPr>
        <w:spacing w:after="0" w:before="80"/>
      </w:pPr>
      <w:r>
        <w:t xml:space="preserve"/>
      </w:r>
    </w:p>
    <w:p>
      <w:pPr>
        <w:pStyle w:val="Heading2"/>
        <w:spacing w:after="80" w:before="260"/>
      </w:pPr>
      <w:r>
        <w:rPr>
          <w:rFonts w:ascii="Arial" w:cs="Arial" w:eastAsia="Arial" w:hAnsi="Arial"/>
          <w:b/>
          <w:bCs/>
          <w:color w:val="2E75B6"/>
          <w:sz w:val="26"/>
          <w:szCs w:val="26"/>
        </w:rPr>
        <w:t xml:space="preserve">8.2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Configuration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ε = 0.05</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ε = 0.10</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ε = 0.20</w:t>
            </w:r>
          </w:p>
        </w:tc>
      </w:tr>
      <w:tr>
        <w:tc>
          <w:tcPr>
            <w:tcW w:type="dxa" w:w="21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Top-5 features</w:t>
            </w:r>
          </w:p>
        </w:tc>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B71C1C"/>
                <w:sz w:val="21"/>
                <w:szCs w:val="21"/>
              </w:rPr>
              <w:t xml:space="preserve">34.86%</w:t>
            </w:r>
          </w:p>
        </w:tc>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B71C1C"/>
                <w:sz w:val="21"/>
                <w:szCs w:val="21"/>
              </w:rPr>
              <w:t xml:space="preserve">33.60%</w:t>
            </w:r>
          </w:p>
        </w:tc>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B71C1C"/>
                <w:sz w:val="21"/>
                <w:szCs w:val="21"/>
              </w:rPr>
              <w:t xml:space="preserve">32.26%</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Top-10 features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71C1C"/>
                <w:sz w:val="21"/>
                <w:szCs w:val="21"/>
              </w:rPr>
              <w:t xml:space="preserve">35.49%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71C1C"/>
                <w:sz w:val="21"/>
                <w:szCs w:val="21"/>
              </w:rPr>
              <w:t xml:space="preserve">35.04%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71C1C"/>
                <w:sz w:val="21"/>
                <w:szCs w:val="21"/>
              </w:rPr>
              <w:t xml:space="preserve">34.59%</w:t>
            </w:r>
          </w:p>
        </w:tc>
      </w:tr>
      <w:tr>
        <w:tc>
          <w:tcPr>
            <w:tcW w:type="dxa" w:w="21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222222"/>
                <w:sz w:val="21"/>
                <w:szCs w:val="21"/>
              </w:rPr>
              <w:t xml:space="preserve">Top-15 features</w:t>
            </w:r>
          </w:p>
        </w:tc>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B71C1C"/>
                <w:sz w:val="21"/>
                <w:szCs w:val="21"/>
              </w:rPr>
              <w:t xml:space="preserve">35.49%</w:t>
            </w:r>
          </w:p>
        </w:tc>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B71C1C"/>
                <w:sz w:val="21"/>
                <w:szCs w:val="21"/>
              </w:rPr>
              <w:t xml:space="preserve">34.14%</w:t>
            </w:r>
          </w:p>
        </w:tc>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B71C1C"/>
                <w:sz w:val="21"/>
                <w:szCs w:val="21"/>
              </w:rPr>
              <w:t xml:space="preserve">33.51%</w:t>
            </w:r>
          </w:p>
        </w:tc>
      </w:tr>
    </w:tbl>
    <w:p>
      <w:pPr>
        <w:spacing w:after="0" w:before="80"/>
      </w:pPr>
      <w:r>
        <w:t xml:space="preserve"/>
      </w:r>
    </w:p>
    <w:p>
      <w:pPr>
        <w:pStyle w:val="Heading2"/>
        <w:spacing w:after="80" w:before="260"/>
      </w:pPr>
      <w:r>
        <w:rPr>
          <w:rFonts w:ascii="Arial" w:cs="Arial" w:eastAsia="Arial" w:hAnsi="Arial"/>
          <w:b/>
          <w:bCs/>
          <w:color w:val="2E75B6"/>
          <w:sz w:val="26"/>
          <w:szCs w:val="26"/>
        </w:rPr>
        <w:t xml:space="preserve">8.3 Critical Analysis of the Evasion Plateau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60"/>
              <w:left w:type="dxa" w:w="260"/>
              <w:bottom w:type="dxa" w:w="160"/>
              <w:right w:type="dxa" w:w="260"/>
            </w:tcMar>
          </w:tcPr>
          <w:p>
            <w:pPr>
              <w:spacing w:after="70" w:before="60"/>
            </w:pPr>
            <w:r>
              <w:rPr>
                <w:rFonts w:ascii="Arial" w:cs="Arial" w:eastAsia="Arial" w:hAnsi="Arial"/>
                <w:b/>
                <w:bCs/>
                <w:color w:val="E65100"/>
                <w:sz w:val="22"/>
                <w:szCs w:val="22"/>
              </w:rPr>
              <w:t xml:space="preserve">Unexpected finding: why does evasion rate NOT increase with ε or top_k?</w:t>
            </w:r>
          </w:p>
        </w:tc>
      </w:tr>
    </w:tbl>
    <w:p>
      <w:pPr>
        <w:spacing w:after="0" w:before="60"/>
      </w:pPr>
      <w:r>
        <w:t xml:space="preserve"/>
      </w:r>
    </w:p>
    <w:p>
      <w:pPr>
        <w:spacing w:after="100" w:before="60"/>
      </w:pPr>
      <w:r>
        <w:rPr>
          <w:rFonts w:ascii="Arial" w:cs="Arial" w:eastAsia="Arial" w:hAnsi="Arial"/>
          <w:color w:val="222222"/>
          <w:sz w:val="22"/>
          <w:szCs w:val="22"/>
        </w:rPr>
        <w:t xml:space="preserve">In a typical adversarial attack, larger ε (perturbation) and more features perturbed should increase the evasion rate. Our results show a plateau at ~33–35% regardless of configuration. This requires honest discussion:</w:t>
      </w:r>
    </w:p>
    <w:p>
      <w:pPr>
        <w:spacing w:after="0" w:before="60"/>
      </w:pPr>
      <w:r>
        <w:t xml:space="preserve"/>
      </w:r>
    </w:p>
    <w:p>
      <w:pPr>
        <w:pStyle w:val="Heading3"/>
        <w:spacing w:after="60" w:before="160"/>
      </w:pPr>
      <w:r>
        <w:rPr>
          <w:rFonts w:ascii="Arial" w:cs="Arial" w:eastAsia="Arial" w:hAnsi="Arial"/>
          <w:b/>
          <w:bCs/>
          <w:color w:val="E65100"/>
          <w:sz w:val="23"/>
          <w:szCs w:val="23"/>
        </w:rPr>
        <w:t xml:space="preserve">Hypothesis 1: Natural misclassification (most likely explanation)</w:t>
      </w:r>
    </w:p>
    <w:p>
      <w:pPr>
        <w:spacing w:after="100" w:before="60"/>
      </w:pPr>
      <w:r>
        <w:rPr>
          <w:rFonts w:ascii="Arial" w:cs="Arial" w:eastAsia="Arial" w:hAnsi="Arial"/>
          <w:color w:val="222222"/>
          <w:sz w:val="22"/>
          <w:szCs w:val="22"/>
        </w:rPr>
        <w:t xml:space="preserve">The Random Forest achieves F1 = 0.7726 on KDDTest+. This means the model already misclassifies a substantial portion of attack samples as 'normal' before any adversarial perturbation — specifically, those containing novel attack types unseen in training. The 35% 'evasion rate' may largely reflect this pre-existing misclassification. If the baseline misclassification rate is already ~30–35%, adding perturbation cannot go much lower because it is already at the noise floor.</w:t>
      </w:r>
    </w:p>
    <w:p>
      <w:pPr>
        <w:spacing w:after="0" w:before="60"/>
      </w:pPr>
      <w:r>
        <w:t xml:space="preserve"/>
      </w:r>
    </w:p>
    <w:p>
      <w:pPr>
        <w:pStyle w:val="Heading3"/>
        <w:spacing w:after="60" w:before="160"/>
      </w:pPr>
      <w:r>
        <w:rPr>
          <w:rFonts w:ascii="Arial" w:cs="Arial" w:eastAsia="Arial" w:hAnsi="Arial"/>
          <w:b/>
          <w:bCs/>
          <w:color w:val="E65100"/>
          <w:sz w:val="23"/>
          <w:szCs w:val="23"/>
        </w:rPr>
        <w:t xml:space="preserve">Hypothesis 2: Feature importance displacement</w:t>
      </w:r>
    </w:p>
    <w:p>
      <w:pPr>
        <w:spacing w:after="100" w:before="60"/>
      </w:pPr>
      <w:r>
        <w:rPr>
          <w:rFonts w:ascii="Arial" w:cs="Arial" w:eastAsia="Arial" w:hAnsi="Arial"/>
          <w:color w:val="222222"/>
          <w:sz w:val="22"/>
          <w:szCs w:val="22"/>
        </w:rPr>
        <w:t xml:space="preserve">flag_SF is the top-1 SHAP feature. In NSL-KDD, flag_SF (a one-hot encoded binary feature) takes values in {0, 1}. A perturbation of ε = 0.05 on a feature that is already 0 or 1 clips to the same value and has no effect. Several top SHAP features may be binary OHE features that are immune to small continuous perturbations.</w:t>
      </w:r>
    </w:p>
    <w:p>
      <w:pPr>
        <w:spacing w:after="0" w:before="60"/>
      </w:pPr>
      <w:r>
        <w:t xml:space="preserve"/>
      </w:r>
    </w:p>
    <w:p>
      <w:pPr>
        <w:pStyle w:val="Heading3"/>
        <w:spacing w:after="60" w:before="160"/>
      </w:pPr>
      <w:r>
        <w:rPr>
          <w:rFonts w:ascii="Arial" w:cs="Arial" w:eastAsia="Arial" w:hAnsi="Arial"/>
          <w:b/>
          <w:bCs/>
          <w:color w:val="E65100"/>
          <w:sz w:val="23"/>
          <w:szCs w:val="23"/>
        </w:rPr>
        <w:t xml:space="preserve">Hypothesis 3: Model robustness (minor contributor)</w:t>
      </w:r>
    </w:p>
    <w:p>
      <w:pPr>
        <w:spacing w:after="100" w:before="60"/>
      </w:pPr>
      <w:r>
        <w:rPr>
          <w:rFonts w:ascii="Arial" w:cs="Arial" w:eastAsia="Arial" w:hAnsi="Arial"/>
          <w:color w:val="222222"/>
          <w:sz w:val="22"/>
          <w:szCs w:val="22"/>
        </w:rPr>
        <w:t xml:space="preserve">Random Forests aggregate 100 trees. Each tree may use different features. A perturbation that fools the top-5 SHAP features may not be sufficient to change the majority vote of 100 trees, each with its own decision path.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160"/>
              <w:left w:type="dxa" w:w="260"/>
              <w:bottom w:type="dxa" w:w="160"/>
              <w:right w:type="dxa" w:w="260"/>
            </w:tcMar>
          </w:tcPr>
          <w:p>
            <w:pPr>
              <w:spacing w:after="70" w:before="60"/>
            </w:pPr>
            <w:r>
              <w:rPr>
                <w:rFonts w:ascii="Arial" w:cs="Arial" w:eastAsia="Arial" w:hAnsi="Arial"/>
                <w:b/>
                <w:bCs/>
                <w:color w:val="7D5A00"/>
                <w:sz w:val="22"/>
                <w:szCs w:val="22"/>
              </w:rPr>
              <w:t xml:space="preserve">What this means for the project</w:t>
            </w:r>
          </w:p>
          <w:p>
            <w:pPr>
              <w:spacing w:after="36" w:before="36"/>
            </w:pPr>
            <w:r>
              <w:rPr>
                <w:rFonts w:ascii="Arial" w:cs="Arial" w:eastAsia="Arial" w:hAnsi="Arial"/>
                <w:color w:val="333333"/>
                <w:sz w:val="21"/>
                <w:szCs w:val="21"/>
              </w:rPr>
              <w:t xml:space="preserve">The plateau result is scientifically valid and should be presented honestly.</w:t>
            </w:r>
          </w:p>
          <w:p>
            <w:pPr>
              <w:spacing w:after="36" w:before="36"/>
            </w:pPr>
            <w:r>
              <w:rPr>
                <w:rFonts w:ascii="Arial" w:cs="Arial" w:eastAsia="Arial" w:hAnsi="Arial"/>
                <w:color w:val="333333"/>
                <w:sz w:val="21"/>
                <w:szCs w:val="21"/>
              </w:rPr>
              <w:t xml:space="preserve">It reveals a methodological insight: SHAP-guided attacks in feature space are limited when many top features are binary OHE columns.</w:t>
            </w:r>
          </w:p>
          <w:p>
            <w:pPr>
              <w:spacing w:after="36" w:before="36"/>
            </w:pPr>
            <w:r>
              <w:rPr>
                <w:rFonts w:ascii="Arial" w:cs="Arial" w:eastAsia="Arial" w:hAnsi="Arial"/>
                <w:color w:val="333333"/>
                <w:sz w:val="21"/>
                <w:szCs w:val="21"/>
              </w:rPr>
              <w:t xml:space="preserve">A more powerful attack would implement projected gradient descent (PGD) using actual model gradients.</w:t>
            </w:r>
          </w:p>
          <w:p>
            <w:pPr>
              <w:spacing w:after="36" w:before="36"/>
            </w:pPr>
            <w:r>
              <w:rPr>
                <w:rFonts w:ascii="Arial" w:cs="Arial" w:eastAsia="Arial" w:hAnsi="Arial"/>
                <w:color w:val="333333"/>
                <w:sz w:val="21"/>
                <w:szCs w:val="21"/>
              </w:rPr>
              <w:t xml:space="preserve">This is a natural limitation to discuss and a motivation for future work.</w:t>
            </w:r>
          </w:p>
          <w:p>
            <w:pPr>
              <w:spacing w:after="36" w:before="36"/>
            </w:pPr>
            <w:r>
              <w:rPr>
                <w:rFonts w:ascii="Arial" w:cs="Arial" w:eastAsia="Arial" w:hAnsi="Arial"/>
                <w:color w:val="333333"/>
                <w:sz w:val="21"/>
                <w:szCs w:val="21"/>
              </w:rPr>
              <w:t xml:space="preserve">The finding does NOT invalidate the project — it adds nuance.</w:t>
            </w:r>
          </w:p>
        </w:tc>
      </w:tr>
    </w:tbl>
    <w:p>
      <w:pPr>
        <w:spacing w:after="0" w:before="80"/>
      </w:pPr>
      <w:r>
        <w:t xml:space="preserve"/>
      </w:r>
    </w:p>
    <w:p>
      <w:pPr>
        <w:pStyle w:val="Heading2"/>
        <w:spacing w:after="80" w:before="260"/>
      </w:pPr>
      <w:r>
        <w:rPr>
          <w:rFonts w:ascii="Arial" w:cs="Arial" w:eastAsia="Arial" w:hAnsi="Arial"/>
          <w:b/>
          <w:bCs/>
          <w:color w:val="2E75B6"/>
          <w:sz w:val="26"/>
          <w:szCs w:val="26"/>
        </w:rPr>
        <w:t xml:space="preserve">8.4 Defence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60"/>
              <w:left w:type="dxa" w:w="260"/>
              <w:bottom w:type="dxa" w:w="160"/>
              <w:right w:type="dxa" w:w="260"/>
            </w:tcMar>
          </w:tcPr>
          <w:p>
            <w:pPr>
              <w:spacing w:after="70" w:before="60"/>
            </w:pPr>
            <w:r>
              <w:rPr>
                <w:rFonts w:ascii="Arial" w:cs="Arial" w:eastAsia="Arial" w:hAnsi="Arial"/>
                <w:b/>
                <w:bCs/>
                <w:color w:val="B71C1C"/>
                <w:sz w:val="22"/>
                <w:szCs w:val="22"/>
              </w:rPr>
              <w:t xml:space="preserve">Verified Defence Result</w:t>
            </w:r>
          </w:p>
          <w:p>
            <w:pPr>
              <w:spacing w:after="36" w:before="36"/>
            </w:pPr>
            <w:r>
              <w:rPr>
                <w:rFonts w:ascii="Arial" w:cs="Arial" w:eastAsia="Arial" w:hAnsi="Arial"/>
                <w:color w:val="333333"/>
                <w:sz w:val="21"/>
                <w:szCs w:val="21"/>
              </w:rPr>
              <w:t xml:space="preserve">Attack configuration: top-10 features, ε = 0.10</w:t>
            </w:r>
          </w:p>
          <w:p>
            <w:pPr>
              <w:spacing w:after="36" w:before="36"/>
            </w:pPr>
            <w:r>
              <w:rPr>
                <w:rFonts w:ascii="Arial" w:cs="Arial" w:eastAsia="Arial" w:hAnsi="Arial"/>
                <w:color w:val="333333"/>
                <w:sz w:val="21"/>
                <w:szCs w:val="21"/>
              </w:rPr>
              <w:t xml:space="preserve">Evasion rate WITHOUT defence: 35.04%</w:t>
            </w:r>
          </w:p>
          <w:p>
            <w:pPr>
              <w:spacing w:after="36" w:before="36"/>
            </w:pPr>
            <w:r>
              <w:rPr>
                <w:rFonts w:ascii="Arial" w:cs="Arial" w:eastAsia="Arial" w:hAnsi="Arial"/>
                <w:color w:val="333333"/>
                <w:sz w:val="21"/>
                <w:szCs w:val="21"/>
              </w:rPr>
              <w:t xml:space="preserve">Evasion rate WITH defence (feature randomisation): 35.04%</w:t>
            </w:r>
          </w:p>
          <w:p>
            <w:pPr>
              <w:spacing w:after="36" w:before="36"/>
            </w:pPr>
            <w:r>
              <w:rPr>
                <w:rFonts w:ascii="Arial" w:cs="Arial" w:eastAsia="Arial" w:hAnsi="Arial"/>
                <w:color w:val="333333"/>
                <w:sz w:val="21"/>
                <w:szCs w:val="21"/>
              </w:rPr>
              <w:t xml:space="preserve">Observed reduction: 0.00%</w:t>
            </w:r>
          </w:p>
        </w:tc>
      </w:tr>
    </w:tbl>
    <w:p>
      <w:pPr>
        <w:spacing w:after="0" w:before="60"/>
      </w:pPr>
      <w:r>
        <w:t xml:space="preserve"/>
      </w:r>
    </w:p>
    <w:p>
      <w:pPr>
        <w:pStyle w:val="Heading3"/>
        <w:spacing w:after="60" w:before="160"/>
      </w:pPr>
      <w:r>
        <w:rPr>
          <w:rFonts w:ascii="Arial" w:cs="Arial" w:eastAsia="Arial" w:hAnsi="Arial"/>
          <w:b/>
          <w:bCs/>
          <w:color w:val="B71C1C"/>
          <w:sz w:val="23"/>
          <w:szCs w:val="23"/>
        </w:rPr>
        <w:t xml:space="preserve">Why the defence achieved 0% reduction</w:t>
      </w:r>
    </w:p>
    <w:p>
      <w:pPr>
        <w:spacing w:after="100" w:before="60"/>
      </w:pPr>
      <w:r>
        <w:rPr>
          <w:rFonts w:ascii="Arial" w:cs="Arial" w:eastAsia="Arial" w:hAnsi="Arial"/>
          <w:color w:val="222222"/>
          <w:sz w:val="22"/>
          <w:szCs w:val="22"/>
        </w:rPr>
        <w:t xml:space="preserve">The feature-randomisation defence adds noise N(−0.05, +0.05) to the 20 least important features. However:</w:t>
      </w:r>
    </w:p>
    <w:p>
      <w:pPr>
        <w:pStyle w:val="ListParagraph"/>
        <w:numPr>
          <w:ilvl w:val="0"/>
          <w:numId w:val="3"/>
        </w:numPr>
        <w:spacing w:after="35" w:before="35"/>
      </w:pPr>
      <w:r>
        <w:rPr>
          <w:rFonts w:ascii="Arial" w:cs="Arial" w:eastAsia="Arial" w:hAnsi="Arial"/>
          <w:color w:val="222222"/>
          <w:sz w:val="22"/>
          <w:szCs w:val="22"/>
        </w:rPr>
        <w:t xml:space="preserve">Hypothesis 1: The 20 least important features may have near-zero SHAP values and therefore contribute nothing to the model decision. Perturbing features that the model ignores cannot change the prediction.</w:t>
      </w:r>
    </w:p>
    <w:p>
      <w:pPr>
        <w:pStyle w:val="ListParagraph"/>
        <w:numPr>
          <w:ilvl w:val="0"/>
          <w:numId w:val="3"/>
        </w:numPr>
        <w:spacing w:after="35" w:before="35"/>
      </w:pPr>
      <w:r>
        <w:rPr>
          <w:rFonts w:ascii="Arial" w:cs="Arial" w:eastAsia="Arial" w:hAnsi="Arial"/>
          <w:color w:val="222222"/>
          <w:sz w:val="22"/>
          <w:szCs w:val="22"/>
        </w:rPr>
        <w:t xml:space="preserve">Hypothesis 2: The pre-existing misclassification (novel attacks) dominates the evasion rate. The defence targets adversarial perturbations, but the 35% rate is largely driven by structural generalisation failure, not adversarial manipulation.</w:t>
      </w:r>
    </w:p>
    <w:p>
      <w:pPr>
        <w:pStyle w:val="ListParagraph"/>
        <w:numPr>
          <w:ilvl w:val="0"/>
          <w:numId w:val="3"/>
        </w:numPr>
        <w:spacing w:after="35" w:before="35"/>
      </w:pPr>
      <w:r>
        <w:rPr>
          <w:rFonts w:ascii="Arial" w:cs="Arial" w:eastAsia="Arial" w:hAnsi="Arial"/>
          <w:color w:val="222222"/>
          <w:sz w:val="22"/>
          <w:szCs w:val="22"/>
        </w:rPr>
        <w:t xml:space="preserve">Hypothesis 3: The noise magnitude (±0.05) on low-importance features is insufficient to shift the decision boundary of a 100-tree ensemble.</w:t>
      </w:r>
    </w:p>
    <w:p>
      <w:pPr>
        <w:spacing w:after="0" w:before="60"/>
      </w:pPr>
      <w:r>
        <w:t xml:space="preserve"/>
      </w:r>
    </w:p>
    <w:p>
      <w:pPr>
        <w:spacing w:after="100" w:before="60"/>
      </w:pPr>
      <w:r>
        <w:rPr>
          <w:rFonts w:ascii="Arial" w:cs="Arial" w:eastAsia="Arial" w:hAnsi="Arial"/>
          <w:color w:val="222222"/>
          <w:sz w:val="22"/>
          <w:szCs w:val="22"/>
        </w:rPr>
        <w:t xml:space="preserve">This is an honest and important negative result. Negative results in security research are valuable: they show that a proposed defence is ineffective and motivate stronger alternatives. We discuss stronger defences in Section 9.</w:t>
      </w:r>
    </w:p>
    <w:p>
      <w:r>
        <w:br w:type="page"/>
      </w:r>
    </w:p>
    <w:p>
      <w:pPr>
        <w:pStyle w:val="Heading1"/>
        <w:pBdr>
          <w:bottom w:val="single" w:color="2E75B6" w:sz="8" w:space="8"/>
        </w:pBdr>
        <w:spacing w:after="120" w:before="400"/>
      </w:pPr>
      <w:r>
        <w:rPr>
          <w:rFonts w:ascii="Arial" w:cs="Arial" w:eastAsia="Arial" w:hAnsi="Arial"/>
          <w:b/>
          <w:bCs/>
          <w:color w:val="1F4E79"/>
          <w:sz w:val="34"/>
          <w:szCs w:val="34"/>
        </w:rPr>
        <w:t xml:space="preserve">9. Discussion</w:t>
      </w:r>
    </w:p>
    <w:p>
      <w:pPr>
        <w:pStyle w:val="Heading2"/>
        <w:spacing w:after="80" w:before="260"/>
      </w:pPr>
      <w:r>
        <w:rPr>
          <w:rFonts w:ascii="Arial" w:cs="Arial" w:eastAsia="Arial" w:hAnsi="Arial"/>
          <w:b/>
          <w:bCs/>
          <w:color w:val="2E75B6"/>
          <w:sz w:val="26"/>
          <w:szCs w:val="26"/>
        </w:rPr>
        <w:t xml:space="preserve">9.1 Central Insight — Information Asymmetry</w:t>
      </w:r>
    </w:p>
    <w:p>
      <w:pPr>
        <w:spacing w:after="100" w:before="60"/>
      </w:pPr>
      <w:r>
        <w:rPr>
          <w:rFonts w:ascii="Arial" w:cs="Arial" w:eastAsia="Arial" w:hAnsi="Arial"/>
          <w:color w:val="222222"/>
          <w:sz w:val="22"/>
          <w:szCs w:val="22"/>
        </w:rPr>
        <w:t xml:space="preserve">The central finding of this project is that explainability and adversarial robustness are in fundamental tension:</w:t>
      </w:r>
    </w:p>
    <w:p>
      <w:pPr>
        <w:pStyle w:val="ListParagraph"/>
        <w:numPr>
          <w:ilvl w:val="0"/>
          <w:numId w:val="3"/>
        </w:numPr>
        <w:spacing w:after="35" w:before="35"/>
      </w:pPr>
      <w:r>
        <w:rPr>
          <w:rFonts w:ascii="Arial" w:cs="Arial" w:eastAsia="Arial" w:hAnsi="Arial"/>
          <w:color w:val="222222"/>
          <w:sz w:val="22"/>
          <w:szCs w:val="22"/>
        </w:rPr>
        <w:t xml:space="preserve">Providing SHAP explanations to SOC analysts builds trust and satisfies transparency requirements.</w:t>
      </w:r>
    </w:p>
    <w:p>
      <w:pPr>
        <w:pStyle w:val="ListParagraph"/>
        <w:numPr>
          <w:ilvl w:val="0"/>
          <w:numId w:val="3"/>
        </w:numPr>
        <w:spacing w:after="35" w:before="35"/>
      </w:pPr>
      <w:r>
        <w:rPr>
          <w:rFonts w:ascii="Arial" w:cs="Arial" w:eastAsia="Arial" w:hAnsi="Arial"/>
          <w:color w:val="222222"/>
          <w:sz w:val="22"/>
          <w:szCs w:val="22"/>
        </w:rPr>
        <w:t xml:space="preserve">The same SHAP values expose the model's importance landscape, enabling targeted adversarial perturbations.</w:t>
      </w:r>
    </w:p>
    <w:p>
      <w:pPr>
        <w:pStyle w:val="ListParagraph"/>
        <w:numPr>
          <w:ilvl w:val="0"/>
          <w:numId w:val="3"/>
        </w:numPr>
        <w:spacing w:after="35" w:before="35"/>
      </w:pPr>
      <w:r>
        <w:rPr>
          <w:rFonts w:ascii="Arial" w:cs="Arial" w:eastAsia="Arial" w:hAnsi="Arial"/>
          <w:color w:val="222222"/>
          <w:sz w:val="22"/>
          <w:szCs w:val="22"/>
        </w:rPr>
        <w:t xml:space="preserve">Our attack achieves ~35% evasion — but our analysis reveals this may largely reflect pre-existing generalisation failure on novel attacks rather than pure adversarial exploitation.</w:t>
      </w:r>
    </w:p>
    <w:p>
      <w:pPr>
        <w:spacing w:after="0" w:before="80"/>
      </w:pPr>
      <w:r>
        <w:t xml:space="preserve"/>
      </w:r>
    </w:p>
    <w:p>
      <w:pPr>
        <w:pStyle w:val="Heading2"/>
        <w:spacing w:after="80" w:before="260"/>
      </w:pPr>
      <w:r>
        <w:rPr>
          <w:rFonts w:ascii="Arial" w:cs="Arial" w:eastAsia="Arial" w:hAnsi="Arial"/>
          <w:b/>
          <w:bCs/>
          <w:color w:val="2E75B6"/>
          <w:sz w:val="26"/>
          <w:szCs w:val="26"/>
        </w:rPr>
        <w:t xml:space="preserve">9.2 Limitations</w:t>
      </w:r>
    </w:p>
    <w:p>
      <w:pPr>
        <w:pStyle w:val="ListParagraph"/>
        <w:numPr>
          <w:ilvl w:val="0"/>
          <w:numId w:val="3"/>
        </w:numPr>
        <w:spacing w:after="35" w:before="35"/>
      </w:pPr>
      <w:r>
        <w:rPr>
          <w:rFonts w:ascii="Arial" w:cs="Arial" w:eastAsia="Arial" w:hAnsi="Arial"/>
          <w:color w:val="222222"/>
          <w:sz w:val="22"/>
          <w:szCs w:val="22"/>
        </w:rPr>
        <w:t xml:space="preserve">NSL-KDD dates from 1998–1999. Modern attack patterns (ransomware, APTs, C2 over HTTPS) are not represented.</w:t>
      </w:r>
    </w:p>
    <w:p>
      <w:pPr>
        <w:pStyle w:val="ListParagraph"/>
        <w:numPr>
          <w:ilvl w:val="0"/>
          <w:numId w:val="3"/>
        </w:numPr>
        <w:spacing w:after="35" w:before="35"/>
      </w:pPr>
      <w:r>
        <w:rPr>
          <w:rFonts w:ascii="Arial" w:cs="Arial" w:eastAsia="Arial" w:hAnsi="Arial"/>
          <w:color w:val="222222"/>
          <w:sz w:val="22"/>
          <w:szCs w:val="22"/>
        </w:rPr>
        <w:t xml:space="preserve">Binary classification loses attack-type granularity. Per-class SHAP analysis would be more informative.</w:t>
      </w:r>
    </w:p>
    <w:p>
      <w:pPr>
        <w:pStyle w:val="ListParagraph"/>
        <w:numPr>
          <w:ilvl w:val="0"/>
          <w:numId w:val="3"/>
        </w:numPr>
        <w:spacing w:after="35" w:before="35"/>
      </w:pPr>
      <w:r>
        <w:rPr>
          <w:rFonts w:ascii="Arial" w:cs="Arial" w:eastAsia="Arial" w:hAnsi="Arial"/>
          <w:color w:val="222222"/>
          <w:sz w:val="22"/>
          <w:szCs w:val="22"/>
        </w:rPr>
        <w:t xml:space="preserve">KernelSHAP for MLP uses 100 background samples — approximate, with variance in lower-ranked features.</w:t>
      </w:r>
    </w:p>
    <w:p>
      <w:pPr>
        <w:pStyle w:val="ListParagraph"/>
        <w:numPr>
          <w:ilvl w:val="0"/>
          <w:numId w:val="3"/>
        </w:numPr>
        <w:spacing w:after="35" w:before="35"/>
      </w:pPr>
      <w:r>
        <w:rPr>
          <w:rFonts w:ascii="Arial" w:cs="Arial" w:eastAsia="Arial" w:hAnsi="Arial"/>
          <w:color w:val="222222"/>
          <w:sz w:val="22"/>
          <w:szCs w:val="22"/>
        </w:rPr>
        <w:t xml:space="preserve">The feature-randomisation defence is heuristic. Certified robustness (e.g., randomised smoothing) was not implemented due to compute constraints.</w:t>
      </w:r>
    </w:p>
    <w:p>
      <w:pPr>
        <w:pStyle w:val="ListParagraph"/>
        <w:numPr>
          <w:ilvl w:val="0"/>
          <w:numId w:val="3"/>
        </w:numPr>
        <w:spacing w:after="35" w:before="35"/>
      </w:pPr>
      <w:r>
        <w:rPr>
          <w:rFonts w:ascii="Arial" w:cs="Arial" w:eastAsia="Arial" w:hAnsi="Arial"/>
          <w:color w:val="222222"/>
          <w:sz w:val="22"/>
          <w:szCs w:val="22"/>
        </w:rPr>
        <w:t xml:space="preserve">The adversarial attack operates in feature space. Translating feature-space perturbations to actual network packets would require additional engineering.</w:t>
      </w:r>
    </w:p>
    <w:p>
      <w:pPr>
        <w:spacing w:after="0" w:before="80"/>
      </w:pPr>
      <w:r>
        <w:t xml:space="preserve"/>
      </w:r>
    </w:p>
    <w:p>
      <w:pPr>
        <w:pStyle w:val="Heading2"/>
        <w:spacing w:after="80" w:before="260"/>
      </w:pPr>
      <w:r>
        <w:rPr>
          <w:rFonts w:ascii="Arial" w:cs="Arial" w:eastAsia="Arial" w:hAnsi="Arial"/>
          <w:b/>
          <w:bCs/>
          <w:color w:val="2E75B6"/>
          <w:sz w:val="26"/>
          <w:szCs w:val="26"/>
        </w:rPr>
        <w:t xml:space="preserve">9.3 Stronger Defences (Future Work)</w:t>
      </w:r>
    </w:p>
    <w:p>
      <w:pPr>
        <w:pStyle w:val="ListParagraph"/>
        <w:numPr>
          <w:ilvl w:val="0"/>
          <w:numId w:val="3"/>
        </w:numPr>
        <w:spacing w:after="35" w:before="35"/>
      </w:pPr>
      <w:r>
        <w:rPr>
          <w:rFonts w:ascii="Arial" w:cs="Arial" w:eastAsia="Arial" w:hAnsi="Arial"/>
          <w:color w:val="222222"/>
          <w:sz w:val="22"/>
          <w:szCs w:val="22"/>
        </w:rPr>
        <w:t xml:space="preserve">Projected Gradient Descent (PGD) adversarial training: augment training data with PGD-generated adversarial examples to improve robustness.</w:t>
      </w:r>
    </w:p>
    <w:p>
      <w:pPr>
        <w:pStyle w:val="ListParagraph"/>
        <w:numPr>
          <w:ilvl w:val="0"/>
          <w:numId w:val="3"/>
        </w:numPr>
        <w:spacing w:after="35" w:before="35"/>
      </w:pPr>
      <w:r>
        <w:rPr>
          <w:rFonts w:ascii="Arial" w:cs="Arial" w:eastAsia="Arial" w:hAnsi="Arial"/>
          <w:color w:val="222222"/>
          <w:sz w:val="22"/>
          <w:szCs w:val="22"/>
        </w:rPr>
        <w:t xml:space="preserve">Differentially private SHAP: add calibrated noise to SHAP outputs before publishing to prevent importance-map extraction.</w:t>
      </w:r>
    </w:p>
    <w:p>
      <w:pPr>
        <w:pStyle w:val="ListParagraph"/>
        <w:numPr>
          <w:ilvl w:val="0"/>
          <w:numId w:val="3"/>
        </w:numPr>
        <w:spacing w:after="35" w:before="35"/>
      </w:pPr>
      <w:r>
        <w:rPr>
          <w:rFonts w:ascii="Arial" w:cs="Arial" w:eastAsia="Arial" w:hAnsi="Arial"/>
          <w:color w:val="222222"/>
          <w:sz w:val="22"/>
          <w:szCs w:val="22"/>
        </w:rPr>
        <w:t xml:space="preserve">Explanation access control: do not expose raw SHAP values via public APIs. This eliminates the white-box attack surface entirely.</w:t>
      </w:r>
    </w:p>
    <w:p>
      <w:pPr>
        <w:pStyle w:val="ListParagraph"/>
        <w:numPr>
          <w:ilvl w:val="0"/>
          <w:numId w:val="3"/>
        </w:numPr>
        <w:spacing w:after="35" w:before="35"/>
      </w:pPr>
      <w:r>
        <w:rPr>
          <w:rFonts w:ascii="Arial" w:cs="Arial" w:eastAsia="Arial" w:hAnsi="Arial"/>
          <w:color w:val="222222"/>
          <w:sz w:val="22"/>
          <w:szCs w:val="22"/>
        </w:rPr>
        <w:t xml:space="preserve">Multi-class extension: SHAP per-class values for DoS/Probe/R2L/U2R would yield more targeted explanations.</w:t>
      </w:r>
    </w:p>
    <w:p>
      <w:r>
        <w:br w:type="page"/>
      </w:r>
    </w:p>
    <w:p>
      <w:pPr>
        <w:pStyle w:val="Heading1"/>
        <w:pBdr>
          <w:bottom w:val="single" w:color="2E75B6" w:sz="8" w:space="8"/>
        </w:pBdr>
        <w:spacing w:after="120" w:before="400"/>
      </w:pPr>
      <w:r>
        <w:rPr>
          <w:rFonts w:ascii="Arial" w:cs="Arial" w:eastAsia="Arial" w:hAnsi="Arial"/>
          <w:b/>
          <w:bCs/>
          <w:color w:val="1F4E79"/>
          <w:sz w:val="34"/>
          <w:szCs w:val="34"/>
        </w:rPr>
        <w:t xml:space="preserve">10. Conclusion</w:t>
      </w:r>
    </w:p>
    <w:p>
      <w:pPr>
        <w:spacing w:after="100" w:before="60"/>
      </w:pPr>
      <w:r>
        <w:rPr>
          <w:rFonts w:ascii="Arial" w:cs="Arial" w:eastAsia="Arial" w:hAnsi="Arial"/>
          <w:color w:val="222222"/>
          <w:sz w:val="22"/>
          <w:szCs w:val="22"/>
        </w:rPr>
        <w:t xml:space="preserve">We have presented a complete Explainable IDS pipeline on NSL-KDD, covering model training, SHAP and LIME analysis, stability evaluation, and adversarial security analysis. Our key findings are:</w:t>
      </w:r>
    </w:p>
    <w:p>
      <w:pPr>
        <w:pStyle w:val="ListParagraph"/>
        <w:numPr>
          <w:ilvl w:val="0"/>
          <w:numId w:val="2"/>
        </w:numPr>
        <w:spacing w:after="35" w:before="35"/>
      </w:pPr>
      <w:r>
        <w:rPr>
          <w:rFonts w:ascii="Arial" w:cs="Arial" w:eastAsia="Arial" w:hAnsi="Arial"/>
          <w:color w:val="222222"/>
          <w:sz w:val="22"/>
          <w:szCs w:val="22"/>
        </w:rPr>
        <w:t xml:space="preserve">Random Forest achieves F1 = 0.7726 / PR-AUC = 0.965 on KDDTest+. The F1 shortfall versus expectations is explained by novel attack types in the test split — a known and documented design feature of NSL-KDD.</w:t>
      </w:r>
    </w:p>
    <w:p>
      <w:pPr>
        <w:pStyle w:val="ListParagraph"/>
        <w:numPr>
          <w:ilvl w:val="0"/>
          <w:numId w:val="2"/>
        </w:numPr>
        <w:spacing w:after="35" w:before="35"/>
      </w:pPr>
      <w:r>
        <w:rPr>
          <w:rFonts w:ascii="Arial" w:cs="Arial" w:eastAsia="Arial" w:hAnsi="Arial"/>
          <w:color w:val="222222"/>
          <w:sz w:val="22"/>
          <w:szCs w:val="22"/>
        </w:rPr>
        <w:t xml:space="preserve">SHAP top features (flag_SF, logged_in, dst_host_srv_count) are interpretable and consistent with domain knowledge: TCP connection normalcy, session authentication, and traffic rate patterns are the primary discriminators.</w:t>
      </w:r>
    </w:p>
    <w:p>
      <w:pPr>
        <w:pStyle w:val="ListParagraph"/>
        <w:numPr>
          <w:ilvl w:val="0"/>
          <w:numId w:val="2"/>
        </w:numPr>
        <w:spacing w:after="35" w:before="35"/>
      </w:pPr>
      <w:r>
        <w:rPr>
          <w:rFonts w:ascii="Arial" w:cs="Arial" w:eastAsia="Arial" w:hAnsi="Arial"/>
          <w:color w:val="222222"/>
          <w:sz w:val="22"/>
          <w:szCs w:val="22"/>
        </w:rPr>
        <w:t xml:space="preserve">SHAP–LIME Spearman correlation ρ = 0.745 confirms that the top-feature explanation is robust across two independent methods.</w:t>
      </w:r>
    </w:p>
    <w:p>
      <w:pPr>
        <w:pStyle w:val="ListParagraph"/>
        <w:numPr>
          <w:ilvl w:val="0"/>
          <w:numId w:val="2"/>
        </w:numPr>
        <w:spacing w:after="35" w:before="35"/>
      </w:pPr>
      <w:r>
        <w:rPr>
          <w:rFonts w:ascii="Arial" w:cs="Arial" w:eastAsia="Arial" w:hAnsi="Arial"/>
          <w:color w:val="222222"/>
          <w:sz w:val="22"/>
          <w:szCs w:val="22"/>
        </w:rPr>
        <w:t xml:space="preserve">Explanation stability is near-perfect: Jaccard = 0.994 ± 0.037. Similar attack inputs receive almost identical explanations.</w:t>
      </w:r>
    </w:p>
    <w:p>
      <w:pPr>
        <w:pStyle w:val="ListParagraph"/>
        <w:numPr>
          <w:ilvl w:val="0"/>
          <w:numId w:val="2"/>
        </w:numPr>
        <w:spacing w:after="35" w:before="35"/>
      </w:pPr>
      <w:r>
        <w:rPr>
          <w:rFonts w:ascii="Arial" w:cs="Arial" w:eastAsia="Arial" w:hAnsi="Arial"/>
          <w:color w:val="222222"/>
          <w:sz w:val="22"/>
          <w:szCs w:val="22"/>
        </w:rPr>
        <w:t xml:space="preserve">SHAP-guided evasion achieves ~35% across all configurations, with a plateau that our analysis attributes primarily to pre-existing generalisation failure on novel attacks, compounded by the binary nature of top OHE features.</w:t>
      </w:r>
    </w:p>
    <w:p>
      <w:pPr>
        <w:pStyle w:val="ListParagraph"/>
        <w:numPr>
          <w:ilvl w:val="0"/>
          <w:numId w:val="2"/>
        </w:numPr>
        <w:spacing w:after="35" w:before="35"/>
      </w:pPr>
      <w:r>
        <w:rPr>
          <w:rFonts w:ascii="Arial" w:cs="Arial" w:eastAsia="Arial" w:hAnsi="Arial"/>
          <w:color w:val="222222"/>
          <w:sz w:val="22"/>
          <w:szCs w:val="22"/>
        </w:rPr>
        <w:t xml:space="preserve">Feature-randomisation defence achieves 0% reduction — a valid negative result motivating stronger defences.</w:t>
      </w:r>
    </w:p>
    <w:p>
      <w:pPr>
        <w:spacing w:after="0" w:before="80"/>
      </w:pPr>
      <w:r>
        <w:t xml:space="preserve"/>
      </w:r>
    </w:p>
    <w:p>
      <w:pPr>
        <w:spacing w:after="100" w:before="60"/>
      </w:pPr>
      <w:r>
        <w:rPr>
          <w:rFonts w:ascii="Arial" w:cs="Arial" w:eastAsia="Arial" w:hAnsi="Arial"/>
          <w:color w:val="222222"/>
          <w:sz w:val="22"/>
          <w:szCs w:val="22"/>
        </w:rPr>
        <w:t xml:space="preserve">The fundamental tension demonstrated in this project — that explainability creates a dual-use information asymmetry — remains an open research problem. Certified robustness, differentially private explanations, and explanation access control are the most promising directions for future work.</w:t>
      </w:r>
    </w:p>
    <w:p>
      <w:r>
        <w:br w:type="page"/>
      </w:r>
    </w:p>
    <w:p>
      <w:pPr>
        <w:pStyle w:val="Heading1"/>
        <w:pBdr>
          <w:bottom w:val="single" w:color="2E75B6" w:sz="8" w:space="8"/>
        </w:pBdr>
        <w:spacing w:after="120" w:before="400"/>
      </w:pPr>
      <w:r>
        <w:rPr>
          <w:rFonts w:ascii="Arial" w:cs="Arial" w:eastAsia="Arial" w:hAnsi="Arial"/>
          <w:b/>
          <w:bCs/>
          <w:color w:val="1F4E79"/>
          <w:sz w:val="34"/>
          <w:szCs w:val="34"/>
        </w:rPr>
        <w:t xml:space="preserve">References</w:t>
      </w:r>
    </w:p>
    <w:p>
      <w:pPr>
        <w:spacing w:after="60" w:before="60"/>
      </w:pPr>
      <w:r>
        <w:rPr>
          <w:rFonts w:ascii="Arial" w:cs="Arial" w:eastAsia="Arial" w:hAnsi="Arial"/>
          <w:color w:val="333333"/>
          <w:sz w:val="20"/>
          <w:szCs w:val="20"/>
        </w:rPr>
        <w:t xml:space="preserve">[1] Tavallaee, M., Bagheri, E., Lu, W., &amp; Ghorbani, A.A. (2009). A Detailed Analysis of the KDD CUP 99 Data Set. IEEE CISDA.</w:t>
      </w:r>
    </w:p>
    <w:p>
      <w:pPr>
        <w:spacing w:after="60" w:before="60"/>
      </w:pPr>
      <w:r>
        <w:rPr>
          <w:rFonts w:ascii="Arial" w:cs="Arial" w:eastAsia="Arial" w:hAnsi="Arial"/>
          <w:color w:val="333333"/>
          <w:sz w:val="20"/>
          <w:szCs w:val="20"/>
        </w:rPr>
        <w:t xml:space="preserve">[2] Lundberg, S.M., &amp; Lee, S.I. (2017). A unified approach to interpreting model predictions. NeurIPS 30.</w:t>
      </w:r>
    </w:p>
    <w:p>
      <w:pPr>
        <w:spacing w:after="60" w:before="60"/>
      </w:pPr>
      <w:r>
        <w:rPr>
          <w:rFonts w:ascii="Arial" w:cs="Arial" w:eastAsia="Arial" w:hAnsi="Arial"/>
          <w:color w:val="333333"/>
          <w:sz w:val="20"/>
          <w:szCs w:val="20"/>
        </w:rPr>
        <w:t xml:space="preserve">[3] Lundberg, S.M., et al. (2020). From local explanations to global understanding with explainable AI for trees. Nature Machine Intelligence, 2(1), 56–67.</w:t>
      </w:r>
    </w:p>
    <w:p>
      <w:pPr>
        <w:spacing w:after="60" w:before="60"/>
      </w:pPr>
      <w:r>
        <w:rPr>
          <w:rFonts w:ascii="Arial" w:cs="Arial" w:eastAsia="Arial" w:hAnsi="Arial"/>
          <w:color w:val="333333"/>
          <w:sz w:val="20"/>
          <w:szCs w:val="20"/>
        </w:rPr>
        <w:t xml:space="preserve">[4] Ribeiro, M.T., Singh, S., &amp; Guestrin, C. (2016). 'Why Should I Trust You?': Explaining the Predictions of Any Classifier. KDD 2016, pp. 1135–1144.</w:t>
      </w:r>
    </w:p>
    <w:p>
      <w:pPr>
        <w:spacing w:after="60" w:before="60"/>
      </w:pPr>
      <w:r>
        <w:rPr>
          <w:rFonts w:ascii="Arial" w:cs="Arial" w:eastAsia="Arial" w:hAnsi="Arial"/>
          <w:color w:val="333333"/>
          <w:sz w:val="20"/>
          <w:szCs w:val="20"/>
        </w:rPr>
        <w:t xml:space="preserve">[5] Slack, D., Hilgard, S., Jia, E., Singh, S., &amp; Lakkaraju, H. (2020). Fooling LIME and SHAP: Adversarial Attacks on Post hoc Explanation Methods. AIES 2020, pp. 180–186.</w:t>
      </w:r>
    </w:p>
    <w:p>
      <w:pPr>
        <w:spacing w:after="60" w:before="60"/>
      </w:pPr>
      <w:r>
        <w:rPr>
          <w:rFonts w:ascii="Arial" w:cs="Arial" w:eastAsia="Arial" w:hAnsi="Arial"/>
          <w:color w:val="333333"/>
          <w:sz w:val="20"/>
          <w:szCs w:val="20"/>
        </w:rPr>
        <w:t xml:space="preserve">[6] Alvarez-Melis, D., &amp; Jaakkola, T.S. (2018). On the robustness of interpretability methods. ICML Workshop on Human Interpretability in ML.</w:t>
      </w:r>
    </w:p>
    <w:p>
      <w:pPr>
        <w:spacing w:after="60" w:before="60"/>
      </w:pPr>
      <w:r>
        <w:rPr>
          <w:rFonts w:ascii="Arial" w:cs="Arial" w:eastAsia="Arial" w:hAnsi="Arial"/>
          <w:color w:val="333333"/>
          <w:sz w:val="20"/>
          <w:szCs w:val="20"/>
        </w:rPr>
        <w:t xml:space="preserve">[7] Papernot, N., McDaniel, P., Sinha, A., &amp; Wellman, M. (2018). SoK: Security and Privacy in Machine Learning. IEEE EuroS&amp;P, pp. 399–414.</w:t>
      </w:r>
    </w:p>
    <w:p>
      <w:pPr>
        <w:spacing w:after="60" w:before="60"/>
      </w:pPr>
      <w:r>
        <w:rPr>
          <w:rFonts w:ascii="Arial" w:cs="Arial" w:eastAsia="Arial" w:hAnsi="Arial"/>
          <w:color w:val="333333"/>
          <w:sz w:val="20"/>
          <w:szCs w:val="20"/>
        </w:rPr>
        <w:t xml:space="preserve">[8] Breiman, L. (2001). Random Forests. Machine Learning, 45(1), 5–32.</w:t>
      </w:r>
    </w:p>
    <w:p>
      <w:pPr>
        <w:spacing w:after="60" w:before="60"/>
      </w:pPr>
      <w:r>
        <w:rPr>
          <w:rFonts w:ascii="Arial" w:cs="Arial" w:eastAsia="Arial" w:hAnsi="Arial"/>
          <w:color w:val="333333"/>
          <w:sz w:val="20"/>
          <w:szCs w:val="20"/>
        </w:rPr>
        <w:t xml:space="preserve">[9] Goodfellow, I.J., Shlens, J., &amp; Szegedy, C. (2015). Explaining and Harnessing Adversarial Examples. ICLR.</w:t>
      </w:r>
    </w:p>
    <w:p>
      <w:pPr>
        <w:spacing w:after="60" w:before="60"/>
      </w:pPr>
      <w:r>
        <w:rPr>
          <w:rFonts w:ascii="Arial" w:cs="Arial" w:eastAsia="Arial" w:hAnsi="Arial"/>
          <w:color w:val="333333"/>
          <w:sz w:val="20"/>
          <w:szCs w:val="20"/>
        </w:rPr>
        <w:t xml:space="preserve">[10] Buczak, A.L., &amp; Guven, E. (2016). A survey of data mining and ML methods for cybersecurity intrusion detection. IEEE Communications Surveys &amp; Tutorials, 18(2), 1153–1176.</w:t>
      </w:r>
    </w:p>
    <w:sectPr>
      <w:headerReference w:type="default" r:id="rId7"/>
      <w:pgSz w:w="11906" w:h="16838" w:orient="portrait"/>
      <w:pgMar w:top="1260" w:right="1200" w:bottom="126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5" w:space="4"/>
      </w:pBdr>
      <w:tabs>
        <w:tab w:val="right" w:pos="8626"/>
      </w:tabs>
      <w:spacing w:after="0"/>
    </w:pPr>
    <w:r>
      <w:rPr>
        <w:rFonts w:ascii="Arial" w:cs="Arial" w:eastAsia="Arial" w:hAnsi="Arial"/>
        <w:color w:val="777777"/>
        <w:sz w:val="18"/>
        <w:szCs w:val="18"/>
      </w:rPr>
      <w:t xml:space="preserve">Project 5: Explainable IDS — Final Report</w:t>
    </w:r>
    <w:r>
      <w:rPr>
        <w:rFonts w:ascii="Arial" w:cs="Arial" w:eastAsia="Arial" w:hAnsi="Arial"/>
        <w:sz w:val="18"/>
        <w:szCs w:val="18"/>
      </w:rPr>
      <w:t xml:space="preserve">	</w:t>
    </w:r>
    <w:r>
      <w:rPr>
        <w:rFonts w:ascii="Arial" w:cs="Arial" w:eastAsia="Arial" w:hAnsi="Arial"/>
        <w:i/>
        <w:iCs/>
        <w:color w:val="999999"/>
        <w:sz w:val="18"/>
        <w:szCs w:val="18"/>
      </w:rPr>
      <w:t xml:space="preserve">ICCN-INE2  |  NSL-KDD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4E79"/>
      <w:sz w:val="34"/>
      <w:szCs w:val="34"/>
    </w:rPr>
  </w:style>
  <w:style w:type="paragraph" w:styleId="Heading2">
    <w:name w:val="Heading 2"/>
    <w:basedOn w:val="Normal"/>
    <w:next w:val="Normal"/>
    <w:qFormat/>
    <w:pPr>
      <w:spacing w:after="8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0D6E6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2026-04-22T12:48:14.325Z</dcterms:created>
  <dcterms:modified xsi:type="dcterms:W3CDTF">2026-04-22T12:48:14.325Z</dcterms:modified>
</cp:coreProperties>
</file>

<file path=docProps/custom.xml><?xml version="1.0" encoding="utf-8"?>
<Properties xmlns="http://schemas.openxmlformats.org/officeDocument/2006/custom-properties" xmlns:vt="http://schemas.openxmlformats.org/officeDocument/2006/docPropsVTypes"/>
</file>