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仿宋_GB2312" w:eastAsia="仿宋_GB2312"/>
          <w:b/>
          <w:sz w:val="72"/>
          <w:szCs w:val="72"/>
          <w:lang w:val="en-US" w:eastAsia="zh-CN"/>
        </w:rPr>
      </w:pPr>
      <w:r>
        <w:rPr>
          <w:rFonts w:hint="eastAsia" w:ascii="仿宋_GB2312" w:eastAsia="仿宋_GB2312"/>
          <w:b/>
          <w:sz w:val="72"/>
          <w:szCs w:val="72"/>
          <w:lang w:val="en-US" w:eastAsia="zh-CN"/>
        </w:rPr>
        <w:t>9</w:t>
      </w:r>
    </w:p>
    <w:p>
      <w:pPr>
        <w:jc w:val="center"/>
        <w:rPr>
          <w:rFonts w:ascii="仿宋_GB2312" w:eastAsia="仿宋_GB2312"/>
          <w:b/>
          <w:sz w:val="72"/>
          <w:szCs w:val="72"/>
        </w:rPr>
      </w:pPr>
    </w:p>
    <w:p>
      <w:pPr>
        <w:jc w:val="center"/>
        <w:rPr>
          <w:rFonts w:ascii="仿宋_GB2312" w:eastAsia="仿宋_GB2312"/>
          <w:b/>
          <w:sz w:val="72"/>
          <w:szCs w:val="72"/>
        </w:rPr>
      </w:pPr>
      <w:r>
        <w:rPr>
          <w:rFonts w:hint="eastAsia" w:ascii="仿宋_GB2312" w:eastAsia="仿宋_GB2312"/>
          <w:b/>
          <w:sz w:val="72"/>
          <w:szCs w:val="72"/>
        </w:rPr>
        <w:t>Windows程序设计</w:t>
      </w:r>
    </w:p>
    <w:p>
      <w:pPr>
        <w:jc w:val="center"/>
        <w:rPr>
          <w:rFonts w:ascii="仿宋_GB2312" w:eastAsia="仿宋_GB2312"/>
          <w:b/>
          <w:sz w:val="72"/>
          <w:szCs w:val="72"/>
        </w:rPr>
      </w:pPr>
      <w:r>
        <w:rPr>
          <w:rFonts w:hint="eastAsia" w:ascii="仿宋_GB2312" w:eastAsia="仿宋_GB2312"/>
          <w:b/>
          <w:sz w:val="72"/>
          <w:szCs w:val="72"/>
        </w:rPr>
        <w:t>实验报告</w:t>
      </w:r>
    </w:p>
    <w:p>
      <w:pPr>
        <w:jc w:val="center"/>
        <w:rPr>
          <w:rFonts w:ascii="仿宋_GB2312" w:eastAsia="仿宋_GB2312"/>
          <w:b/>
          <w:sz w:val="52"/>
          <w:szCs w:val="52"/>
        </w:rPr>
      </w:pPr>
    </w:p>
    <w:p>
      <w:pPr>
        <w:jc w:val="center"/>
        <w:rPr>
          <w:rFonts w:ascii="宋体"/>
          <w:sz w:val="28"/>
          <w:szCs w:val="28"/>
        </w:rPr>
      </w:pPr>
      <w:r>
        <w:rPr>
          <w:rFonts w:ascii="宋体"/>
          <w:sz w:val="28"/>
          <w:szCs w:val="28"/>
        </w:rPr>
        <w:drawing>
          <wp:inline distT="0" distB="0" distL="0" distR="0">
            <wp:extent cx="1558290" cy="1558290"/>
            <wp:effectExtent l="0" t="0" r="3810" b="3810"/>
            <wp:docPr id="1" name="图片 2" descr="showimg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showimg3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仿宋_GB2312" w:eastAsia="仿宋_GB2312"/>
        </w:rPr>
      </w:pPr>
    </w:p>
    <w:p>
      <w:pPr>
        <w:rPr>
          <w:rFonts w:ascii="仿宋_GB2312" w:eastAsia="仿宋_GB2312"/>
        </w:rPr>
      </w:pPr>
    </w:p>
    <w:p>
      <w:pPr>
        <w:rPr>
          <w:rFonts w:ascii="仿宋_GB2312" w:eastAsia="仿宋_GB2312"/>
        </w:rPr>
      </w:pPr>
    </w:p>
    <w:p>
      <w:pPr>
        <w:rPr>
          <w:rFonts w:ascii="仿宋_GB2312" w:eastAsia="仿宋_GB2312"/>
        </w:rPr>
      </w:pPr>
    </w:p>
    <w:tbl>
      <w:tblPr>
        <w:tblStyle w:val="6"/>
        <w:tblW w:w="793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1"/>
        <w:gridCol w:w="1594"/>
        <w:gridCol w:w="56"/>
        <w:gridCol w:w="2145"/>
        <w:gridCol w:w="21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1961" w:type="dxa"/>
            <w:vAlign w:val="center"/>
          </w:tcPr>
          <w:p>
            <w:pPr>
              <w:jc w:val="distribute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z w:val="24"/>
              </w:rPr>
              <w:t>姓名</w:t>
            </w:r>
          </w:p>
        </w:tc>
        <w:tc>
          <w:tcPr>
            <w:tcW w:w="1594" w:type="dxa"/>
            <w:vAlign w:val="center"/>
          </w:tcPr>
          <w:p>
            <w:pPr>
              <w:jc w:val="center"/>
              <w:rPr>
                <w:rFonts w:hint="eastAsia" w:ascii="仿宋" w:hAnsi="仿宋" w:eastAsia="仿宋"/>
                <w:b/>
                <w:sz w:val="24"/>
                <w:lang w:val="en-US" w:eastAsia="zh-CN"/>
              </w:rPr>
            </w:pPr>
            <w:r>
              <w:rPr>
                <w:rFonts w:hint="eastAsia" w:ascii="仿宋" w:hAnsi="仿宋" w:eastAsia="仿宋"/>
                <w:b/>
                <w:sz w:val="24"/>
                <w:lang w:val="en-US" w:eastAsia="zh-CN"/>
              </w:rPr>
              <w:t>黄能文</w:t>
            </w:r>
          </w:p>
        </w:tc>
        <w:tc>
          <w:tcPr>
            <w:tcW w:w="2201" w:type="dxa"/>
            <w:gridSpan w:val="2"/>
            <w:vAlign w:val="center"/>
          </w:tcPr>
          <w:p>
            <w:pPr>
              <w:jc w:val="right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pacing w:val="723"/>
                <w:kern w:val="0"/>
                <w:sz w:val="24"/>
                <w:fitText w:val="1928" w:id="0"/>
              </w:rPr>
              <w:t>学</w:t>
            </w:r>
            <w:r>
              <w:rPr>
                <w:rFonts w:hint="eastAsia" w:ascii="仿宋" w:hAnsi="仿宋" w:eastAsia="仿宋"/>
                <w:b/>
                <w:kern w:val="0"/>
                <w:sz w:val="24"/>
                <w:fitText w:val="1928" w:id="0"/>
              </w:rPr>
              <w:t>号</w:t>
            </w:r>
          </w:p>
        </w:tc>
        <w:tc>
          <w:tcPr>
            <w:tcW w:w="2183" w:type="dxa"/>
            <w:vAlign w:val="center"/>
          </w:tcPr>
          <w:p>
            <w:pPr>
              <w:jc w:val="center"/>
              <w:rPr>
                <w:rFonts w:hint="default" w:ascii="仿宋" w:hAnsi="仿宋" w:eastAsia="仿宋"/>
                <w:b/>
                <w:sz w:val="24"/>
                <w:lang w:val="en-US" w:eastAsia="zh-CN"/>
              </w:rPr>
            </w:pPr>
            <w:r>
              <w:rPr>
                <w:rFonts w:hint="eastAsia" w:ascii="仿宋" w:hAnsi="仿宋" w:eastAsia="仿宋"/>
                <w:b/>
                <w:sz w:val="24"/>
                <w:lang w:val="en-US" w:eastAsia="zh-CN"/>
              </w:rPr>
              <w:t>20184875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1961" w:type="dxa"/>
            <w:vAlign w:val="center"/>
          </w:tcPr>
          <w:p>
            <w:pPr>
              <w:wordWrap w:val="0"/>
              <w:jc w:val="distribute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z w:val="24"/>
              </w:rPr>
              <w:t>班级</w:t>
            </w:r>
          </w:p>
        </w:tc>
        <w:tc>
          <w:tcPr>
            <w:tcW w:w="1594" w:type="dxa"/>
            <w:vAlign w:val="center"/>
          </w:tcPr>
          <w:p>
            <w:pPr>
              <w:jc w:val="center"/>
              <w:rPr>
                <w:rFonts w:hint="default" w:ascii="仿宋" w:hAnsi="仿宋" w:eastAsia="仿宋"/>
                <w:b/>
                <w:sz w:val="24"/>
                <w:lang w:val="en-US" w:eastAsia="zh-CN"/>
              </w:rPr>
            </w:pPr>
            <w:r>
              <w:rPr>
                <w:rFonts w:hint="eastAsia" w:ascii="仿宋" w:hAnsi="仿宋" w:eastAsia="仿宋"/>
                <w:b/>
                <w:sz w:val="24"/>
                <w:lang w:val="en-US" w:eastAsia="zh-CN"/>
              </w:rPr>
              <w:t>软信1802</w:t>
            </w:r>
          </w:p>
        </w:tc>
        <w:tc>
          <w:tcPr>
            <w:tcW w:w="2201" w:type="dxa"/>
            <w:gridSpan w:val="2"/>
            <w:vAlign w:val="center"/>
          </w:tcPr>
          <w:p>
            <w:pPr>
              <w:jc w:val="right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pacing w:val="160"/>
                <w:kern w:val="0"/>
                <w:sz w:val="24"/>
                <w:fitText w:val="1928" w:id="1"/>
              </w:rPr>
              <w:t>指导教</w:t>
            </w:r>
            <w:r>
              <w:rPr>
                <w:rFonts w:hint="eastAsia" w:ascii="仿宋" w:hAnsi="仿宋" w:eastAsia="仿宋"/>
                <w:b/>
                <w:spacing w:val="2"/>
                <w:kern w:val="0"/>
                <w:sz w:val="24"/>
                <w:fitText w:val="1928" w:id="1"/>
              </w:rPr>
              <w:t>师</w:t>
            </w:r>
          </w:p>
        </w:tc>
        <w:tc>
          <w:tcPr>
            <w:tcW w:w="2183" w:type="dxa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z w:val="24"/>
              </w:rPr>
              <w:t>马毅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1961" w:type="dxa"/>
            <w:vAlign w:val="center"/>
          </w:tcPr>
          <w:p>
            <w:pPr>
              <w:wordWrap w:val="0"/>
              <w:jc w:val="distribute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z w:val="24"/>
              </w:rPr>
              <w:t>实验名称</w:t>
            </w:r>
          </w:p>
        </w:tc>
        <w:tc>
          <w:tcPr>
            <w:tcW w:w="5978" w:type="dxa"/>
            <w:gridSpan w:val="4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仿宋" w:hAnsi="仿宋" w:eastAsia="仿宋"/>
                <w:b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Windows程序设计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  <w:jc w:val="center"/>
        </w:trPr>
        <w:tc>
          <w:tcPr>
            <w:tcW w:w="1961" w:type="dxa"/>
            <w:vAlign w:val="center"/>
          </w:tcPr>
          <w:p>
            <w:pPr>
              <w:jc w:val="distribute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z w:val="24"/>
              </w:rPr>
              <w:t>开设学期</w:t>
            </w:r>
          </w:p>
        </w:tc>
        <w:tc>
          <w:tcPr>
            <w:tcW w:w="5978" w:type="dxa"/>
            <w:gridSpan w:val="4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sz w:val="24"/>
              </w:rPr>
            </w:pPr>
            <w:r>
              <w:rPr>
                <w:rFonts w:ascii="仿宋" w:hAnsi="仿宋" w:eastAsia="仿宋"/>
                <w:b/>
                <w:spacing w:val="37"/>
                <w:kern w:val="0"/>
                <w:sz w:val="24"/>
                <w:fitText w:val="2892" w:id="2"/>
              </w:rPr>
              <w:t>201</w:t>
            </w:r>
            <w:r>
              <w:rPr>
                <w:rFonts w:hint="eastAsia" w:ascii="仿宋" w:hAnsi="仿宋" w:eastAsia="仿宋"/>
                <w:b/>
                <w:spacing w:val="37"/>
                <w:kern w:val="0"/>
                <w:sz w:val="24"/>
                <w:fitText w:val="2892" w:id="2"/>
              </w:rPr>
              <w:t>9</w:t>
            </w:r>
            <w:r>
              <w:rPr>
                <w:rFonts w:ascii="仿宋" w:hAnsi="仿宋" w:eastAsia="仿宋"/>
                <w:b/>
                <w:spacing w:val="37"/>
                <w:kern w:val="0"/>
                <w:sz w:val="24"/>
                <w:fitText w:val="2892" w:id="2"/>
              </w:rPr>
              <w:t>-20</w:t>
            </w:r>
            <w:r>
              <w:rPr>
                <w:rFonts w:hint="eastAsia" w:ascii="仿宋" w:hAnsi="仿宋" w:eastAsia="仿宋"/>
                <w:b/>
                <w:spacing w:val="37"/>
                <w:kern w:val="0"/>
                <w:sz w:val="24"/>
                <w:fitText w:val="2892" w:id="2"/>
              </w:rPr>
              <w:t>20春季学</w:t>
            </w:r>
            <w:r>
              <w:rPr>
                <w:rFonts w:hint="eastAsia" w:ascii="仿宋" w:hAnsi="仿宋" w:eastAsia="仿宋"/>
                <w:b/>
                <w:spacing w:val="55"/>
                <w:kern w:val="0"/>
                <w:sz w:val="24"/>
                <w:fitText w:val="2892" w:id="2"/>
              </w:rPr>
              <w:t>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1961" w:type="dxa"/>
            <w:vAlign w:val="center"/>
          </w:tcPr>
          <w:p>
            <w:pPr>
              <w:jc w:val="distribute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z w:val="24"/>
              </w:rPr>
              <w:t>开设时间</w:t>
            </w:r>
          </w:p>
        </w:tc>
        <w:tc>
          <w:tcPr>
            <w:tcW w:w="5978" w:type="dxa"/>
            <w:gridSpan w:val="4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pacing w:val="22"/>
                <w:kern w:val="0"/>
                <w:sz w:val="24"/>
                <w:fitText w:val="2892" w:id="3"/>
              </w:rPr>
              <w:t>第11 周</w:t>
            </w:r>
            <w:r>
              <w:rPr>
                <w:rFonts w:ascii="仿宋" w:hAnsi="仿宋" w:eastAsia="仿宋"/>
                <w:b/>
                <w:spacing w:val="22"/>
                <w:kern w:val="0"/>
                <w:sz w:val="24"/>
                <w:fitText w:val="2892" w:id="3"/>
              </w:rPr>
              <w:t>——</w:t>
            </w:r>
            <w:r>
              <w:rPr>
                <w:rFonts w:hint="eastAsia" w:ascii="仿宋" w:hAnsi="仿宋" w:eastAsia="仿宋"/>
                <w:b/>
                <w:spacing w:val="22"/>
                <w:kern w:val="0"/>
                <w:sz w:val="24"/>
                <w:fitText w:val="2892" w:id="3"/>
              </w:rPr>
              <w:t xml:space="preserve">第19 </w:t>
            </w:r>
            <w:r>
              <w:rPr>
                <w:rFonts w:hint="eastAsia" w:ascii="仿宋" w:hAnsi="仿宋" w:eastAsia="仿宋"/>
                <w:b/>
                <w:spacing w:val="55"/>
                <w:kern w:val="0"/>
                <w:sz w:val="24"/>
                <w:fitText w:val="2892" w:id="3"/>
              </w:rPr>
              <w:t>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  <w:jc w:val="center"/>
        </w:trPr>
        <w:tc>
          <w:tcPr>
            <w:tcW w:w="1961" w:type="dxa"/>
            <w:vAlign w:val="center"/>
          </w:tcPr>
          <w:p>
            <w:pPr>
              <w:wordWrap w:val="0"/>
              <w:jc w:val="distribute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z w:val="24"/>
              </w:rPr>
              <w:t>报告日期</w:t>
            </w:r>
          </w:p>
        </w:tc>
        <w:tc>
          <w:tcPr>
            <w:tcW w:w="5978" w:type="dxa"/>
            <w:gridSpan w:val="4"/>
            <w:vAlign w:val="center"/>
          </w:tcPr>
          <w:p>
            <w:pPr>
              <w:jc w:val="center"/>
              <w:rPr>
                <w:rFonts w:hint="default" w:ascii="仿宋" w:hAnsi="仿宋" w:eastAsia="仿宋"/>
                <w:b/>
                <w:sz w:val="24"/>
                <w:lang w:val="en-US" w:eastAsia="zh-CN"/>
              </w:rPr>
            </w:pPr>
            <w:r>
              <w:rPr>
                <w:rFonts w:hint="eastAsia" w:ascii="仿宋" w:hAnsi="仿宋" w:eastAsia="仿宋"/>
                <w:b/>
                <w:sz w:val="24"/>
                <w:lang w:val="en-US" w:eastAsia="zh-CN"/>
              </w:rPr>
              <w:t>2020.6.11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2" w:hRule="atLeast"/>
          <w:jc w:val="center"/>
        </w:trPr>
        <w:tc>
          <w:tcPr>
            <w:tcW w:w="1961" w:type="dxa"/>
            <w:vMerge w:val="restart"/>
            <w:vAlign w:val="center"/>
          </w:tcPr>
          <w:p>
            <w:pPr>
              <w:jc w:val="distribute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z w:val="24"/>
              </w:rPr>
              <w:t>评定成绩</w:t>
            </w:r>
          </w:p>
        </w:tc>
        <w:tc>
          <w:tcPr>
            <w:tcW w:w="1650" w:type="dxa"/>
            <w:gridSpan w:val="2"/>
            <w:vMerge w:val="restart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color w:val="FF0000"/>
                <w:sz w:val="24"/>
              </w:rPr>
            </w:pPr>
            <w:r>
              <w:rPr>
                <w:rFonts w:hint="eastAsia" w:ascii="仿宋" w:hAnsi="仿宋" w:eastAsia="仿宋"/>
                <w:b/>
                <w:color w:val="FF0000"/>
                <w:sz w:val="24"/>
              </w:rPr>
              <w:t xml:space="preserve"> </w:t>
            </w:r>
          </w:p>
        </w:tc>
        <w:tc>
          <w:tcPr>
            <w:tcW w:w="2145" w:type="dxa"/>
            <w:vAlign w:val="center"/>
          </w:tcPr>
          <w:p>
            <w:pPr>
              <w:jc w:val="right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pacing w:val="292"/>
                <w:kern w:val="0"/>
                <w:sz w:val="24"/>
                <w:fitText w:val="1928" w:id="4"/>
              </w:rPr>
              <w:t>评定</w:t>
            </w:r>
            <w:r>
              <w:rPr>
                <w:rFonts w:hint="eastAsia" w:ascii="仿宋" w:hAnsi="仿宋" w:eastAsia="仿宋"/>
                <w:b/>
                <w:spacing w:val="7"/>
                <w:kern w:val="0"/>
                <w:sz w:val="24"/>
                <w:fitText w:val="1928" w:id="4"/>
              </w:rPr>
              <w:t>人</w:t>
            </w:r>
          </w:p>
        </w:tc>
        <w:tc>
          <w:tcPr>
            <w:tcW w:w="2183" w:type="dxa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z w:val="24"/>
              </w:rPr>
              <w:t>马毅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2" w:hRule="atLeast"/>
          <w:jc w:val="center"/>
        </w:trPr>
        <w:tc>
          <w:tcPr>
            <w:tcW w:w="1961" w:type="dxa"/>
            <w:vMerge w:val="continue"/>
            <w:vAlign w:val="center"/>
          </w:tcPr>
          <w:p>
            <w:pPr>
              <w:jc w:val="right"/>
              <w:rPr>
                <w:rFonts w:ascii="仿宋" w:hAnsi="仿宋" w:eastAsia="仿宋"/>
                <w:b/>
                <w:sz w:val="24"/>
              </w:rPr>
            </w:pPr>
          </w:p>
        </w:tc>
        <w:tc>
          <w:tcPr>
            <w:tcW w:w="1650" w:type="dxa"/>
            <w:gridSpan w:val="2"/>
            <w:vMerge w:val="continue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sz w:val="24"/>
              </w:rPr>
            </w:pPr>
          </w:p>
        </w:tc>
        <w:tc>
          <w:tcPr>
            <w:tcW w:w="2145" w:type="dxa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sz w:val="24"/>
              </w:rPr>
            </w:pPr>
            <w:r>
              <w:rPr>
                <w:rFonts w:hint="eastAsia" w:ascii="仿宋" w:hAnsi="仿宋" w:eastAsia="仿宋"/>
                <w:b/>
                <w:spacing w:val="160"/>
                <w:kern w:val="0"/>
                <w:sz w:val="24"/>
                <w:fitText w:val="1928" w:id="5"/>
              </w:rPr>
              <w:t>评定日</w:t>
            </w:r>
            <w:r>
              <w:rPr>
                <w:rFonts w:hint="eastAsia" w:ascii="仿宋" w:hAnsi="仿宋" w:eastAsia="仿宋"/>
                <w:b/>
                <w:spacing w:val="2"/>
                <w:kern w:val="0"/>
                <w:sz w:val="24"/>
                <w:fitText w:val="1928" w:id="5"/>
              </w:rPr>
              <w:t>期</w:t>
            </w:r>
          </w:p>
        </w:tc>
        <w:tc>
          <w:tcPr>
            <w:tcW w:w="2183" w:type="dxa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color w:val="FF0000"/>
                <w:sz w:val="24"/>
              </w:rPr>
            </w:pPr>
            <w:r>
              <w:rPr>
                <w:rFonts w:hint="eastAsia" w:ascii="仿宋" w:hAnsi="仿宋" w:eastAsia="仿宋"/>
                <w:b/>
                <w:color w:val="FF0000"/>
                <w:sz w:val="24"/>
              </w:rPr>
              <w:t xml:space="preserve"> </w:t>
            </w:r>
          </w:p>
        </w:tc>
      </w:tr>
    </w:tbl>
    <w:p>
      <w:pPr>
        <w:widowControl/>
        <w:jc w:val="center"/>
        <w:rPr>
          <w:rFonts w:ascii="仿宋_GB2312" w:hAnsi="宋体" w:eastAsia="仿宋_GB2312"/>
          <w:b/>
          <w:sz w:val="28"/>
          <w:szCs w:val="28"/>
        </w:rPr>
      </w:pPr>
    </w:p>
    <w:p>
      <w:pPr>
        <w:widowControl/>
        <w:jc w:val="center"/>
        <w:rPr>
          <w:rFonts w:ascii="仿宋_GB2312" w:hAnsi="宋体" w:eastAsia="仿宋_GB2312"/>
          <w:sz w:val="32"/>
          <w:szCs w:val="32"/>
        </w:rPr>
      </w:pPr>
      <w:r>
        <w:rPr>
          <w:rFonts w:hint="eastAsia" w:ascii="仿宋_GB2312" w:hAnsi="宋体" w:eastAsia="仿宋_GB2312"/>
          <w:b/>
          <w:sz w:val="28"/>
          <w:szCs w:val="28"/>
        </w:rPr>
        <w:t>东北大学软件学院</w:t>
      </w:r>
    </w:p>
    <w:p>
      <w:pPr>
        <w:widowControl/>
        <w:jc w:val="left"/>
        <w:rPr>
          <w:rFonts w:ascii="仿宋_GB2312" w:hAnsi="宋体" w:eastAsia="仿宋_GB2312"/>
          <w:sz w:val="24"/>
        </w:rPr>
      </w:pPr>
      <w:r>
        <w:rPr>
          <w:rFonts w:ascii="仿宋_GB2312" w:hAnsi="宋体" w:eastAsia="仿宋_GB2312"/>
          <w:sz w:val="32"/>
          <w:szCs w:val="32"/>
        </w:rPr>
        <w:br w:type="page"/>
      </w:r>
      <w:r>
        <w:rPr>
          <w:rFonts w:ascii="仿宋_GB2312" w:hAnsi="宋体" w:eastAsia="仿宋_GB2312"/>
          <w:sz w:val="24"/>
        </w:rPr>
        <w:t xml:space="preserve"> </w:t>
      </w:r>
    </w:p>
    <w:p>
      <w:pPr>
        <w:widowControl/>
        <w:jc w:val="left"/>
        <w:rPr>
          <w:rFonts w:ascii="仿宋_GB2312" w:hAnsi="宋体" w:eastAsia="仿宋_GB2312"/>
          <w:b/>
          <w:sz w:val="24"/>
        </w:rPr>
      </w:pPr>
    </w:p>
    <w:p>
      <w:pPr>
        <w:widowControl/>
        <w:jc w:val="left"/>
        <w:rPr>
          <w:rFonts w:ascii="仿宋_GB2312" w:hAnsi="宋体" w:eastAsia="仿宋_GB2312"/>
          <w:b/>
          <w:sz w:val="24"/>
        </w:rPr>
      </w:pPr>
      <w:r>
        <w:rPr>
          <w:rFonts w:hint="eastAsia" w:ascii="仿宋_GB2312" w:hAnsi="宋体" w:eastAsia="仿宋_GB2312"/>
          <w:b/>
          <w:sz w:val="24"/>
        </w:rPr>
        <w:t>实验内容：</w:t>
      </w:r>
    </w:p>
    <w:p>
      <w:pPr>
        <w:widowControl/>
        <w:numPr>
          <w:ilvl w:val="0"/>
          <w:numId w:val="1"/>
        </w:numPr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创建mfc工程</w:t>
      </w:r>
    </w:p>
    <w:p>
      <w:pPr>
        <w:widowControl/>
        <w:numPr>
          <w:ilvl w:val="0"/>
          <w:numId w:val="1"/>
        </w:numPr>
        <w:jc w:val="left"/>
        <w:rPr>
          <w:rFonts w:hint="default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学习并使用mfc的知识</w:t>
      </w:r>
    </w:p>
    <w:p>
      <w:pPr>
        <w:widowControl/>
        <w:numPr>
          <w:ilvl w:val="0"/>
          <w:numId w:val="1"/>
        </w:numPr>
        <w:jc w:val="left"/>
        <w:rPr>
          <w:rFonts w:hint="default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实例化下面的对话框</w:t>
      </w:r>
    </w:p>
    <w:p>
      <w:pPr>
        <w:widowControl/>
        <w:numPr>
          <w:ilvl w:val="0"/>
          <w:numId w:val="0"/>
        </w:numPr>
        <w:ind w:firstLine="481"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模态对话框</w:t>
      </w:r>
    </w:p>
    <w:p>
      <w:pPr>
        <w:widowControl/>
        <w:numPr>
          <w:ilvl w:val="0"/>
          <w:numId w:val="0"/>
        </w:numPr>
        <w:ind w:firstLine="481"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非模态对话框</w:t>
      </w:r>
    </w:p>
    <w:p>
      <w:pPr>
        <w:widowControl/>
        <w:numPr>
          <w:ilvl w:val="0"/>
          <w:numId w:val="0"/>
        </w:numPr>
        <w:ind w:firstLine="481"/>
        <w:jc w:val="left"/>
        <w:rPr>
          <w:rFonts w:hint="default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单选文件对话框</w:t>
      </w:r>
    </w:p>
    <w:p>
      <w:pPr>
        <w:widowControl/>
        <w:ind w:firstLine="481"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动态对话框</w:t>
      </w:r>
    </w:p>
    <w:p>
      <w:pPr>
        <w:widowControl/>
        <w:ind w:firstLine="481"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多选文件对话框</w:t>
      </w:r>
    </w:p>
    <w:p>
      <w:pPr>
        <w:widowControl/>
        <w:ind w:firstLine="481"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上网问卷调查对话框（page）</w:t>
      </w:r>
    </w:p>
    <w:p>
      <w:pPr>
        <w:widowControl/>
        <w:ind w:firstLine="481"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调整对话框背景颜色（颜色，）</w:t>
      </w:r>
    </w:p>
    <w:p>
      <w:pPr>
        <w:widowControl/>
        <w:ind w:firstLine="481"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学生基本信息列表</w:t>
      </w:r>
    </w:p>
    <w:p>
      <w:pPr>
        <w:widowControl/>
        <w:ind w:firstLine="481"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属性表单</w:t>
      </w:r>
    </w:p>
    <w:p>
      <w:pPr>
        <w:widowControl/>
        <w:numPr>
          <w:ilvl w:val="0"/>
          <w:numId w:val="1"/>
        </w:numPr>
        <w:ind w:left="0" w:leftChars="0" w:firstLine="0" w:firstLineChars="0"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以下菜单</w:t>
      </w:r>
    </w:p>
    <w:p>
      <w:pPr>
        <w:widowControl/>
        <w:numPr>
          <w:ilvl w:val="0"/>
          <w:numId w:val="0"/>
        </w:numPr>
        <w:ind w:leftChars="0" w:firstLine="481"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菜单项</w:t>
      </w:r>
    </w:p>
    <w:p>
      <w:pPr>
        <w:widowControl/>
        <w:numPr>
          <w:ilvl w:val="0"/>
          <w:numId w:val="0"/>
        </w:numPr>
        <w:ind w:leftChars="0" w:firstLine="481"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命令响应</w:t>
      </w:r>
    </w:p>
    <w:p>
      <w:pPr>
        <w:widowControl/>
        <w:numPr>
          <w:ilvl w:val="0"/>
          <w:numId w:val="0"/>
        </w:numPr>
        <w:ind w:leftChars="0" w:firstLine="481"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标记菜单</w:t>
      </w:r>
    </w:p>
    <w:p>
      <w:pPr>
        <w:widowControl/>
        <w:numPr>
          <w:ilvl w:val="0"/>
          <w:numId w:val="0"/>
        </w:numPr>
        <w:ind w:leftChars="0" w:firstLine="481"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缺省菜单</w:t>
      </w:r>
    </w:p>
    <w:p>
      <w:pPr>
        <w:widowControl/>
        <w:numPr>
          <w:ilvl w:val="0"/>
          <w:numId w:val="0"/>
        </w:numPr>
        <w:ind w:leftChars="0" w:firstLine="481"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图形菜单</w:t>
      </w:r>
    </w:p>
    <w:p>
      <w:pPr>
        <w:widowControl/>
        <w:numPr>
          <w:ilvl w:val="0"/>
          <w:numId w:val="0"/>
        </w:numPr>
        <w:ind w:leftChars="0" w:firstLine="481"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新的菜单</w:t>
      </w:r>
    </w:p>
    <w:p>
      <w:pPr>
        <w:widowControl/>
        <w:numPr>
          <w:ilvl w:val="0"/>
          <w:numId w:val="1"/>
        </w:numPr>
        <w:ind w:left="0" w:leftChars="0" w:firstLine="0" w:firstLineChars="0"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其它</w:t>
      </w:r>
    </w:p>
    <w:p>
      <w:pPr>
        <w:widowControl/>
        <w:numPr>
          <w:ilvl w:val="0"/>
          <w:numId w:val="0"/>
        </w:numPr>
        <w:ind w:leftChars="0" w:firstLine="241" w:firstLineChars="100"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 xml:space="preserve">  初始化对话框</w:t>
      </w:r>
    </w:p>
    <w:p>
      <w:pPr>
        <w:widowControl/>
        <w:numPr>
          <w:ilvl w:val="0"/>
          <w:numId w:val="0"/>
        </w:numPr>
        <w:ind w:leftChars="0" w:firstLine="481"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底部注释</w:t>
      </w:r>
    </w:p>
    <w:p>
      <w:pPr>
        <w:widowControl/>
        <w:numPr>
          <w:ilvl w:val="0"/>
          <w:numId w:val="0"/>
        </w:numPr>
        <w:ind w:leftChars="0" w:firstLine="481"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快捷键</w:t>
      </w:r>
    </w:p>
    <w:p>
      <w:pPr>
        <w:widowControl/>
        <w:numPr>
          <w:ilvl w:val="0"/>
          <w:numId w:val="0"/>
        </w:numPr>
        <w:ind w:leftChars="0" w:firstLine="481"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任意位置右键呼出菜单</w:t>
      </w:r>
    </w:p>
    <w:p>
      <w:pPr>
        <w:widowControl/>
        <w:numPr>
          <w:ilvl w:val="0"/>
          <w:numId w:val="0"/>
        </w:numPr>
        <w:ind w:leftChars="0" w:firstLine="481"/>
        <w:jc w:val="left"/>
        <w:rPr>
          <w:rFonts w:hint="default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消息传递</w:t>
      </w:r>
    </w:p>
    <w:p>
      <w:pPr>
        <w:widowControl/>
        <w:jc w:val="left"/>
        <w:rPr>
          <w:rFonts w:ascii="仿宋_GB2312" w:hAnsi="宋体" w:eastAsia="仿宋_GB2312"/>
          <w:b/>
          <w:sz w:val="24"/>
        </w:rPr>
      </w:pPr>
      <w:r>
        <w:rPr>
          <w:rFonts w:hint="eastAsia" w:ascii="仿宋_GB2312" w:hAnsi="宋体" w:eastAsia="仿宋_GB2312"/>
          <w:b/>
          <w:sz w:val="24"/>
        </w:rPr>
        <w:t>实验步骤：</w:t>
      </w:r>
    </w:p>
    <w:p>
      <w:pPr>
        <w:widowControl/>
        <w:ind w:firstLine="420" w:firstLineChars="0"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应用vs的资源视图添加资源</w:t>
      </w:r>
    </w:p>
    <w:p>
      <w:pPr>
        <w:widowControl/>
        <w:ind w:firstLine="420" w:firstLineChars="0"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使用类向导创建对应的类和类中的消息函数和变量等</w:t>
      </w:r>
    </w:p>
    <w:p>
      <w:pPr>
        <w:widowControl/>
        <w:ind w:firstLine="420" w:firstLineChars="0"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编辑消息函数使得对应消息起作用</w:t>
      </w:r>
    </w:p>
    <w:p>
      <w:pPr>
        <w:widowControl/>
        <w:ind w:firstLine="420" w:firstLineChars="0"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在菜单上添加菜单项对应资源</w:t>
      </w:r>
    </w:p>
    <w:p>
      <w:pPr>
        <w:widowControl/>
        <w:ind w:firstLine="420" w:firstLineChars="0"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编辑代码使得需要的资源起作用</w:t>
      </w:r>
    </w:p>
    <w:p>
      <w:pPr>
        <w:widowControl/>
        <w:ind w:firstLine="420" w:firstLineChars="0"/>
        <w:jc w:val="left"/>
        <w:rPr>
          <w:rFonts w:hint="default" w:ascii="仿宋_GB2312" w:hAnsi="宋体" w:eastAsia="仿宋_GB2312"/>
          <w:b/>
          <w:sz w:val="24"/>
          <w:lang w:val="en-US" w:eastAsia="zh-CN"/>
        </w:rPr>
      </w:pPr>
    </w:p>
    <w:p>
      <w:pPr>
        <w:widowControl/>
        <w:jc w:val="left"/>
        <w:rPr>
          <w:rFonts w:hint="default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对话框部分</w:t>
      </w:r>
    </w:p>
    <w:p>
      <w:pPr>
        <w:widowControl/>
        <w:ind w:firstLine="420" w:firstLineChars="0"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资源视图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2698750" cy="3511550"/>
            <wp:effectExtent l="0" t="0" r="635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设置对话框属性，如id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2546350" cy="615950"/>
            <wp:effectExtent l="0" t="0" r="635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拖动工具编辑对话框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2501900" cy="39116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使用类向导添加变量函数等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5266690" cy="4464685"/>
            <wp:effectExtent l="0" t="0" r="3810" b="57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Oninitdilog是初始化函数，编辑此部分代码可以用来初始化控件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5269230" cy="2628900"/>
            <wp:effectExtent l="0" t="0" r="127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在菜单中添加菜单项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5273675" cy="2600325"/>
            <wp:effectExtent l="0" t="0" r="9525" b="317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添加事件处理程序，编辑代码联系构造完的对话框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4864100" cy="3575050"/>
            <wp:effectExtent l="0" t="0" r="0" b="63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</w:pPr>
    </w:p>
    <w:p>
      <w:pPr>
        <w:widowControl/>
        <w:ind w:firstLine="420" w:firstLineChars="0"/>
        <w:jc w:val="left"/>
      </w:pP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编辑事件处理程序，Domodal是构造模态对话框实例的由对话框调用的函数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2819400" cy="1162050"/>
            <wp:effectExtent l="0" t="0" r="0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非模态对话框的实例方法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5272405" cy="1299210"/>
            <wp:effectExtent l="0" t="0" r="10795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打开文件用的对话框是mfc自带的，不需要编辑资源</w:t>
      </w:r>
    </w:p>
    <w:p>
      <w:pPr>
        <w:widowControl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再添加完菜单项，编辑对应的事件处理程序就行了</w:t>
      </w:r>
    </w:p>
    <w:p>
      <w:pPr>
        <w:widowControl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Cfiledialog实例化dlg的时候填了些对话框的性质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5271770" cy="2661285"/>
            <wp:effectExtent l="0" t="0" r="11430" b="571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这部分实例的时候添了ofn_allowmultiselect表示允许多选</w:t>
      </w:r>
    </w:p>
    <w:p>
      <w:pPr>
        <w:widowControl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此外实例化函数添的cstring在最后，表示可选的文件，以图中形式</w:t>
      </w:r>
    </w:p>
    <w:p>
      <w:pPr>
        <w:widowControl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对话框会识别出可选的文件类型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5273040" cy="2882265"/>
            <wp:effectExtent l="0" t="0" r="10160" b="6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</w:pPr>
    </w:p>
    <w:p>
      <w:pPr>
        <w:widowControl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添加对话框资源试试消息传递和动态创建按钮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4660900" cy="3060700"/>
            <wp:effectExtent l="0" t="0" r="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类向导中添加无id的控件变量，除此之外还有添加控件变量，如值和控件本身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5270500" cy="147955"/>
            <wp:effectExtent l="0" t="0" r="0" b="444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4425950" cy="2603500"/>
            <wp:effectExtent l="0" t="0" r="635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这部分由vs自动完成，但可以看出这部分将添加的变量与控件联系在一起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4800600" cy="1568450"/>
            <wp:effectExtent l="0" t="0" r="0" b="635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630" w:leftChars="200" w:hanging="210" w:hangingChars="1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编辑对应的事件处理程序，其中updata函数即更新信息，这样对应的控件值在这里就更新了可以使用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5272405" cy="1186815"/>
            <wp:effectExtent l="0" t="0" r="10795" b="698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</w:pPr>
    </w:p>
    <w:p>
      <w:pPr>
        <w:widowControl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利用事件处理程序来实例一个未分配id以及其它控件属性的控件</w:t>
      </w:r>
    </w:p>
    <w:p>
      <w:pPr>
        <w:widowControl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使用的是creat函数，判断是否创建是直接判断.m_hwnd==null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4616450" cy="1409700"/>
            <wp:effectExtent l="0" t="0" r="635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创建如下对话框，主要是radio button和check box</w:t>
      </w:r>
    </w:p>
    <w:p>
      <w:pPr>
        <w:widowControl/>
        <w:ind w:firstLine="420" w:firstLineChars="0"/>
        <w:jc w:val="left"/>
      </w:pP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4635500" cy="3105150"/>
            <wp:effectExtent l="0" t="0" r="0" b="635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Group=true意味着，这一组radio box之间为单选关系，而chack box不支持单选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2533650" cy="628650"/>
            <wp:effectExtent l="0" t="0" r="6350" b="635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Checkradiobutton函数决定了radio的分组关系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4235450" cy="1816100"/>
            <wp:effectExtent l="0" t="0" r="635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将选择对应的id联系对应的文本输出成字符串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4603750" cy="3213100"/>
            <wp:effectExtent l="0" t="0" r="6350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创建如下对话框，测试slider 和scroll bar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4616450" cy="3111500"/>
            <wp:effectExtent l="0" t="0" r="635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添加变量如下，是上幅图控件的变量，控件本身以及值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4286250" cy="1993900"/>
            <wp:effectExtent l="0" t="0" r="6350" b="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对变量的初始化如下，setrange可用来设置变量的范围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4260850" cy="2451100"/>
            <wp:effectExtent l="0" t="0" r="6350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</w:pP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拉动滑块调整对应值的大小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4089400" cy="2997200"/>
            <wp:effectExtent l="0" t="0" r="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用画刷设置背景颜色，颜色color由rgb函数决定，本质是三个数字对应红绿蓝三色。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3556000" cy="1187450"/>
            <wp:effectExtent l="0" t="0" r="0" b="635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创建如下两个对话框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4673600" cy="3117850"/>
            <wp:effectExtent l="0" t="0" r="0" b="635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4775200" cy="3155950"/>
            <wp:effectExtent l="0" t="0" r="0" b="635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对应变量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3543300" cy="908050"/>
            <wp:effectExtent l="0" t="0" r="0" b="635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初始化使用了setCtrlstyle函数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4273550" cy="2311400"/>
            <wp:effectExtent l="0" t="0" r="6350" b="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点击不同radio 都使得ctrlstyle更改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4356100" cy="3206750"/>
            <wp:effectExtent l="0" t="0" r="0" b="635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点击添加时的事件处理程序，调用了另一对话框，也将另一对话框的变量数据传出</w:t>
      </w:r>
    </w:p>
    <w:p>
      <w:pPr>
        <w:widowControl/>
        <w:ind w:firstLine="420" w:firstLineChars="0"/>
        <w:jc w:val="left"/>
        <w:rPr>
          <w:rFonts w:hint="default"/>
          <w:lang w:val="en-US" w:eastAsia="zh-CN"/>
        </w:rPr>
      </w:pP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3949700" cy="2946400"/>
            <wp:effectExtent l="0" t="0" r="0" b="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一则初始化日期，二更新数据，判断数据是否满足要求。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3708400" cy="2889250"/>
            <wp:effectExtent l="0" t="0" r="0" b="635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添加如下菜单项，新的菜单项与命令响应不再赘述。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1492250" cy="1892300"/>
            <wp:effectExtent l="0" t="0" r="6350" b="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标记菜单需要两个事件处理函数，一个处理事件，一个更新ui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2755900" cy="2006600"/>
            <wp:effectExtent l="0" t="0" r="0" b="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缺省菜单</w:t>
      </w:r>
    </w:p>
    <w:p>
      <w:pPr>
        <w:widowControl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在oncreate函数中添加如下代码</w:t>
      </w:r>
    </w:p>
    <w:p>
      <w:pPr>
        <w:widowControl/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356100" cy="279400"/>
            <wp:effectExtent l="0" t="0" r="0" b="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</w:pPr>
    </w:p>
    <w:p>
      <w:pPr>
        <w:widowControl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缺省菜单的 事件处理函数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3213100" cy="717550"/>
            <wp:effectExtent l="0" t="0" r="0" b="635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图形菜单的事件处理函数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2825750" cy="723900"/>
            <wp:effectExtent l="0" t="0" r="6350" b="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在oncreate函数中添加如下代码，加载位图，定位到菜单项来使用位图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4184650" cy="393700"/>
            <wp:effectExtent l="0" t="0" r="6350" b="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位图资源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2197100" cy="374650"/>
            <wp:effectExtent l="0" t="0" r="0" b="635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位图编辑工具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3333750" cy="311150"/>
            <wp:effectExtent l="0" t="0" r="6350" b="635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位图--取色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2051050" cy="723900"/>
            <wp:effectExtent l="0" t="0" r="6350" b="0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添加菜单和新的菜单项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2152650" cy="425450"/>
            <wp:effectExtent l="0" t="0" r="6350" b="635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菜单项的属性设置使得第一菜单项可以点击，可以有事件处理程序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2724150" cy="3086100"/>
            <wp:effectExtent l="0" t="0" r="6350" b="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添加事件处理程序，当点击“新的菜单”时，启用另一菜单ui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2800350" cy="1397000"/>
            <wp:effectExtent l="0" t="0" r="6350" b="0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还包括摧毁原菜单加载新的菜单和新的toolbar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2787650" cy="1771650"/>
            <wp:effectExtent l="0" t="0" r="6350" b="635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返回原菜单的事件处理程序与新的菜单这一事件处理程序相似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3295650" cy="2025650"/>
            <wp:effectExtent l="0" t="0" r="6350" b="6350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3689350" cy="1447800"/>
            <wp:effectExtent l="0" t="0" r="6350" b="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</w:pPr>
    </w:p>
    <w:p>
      <w:pPr>
        <w:widowControl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在mainframe类里添加这个函数，并编辑如下代码可已在任意位置呼出对应菜单</w:t>
      </w:r>
    </w:p>
    <w:p>
      <w:pPr>
        <w:widowControl/>
        <w:ind w:firstLine="420" w:firstLineChars="0"/>
        <w:jc w:val="left"/>
      </w:pPr>
      <w:r>
        <w:rPr>
          <w:rFonts w:hint="eastAsia"/>
          <w:lang w:val="en-US" w:eastAsia="zh-CN"/>
        </w:rPr>
        <w:t>Getsubmenu指明了菜单，trackpopupmenu指明了位置函数，point变量表示坐标，改重载函数自动传入鼠标位置。</w:t>
      </w:r>
      <w:r>
        <w:drawing>
          <wp:inline distT="0" distB="0" distL="114300" distR="114300">
            <wp:extent cx="5207000" cy="1187450"/>
            <wp:effectExtent l="0" t="0" r="0" b="635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添加toolbar资源，只要id对应，toolbar可当对应菜单控件使用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3727450" cy="2127250"/>
            <wp:effectExtent l="0" t="0" r="6350" b="6350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在oncreate函数中添加如下代码，使得toolbar可转换刷新以及禁用。</w:t>
      </w:r>
    </w:p>
    <w:p>
      <w:pPr>
        <w:widowControl/>
        <w:ind w:firstLine="420" w:firstLineChars="0"/>
        <w:jc w:val="left"/>
        <w:rPr>
          <w:rFonts w:hint="default"/>
          <w:lang w:val="en-US" w:eastAsia="zh-CN"/>
        </w:rPr>
      </w:pP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3568700" cy="1574800"/>
            <wp:effectExtent l="0" t="0" r="0" b="0"/>
            <wp:docPr id="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在accelerator资源中添加如下项，即可创建快捷键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5273675" cy="2604770"/>
            <wp:effectExtent l="0" t="0" r="9525" b="11430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在string table资源中添加如下项即可载入显示在底部的标题</w:t>
      </w:r>
    </w:p>
    <w:p>
      <w:pPr>
        <w:widowControl/>
        <w:ind w:firstLine="420" w:firstLineChars="0"/>
        <w:jc w:val="left"/>
      </w:pP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4121150" cy="2552700"/>
            <wp:effectExtent l="0" t="0" r="6350" b="0"/>
            <wp:docPr id="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在属性中prompt上修改亦可</w:t>
      </w:r>
    </w:p>
    <w:p>
      <w:pPr>
        <w:widowControl/>
        <w:ind w:firstLine="420" w:firstLineChars="0"/>
        <w:jc w:val="left"/>
        <w:rPr>
          <w:rFonts w:hint="default"/>
          <w:lang w:val="en-US" w:eastAsia="zh-CN"/>
        </w:rPr>
      </w:pPr>
    </w:p>
    <w:p>
      <w:pPr>
        <w:widowControl/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647950" cy="1149350"/>
            <wp:effectExtent l="0" t="0" r="6350" b="6350"/>
            <wp:docPr id="5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仿宋_GB2312" w:hAnsi="宋体" w:eastAsia="仿宋_GB2312"/>
          <w:b/>
          <w:sz w:val="24"/>
        </w:rPr>
      </w:pPr>
      <w:r>
        <w:rPr>
          <w:rFonts w:hint="eastAsia" w:ascii="仿宋_GB2312" w:hAnsi="宋体" w:eastAsia="仿宋_GB2312"/>
          <w:b/>
          <w:sz w:val="24"/>
        </w:rPr>
        <w:t>实验结果：</w:t>
      </w:r>
    </w:p>
    <w:p>
      <w:pPr>
        <w:widowControl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模态对话框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5269865" cy="3596640"/>
            <wp:effectExtent l="0" t="0" r="635" b="10160"/>
            <wp:docPr id="5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非模态对话框</w:t>
      </w:r>
    </w:p>
    <w:p>
      <w:pPr>
        <w:widowControl/>
        <w:ind w:left="420" w:leftChars="0" w:firstLine="420" w:firstLineChars="0"/>
        <w:jc w:val="left"/>
      </w:pPr>
      <w:r>
        <w:drawing>
          <wp:inline distT="0" distB="0" distL="114300" distR="114300">
            <wp:extent cx="5268595" cy="3446145"/>
            <wp:effectExtent l="0" t="0" r="1905" b="8255"/>
            <wp:docPr id="5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单选文件对话框</w:t>
      </w:r>
    </w:p>
    <w:p>
      <w:pPr>
        <w:widowControl/>
        <w:ind w:left="840" w:leftChars="0" w:firstLine="420" w:firstLineChars="0"/>
        <w:jc w:val="left"/>
      </w:pPr>
      <w:r>
        <w:drawing>
          <wp:inline distT="0" distB="0" distL="114300" distR="114300">
            <wp:extent cx="5266055" cy="2859405"/>
            <wp:effectExtent l="0" t="0" r="4445" b="10795"/>
            <wp:docPr id="5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多选文件对话框</w:t>
      </w:r>
    </w:p>
    <w:p>
      <w:pPr>
        <w:widowControl/>
        <w:ind w:left="840" w:leftChars="0" w:firstLine="420" w:firstLineChars="0"/>
        <w:jc w:val="left"/>
      </w:pPr>
      <w:r>
        <w:drawing>
          <wp:inline distT="0" distB="0" distL="114300" distR="114300">
            <wp:extent cx="5270500" cy="3980815"/>
            <wp:effectExtent l="0" t="0" r="0" b="6985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数据传递，动态创建按钮对话框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4445000" cy="2946400"/>
            <wp:effectExtent l="0" t="0" r="0" b="0"/>
            <wp:docPr id="6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上网问卷调查对话框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4445000" cy="2946400"/>
            <wp:effectExtent l="0" t="0" r="0" b="0"/>
            <wp:docPr id="6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调整对话框背景颜色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4445000" cy="2946400"/>
            <wp:effectExtent l="0" t="0" r="0" b="0"/>
            <wp:docPr id="6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学生基本信息列表</w:t>
      </w:r>
    </w:p>
    <w:p>
      <w:pPr>
        <w:widowControl/>
        <w:jc w:val="left"/>
      </w:pPr>
      <w:r>
        <w:drawing>
          <wp:inline distT="0" distB="0" distL="114300" distR="114300">
            <wp:extent cx="5266055" cy="2859405"/>
            <wp:effectExtent l="0" t="0" r="4445" b="10795"/>
            <wp:docPr id="6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114300" distR="114300">
            <wp:extent cx="4445000" cy="2946400"/>
            <wp:effectExtent l="0" t="0" r="0" b="0"/>
            <wp:docPr id="6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114300" distR="114300">
            <wp:extent cx="4445000" cy="2946400"/>
            <wp:effectExtent l="0" t="0" r="0" b="0"/>
            <wp:docPr id="6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114300" distR="114300">
            <wp:extent cx="4445000" cy="2946400"/>
            <wp:effectExtent l="0" t="0" r="0" b="0"/>
            <wp:docPr id="6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新的菜单</w:t>
      </w:r>
    </w:p>
    <w:p>
      <w:pPr>
        <w:widowControl/>
        <w:jc w:val="left"/>
      </w:pPr>
      <w:r>
        <w:drawing>
          <wp:inline distT="0" distB="0" distL="114300" distR="114300">
            <wp:extent cx="2914650" cy="1784350"/>
            <wp:effectExtent l="0" t="0" r="6350" b="6350"/>
            <wp:docPr id="6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Toolbar的使用与被禁用</w:t>
      </w:r>
    </w:p>
    <w:p>
      <w:pPr>
        <w:widowControl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831850" cy="241300"/>
            <wp:effectExtent l="0" t="0" r="6350" b="0"/>
            <wp:docPr id="6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318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仿宋_GB2312" w:hAnsi="宋体" w:eastAsia="仿宋_GB2312"/>
          <w:b/>
          <w:sz w:val="24"/>
        </w:rPr>
      </w:pPr>
    </w:p>
    <w:p>
      <w:pPr>
        <w:widowControl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遇到过的bug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调用函数出错</w:t>
      </w:r>
    </w:p>
    <w:p>
      <w:r>
        <w:drawing>
          <wp:inline distT="0" distB="0" distL="114300" distR="114300">
            <wp:extent cx="5273675" cy="655320"/>
            <wp:effectExtent l="0" t="0" r="9525" b="508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未设置group</w:t>
      </w:r>
    </w:p>
    <w:p/>
    <w:p>
      <w:r>
        <w:drawing>
          <wp:inline distT="0" distB="0" distL="114300" distR="114300">
            <wp:extent cx="4445000" cy="29464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资源文件已经打开，无法让编译器加载。</w:t>
      </w:r>
    </w:p>
    <w:p>
      <w:r>
        <w:drawing>
          <wp:inline distT="0" distB="0" distL="114300" distR="114300">
            <wp:extent cx="2552700" cy="704850"/>
            <wp:effectExtent l="0" t="0" r="0" b="635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未使用windows特定的宽字符</w:t>
      </w:r>
    </w:p>
    <w:p>
      <w:r>
        <w:drawing>
          <wp:inline distT="0" distB="0" distL="114300" distR="114300">
            <wp:extent cx="1454150" cy="298450"/>
            <wp:effectExtent l="0" t="0" r="6350" b="6350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代码逻辑出错</w:t>
      </w:r>
    </w:p>
    <w:p>
      <w:r>
        <w:drawing>
          <wp:inline distT="0" distB="0" distL="114300" distR="114300">
            <wp:extent cx="1663700" cy="1860550"/>
            <wp:effectExtent l="0" t="0" r="0" b="635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widowControl/>
        <w:ind w:firstLine="420" w:firstLineChars="0"/>
        <w:jc w:val="left"/>
        <w:rPr>
          <w:rFonts w:hint="default" w:ascii="仿宋_GB2312" w:hAnsi="宋体" w:eastAsia="仿宋_GB2312"/>
          <w:b/>
          <w:sz w:val="24"/>
          <w:lang w:val="en-US" w:eastAsia="zh-CN"/>
        </w:rPr>
      </w:pPr>
    </w:p>
    <w:p>
      <w:pPr>
        <w:widowControl/>
        <w:jc w:val="left"/>
        <w:rPr>
          <w:rFonts w:ascii="仿宋_GB2312" w:hAnsi="宋体" w:eastAsia="仿宋_GB2312"/>
          <w:b/>
          <w:sz w:val="24"/>
        </w:rPr>
      </w:pPr>
      <w:r>
        <w:rPr>
          <w:rFonts w:hint="eastAsia" w:ascii="仿宋_GB2312" w:hAnsi="宋体" w:eastAsia="仿宋_GB2312"/>
          <w:b/>
          <w:sz w:val="24"/>
        </w:rPr>
        <w:t>实验总结：</w:t>
      </w:r>
    </w:p>
    <w:p>
      <w:pPr>
        <w:widowControl/>
        <w:ind w:firstLine="420" w:firstLineChars="0"/>
        <w:jc w:val="left"/>
        <w:rPr>
          <w:rFonts w:hint="eastAsia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Windows程序设计虽然基础但是内容却不少，当今的windows程序依然可以看见mfc的影子，从原理上来说，并无多大变化，只是当今的ui与相关功能更多更复杂。学好mfc可以辅助学习新时代的知识，多学一点是一点，不敢故步自封。</w:t>
      </w:r>
    </w:p>
    <w:p>
      <w:pPr>
        <w:widowControl/>
        <w:ind w:firstLine="420" w:firstLineChars="0"/>
        <w:jc w:val="left"/>
        <w:rPr>
          <w:rFonts w:hint="default" w:ascii="仿宋_GB2312" w:hAnsi="宋体" w:eastAsia="仿宋_GB2312"/>
          <w:b/>
          <w:sz w:val="24"/>
          <w:lang w:val="en-US" w:eastAsia="zh-CN"/>
        </w:rPr>
      </w:pPr>
      <w:r>
        <w:rPr>
          <w:rFonts w:hint="eastAsia" w:ascii="仿宋_GB2312" w:hAnsi="宋体" w:eastAsia="仿宋_GB2312"/>
          <w:b/>
          <w:sz w:val="24"/>
          <w:lang w:val="en-US" w:eastAsia="zh-CN"/>
        </w:rPr>
        <w:t>使用vs来Windows程序设计，除去最基础的消息循环原理外，还包括了自带工具与图形化编程，自动编辑代码，显然这些都是非常好用的辅助工具，优秀的windows编程人员当然不仅仅是要会编程，更重要的是会设计，会使用这些工具。当然在其他编程领域里也是一样。</w:t>
      </w:r>
    </w:p>
    <w:p>
      <w:pPr>
        <w:widowControl/>
        <w:jc w:val="left"/>
        <w:rPr>
          <w:rFonts w:ascii="仿宋_GB2312" w:hAnsi="宋体" w:eastAsia="仿宋_GB2312"/>
          <w:b/>
          <w:sz w:val="24"/>
        </w:rPr>
      </w:pPr>
    </w:p>
    <w:p>
      <w:pPr>
        <w:widowControl/>
        <w:jc w:val="left"/>
        <w:rPr>
          <w:rFonts w:ascii="仿宋_GB2312" w:hAnsi="宋体" w:eastAsia="仿宋_GB2312"/>
          <w:sz w:val="24"/>
        </w:rPr>
      </w:pPr>
      <w:r>
        <w:rPr>
          <w:rFonts w:hint="eastAsia" w:ascii="仿宋_GB2312" w:hAnsi="宋体" w:eastAsia="仿宋_GB2312"/>
          <w:b/>
          <w:sz w:val="24"/>
        </w:rPr>
        <w:t>教师评语</w:t>
      </w:r>
      <w:r>
        <w:rPr>
          <w:rFonts w:hint="eastAsia" w:ascii="仿宋_GB2312" w:hAnsi="宋体" w:eastAsia="仿宋_GB2312"/>
          <w:sz w:val="24"/>
        </w:rPr>
        <w:t>或</w:t>
      </w:r>
      <w:r>
        <w:rPr>
          <w:rFonts w:hint="eastAsia" w:ascii="仿宋_GB2312" w:hAnsi="宋体" w:eastAsia="仿宋_GB2312"/>
          <w:b/>
          <w:sz w:val="24"/>
        </w:rPr>
        <w:t>评价表格</w:t>
      </w:r>
      <w:r>
        <w:rPr>
          <w:rFonts w:hint="eastAsia" w:ascii="仿宋_GB2312" w:hAnsi="宋体" w:eastAsia="仿宋_GB2312"/>
          <w:sz w:val="24"/>
        </w:rPr>
        <w:t>：</w:t>
      </w:r>
      <w:r>
        <w:rPr>
          <w:rFonts w:hint="eastAsia" w:ascii="仿宋_GB2312" w:hAnsi="宋体" w:eastAsia="仿宋_GB2312"/>
          <w:color w:val="FF0000"/>
          <w:sz w:val="24"/>
        </w:rPr>
        <w:t>（任课教师可根据实际情况，做适当调整）</w:t>
      </w:r>
    </w:p>
    <w:p>
      <w:pPr>
        <w:widowControl/>
        <w:ind w:firstLine="420"/>
        <w:jc w:val="left"/>
        <w:rPr>
          <w:rFonts w:ascii="仿宋_GB2312" w:hAnsi="宋体" w:eastAsia="仿宋_GB2312"/>
          <w:color w:val="FF0000"/>
          <w:sz w:val="24"/>
        </w:rPr>
      </w:pPr>
      <w:r>
        <w:rPr>
          <w:rFonts w:hint="eastAsia" w:ascii="仿宋_GB2312" w:hAnsi="宋体" w:eastAsia="仿宋_GB2312"/>
          <w:color w:val="FF0000"/>
          <w:sz w:val="24"/>
        </w:rPr>
        <w:t>评语及评价表格的字体颜色为红色</w:t>
      </w:r>
    </w:p>
    <w:p>
      <w:pPr>
        <w:widowControl/>
        <w:ind w:firstLine="420"/>
        <w:jc w:val="left"/>
        <w:rPr>
          <w:rFonts w:ascii="仿宋_GB2312" w:hAnsi="宋体" w:eastAsia="仿宋_GB2312"/>
          <w:color w:val="FF0000"/>
          <w:sz w:val="24"/>
        </w:rPr>
      </w:pPr>
    </w:p>
    <w:p>
      <w:pPr>
        <w:widowControl/>
        <w:jc w:val="left"/>
        <w:rPr>
          <w:rFonts w:ascii="仿宋_GB2312" w:hAnsi="宋体" w:eastAsia="仿宋_GB2312"/>
          <w:sz w:val="24"/>
        </w:rPr>
      </w:pPr>
    </w:p>
    <w:p>
      <w:pPr>
        <w:widowControl/>
        <w:jc w:val="left"/>
        <w:rPr>
          <w:rFonts w:ascii="仿宋_GB2312" w:hAnsi="宋体" w:eastAsia="仿宋_GB2312"/>
          <w:sz w:val="24"/>
        </w:rPr>
      </w:pPr>
      <w:r>
        <w:rPr>
          <w:rFonts w:hint="eastAsia" w:ascii="仿宋_GB2312" w:hAnsi="宋体" w:eastAsia="仿宋_GB2312"/>
          <w:sz w:val="24"/>
        </w:rPr>
        <w:t>评价表格示例：（考核标准与教学大纲中的实验考核标准一致）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87"/>
        <w:gridCol w:w="20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87" w:type="dxa"/>
          </w:tcPr>
          <w:p>
            <w:pPr>
              <w:spacing w:line="300" w:lineRule="auto"/>
              <w:jc w:val="center"/>
              <w:rPr>
                <w:rFonts w:ascii="仿宋" w:hAnsi="仿宋" w:eastAsia="仿宋"/>
                <w:kern w:val="0"/>
                <w:szCs w:val="21"/>
              </w:rPr>
            </w:pPr>
            <w:r>
              <w:rPr>
                <w:rFonts w:hint="eastAsia" w:ascii="仿宋" w:hAnsi="仿宋" w:eastAsia="仿宋"/>
                <w:kern w:val="0"/>
                <w:szCs w:val="21"/>
              </w:rPr>
              <w:t>考核标准</w:t>
            </w:r>
          </w:p>
        </w:tc>
        <w:tc>
          <w:tcPr>
            <w:tcW w:w="2035" w:type="dxa"/>
          </w:tcPr>
          <w:p>
            <w:pPr>
              <w:widowControl/>
              <w:jc w:val="center"/>
              <w:rPr>
                <w:rFonts w:ascii="仿宋" w:hAnsi="仿宋" w:eastAsia="仿宋"/>
                <w:kern w:val="0"/>
                <w:szCs w:val="21"/>
              </w:rPr>
            </w:pPr>
            <w:r>
              <w:rPr>
                <w:rFonts w:hint="eastAsia" w:ascii="仿宋" w:hAnsi="仿宋" w:eastAsia="仿宋"/>
                <w:kern w:val="0"/>
                <w:szCs w:val="21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87" w:type="dxa"/>
          </w:tcPr>
          <w:p>
            <w:pPr>
              <w:spacing w:line="300" w:lineRule="auto"/>
              <w:rPr>
                <w:rFonts w:ascii="仿宋" w:hAnsi="仿宋" w:eastAsia="仿宋"/>
                <w:kern w:val="0"/>
                <w:szCs w:val="21"/>
              </w:rPr>
            </w:pPr>
            <w:r>
              <w:rPr>
                <w:rFonts w:hint="eastAsia" w:ascii="仿宋" w:hAnsi="仿宋" w:eastAsia="仿宋"/>
                <w:kern w:val="0"/>
                <w:szCs w:val="21"/>
              </w:rPr>
              <w:t>（</w:t>
            </w:r>
            <w:r>
              <w:rPr>
                <w:rFonts w:ascii="仿宋" w:hAnsi="仿宋" w:eastAsia="仿宋"/>
                <w:kern w:val="0"/>
                <w:szCs w:val="21"/>
              </w:rPr>
              <w:t>1</w:t>
            </w:r>
            <w:r>
              <w:rPr>
                <w:rFonts w:hint="eastAsia" w:ascii="仿宋" w:hAnsi="仿宋" w:eastAsia="仿宋"/>
                <w:kern w:val="0"/>
                <w:szCs w:val="21"/>
              </w:rPr>
              <w:t>）遵守课堂秩序，不无故缺席（2</w:t>
            </w:r>
            <w:r>
              <w:rPr>
                <w:rFonts w:ascii="仿宋" w:hAnsi="仿宋" w:eastAsia="仿宋"/>
                <w:kern w:val="0"/>
                <w:szCs w:val="21"/>
              </w:rPr>
              <w:t>0%</w:t>
            </w:r>
            <w:r>
              <w:rPr>
                <w:rFonts w:hint="eastAsia" w:ascii="仿宋" w:hAnsi="仿宋" w:eastAsia="仿宋"/>
                <w:kern w:val="0"/>
                <w:szCs w:val="21"/>
              </w:rPr>
              <w:t>）</w:t>
            </w:r>
          </w:p>
        </w:tc>
        <w:tc>
          <w:tcPr>
            <w:tcW w:w="2035" w:type="dxa"/>
          </w:tcPr>
          <w:p>
            <w:pPr>
              <w:widowControl/>
              <w:jc w:val="left"/>
              <w:rPr>
                <w:rFonts w:ascii="仿宋" w:hAnsi="仿宋" w:eastAsia="仿宋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87" w:type="dxa"/>
          </w:tcPr>
          <w:p>
            <w:pPr>
              <w:spacing w:line="300" w:lineRule="auto"/>
              <w:rPr>
                <w:rFonts w:ascii="仿宋" w:hAnsi="仿宋" w:eastAsia="仿宋"/>
                <w:kern w:val="0"/>
                <w:szCs w:val="21"/>
              </w:rPr>
            </w:pPr>
            <w:r>
              <w:rPr>
                <w:rFonts w:hint="eastAsia" w:ascii="仿宋" w:hAnsi="仿宋" w:eastAsia="仿宋"/>
                <w:kern w:val="0"/>
                <w:szCs w:val="21"/>
              </w:rPr>
              <w:t>（3）实验结果准确，具有一定的创新性（4</w:t>
            </w:r>
            <w:r>
              <w:rPr>
                <w:rFonts w:ascii="仿宋" w:hAnsi="仿宋" w:eastAsia="仿宋"/>
                <w:kern w:val="0"/>
                <w:szCs w:val="21"/>
              </w:rPr>
              <w:t>0%</w:t>
            </w:r>
            <w:r>
              <w:rPr>
                <w:rFonts w:hint="eastAsia" w:ascii="仿宋" w:hAnsi="仿宋" w:eastAsia="仿宋"/>
                <w:kern w:val="0"/>
                <w:szCs w:val="21"/>
              </w:rPr>
              <w:t>）</w:t>
            </w:r>
          </w:p>
        </w:tc>
        <w:tc>
          <w:tcPr>
            <w:tcW w:w="2035" w:type="dxa"/>
          </w:tcPr>
          <w:p>
            <w:pPr>
              <w:widowControl/>
              <w:jc w:val="left"/>
              <w:rPr>
                <w:rFonts w:ascii="仿宋" w:hAnsi="仿宋" w:eastAsia="仿宋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87" w:type="dxa"/>
          </w:tcPr>
          <w:p>
            <w:pPr>
              <w:spacing w:line="300" w:lineRule="auto"/>
              <w:rPr>
                <w:rFonts w:ascii="仿宋" w:hAnsi="仿宋" w:eastAsia="仿宋"/>
                <w:kern w:val="0"/>
                <w:szCs w:val="21"/>
              </w:rPr>
            </w:pPr>
            <w:r>
              <w:rPr>
                <w:rFonts w:hint="eastAsia" w:ascii="仿宋" w:hAnsi="仿宋" w:eastAsia="仿宋"/>
                <w:kern w:val="0"/>
                <w:szCs w:val="21"/>
              </w:rPr>
              <w:t>（4）实验报告规范（4</w:t>
            </w:r>
            <w:r>
              <w:rPr>
                <w:rFonts w:ascii="仿宋" w:hAnsi="仿宋" w:eastAsia="仿宋"/>
                <w:kern w:val="0"/>
                <w:szCs w:val="21"/>
              </w:rPr>
              <w:t>0%</w:t>
            </w:r>
            <w:r>
              <w:rPr>
                <w:rFonts w:hint="eastAsia" w:ascii="仿宋" w:hAnsi="仿宋" w:eastAsia="仿宋"/>
                <w:kern w:val="0"/>
                <w:szCs w:val="21"/>
              </w:rPr>
              <w:t>）</w:t>
            </w:r>
          </w:p>
        </w:tc>
        <w:tc>
          <w:tcPr>
            <w:tcW w:w="2035" w:type="dxa"/>
          </w:tcPr>
          <w:p>
            <w:pPr>
              <w:widowControl/>
              <w:jc w:val="left"/>
              <w:rPr>
                <w:rFonts w:ascii="仿宋" w:hAnsi="仿宋" w:eastAsia="仿宋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87" w:type="dxa"/>
          </w:tcPr>
          <w:p>
            <w:pPr>
              <w:spacing w:line="300" w:lineRule="auto"/>
              <w:ind w:firstLine="210" w:firstLineChars="100"/>
              <w:rPr>
                <w:rFonts w:ascii="仿宋" w:hAnsi="仿宋" w:eastAsia="仿宋"/>
                <w:kern w:val="0"/>
                <w:szCs w:val="21"/>
              </w:rPr>
            </w:pPr>
            <w:r>
              <w:rPr>
                <w:rFonts w:hint="eastAsia" w:ascii="仿宋" w:hAnsi="仿宋" w:eastAsia="仿宋"/>
                <w:kern w:val="0"/>
                <w:szCs w:val="21"/>
              </w:rPr>
              <w:t>总分</w:t>
            </w:r>
          </w:p>
        </w:tc>
        <w:tc>
          <w:tcPr>
            <w:tcW w:w="2035" w:type="dxa"/>
          </w:tcPr>
          <w:p>
            <w:pPr>
              <w:widowControl/>
              <w:jc w:val="left"/>
              <w:rPr>
                <w:rFonts w:ascii="仿宋" w:hAnsi="仿宋" w:eastAsia="仿宋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87" w:type="dxa"/>
          </w:tcPr>
          <w:p>
            <w:pPr>
              <w:spacing w:line="300" w:lineRule="auto"/>
              <w:rPr>
                <w:rFonts w:ascii="仿宋" w:hAnsi="仿宋" w:eastAsia="仿宋"/>
                <w:color w:val="FF0000"/>
                <w:kern w:val="0"/>
                <w:szCs w:val="21"/>
              </w:rPr>
            </w:pPr>
          </w:p>
        </w:tc>
        <w:tc>
          <w:tcPr>
            <w:tcW w:w="2035" w:type="dxa"/>
          </w:tcPr>
          <w:p>
            <w:pPr>
              <w:widowControl/>
              <w:jc w:val="left"/>
              <w:rPr>
                <w:rFonts w:ascii="仿宋" w:hAnsi="仿宋" w:eastAsia="仿宋"/>
                <w:color w:val="FF0000"/>
                <w:kern w:val="0"/>
                <w:szCs w:val="21"/>
              </w:rPr>
            </w:pPr>
          </w:p>
        </w:tc>
      </w:tr>
    </w:tbl>
    <w:p>
      <w:pPr>
        <w:widowControl/>
        <w:jc w:val="left"/>
        <w:rPr>
          <w:rFonts w:ascii="仿宋_GB2312" w:hAnsi="宋体" w:eastAsia="仿宋_GB2312"/>
          <w:sz w:val="24"/>
        </w:rPr>
      </w:pPr>
    </w:p>
    <w:p>
      <w:pPr>
        <w:widowControl/>
        <w:jc w:val="left"/>
        <w:rPr>
          <w:rFonts w:ascii="仿宋_GB2312" w:hAnsi="宋体" w:eastAsia="仿宋_GB2312"/>
          <w:sz w:val="24"/>
        </w:rPr>
      </w:pPr>
    </w:p>
    <w:p>
      <w:pPr>
        <w:widowControl/>
        <w:jc w:val="left"/>
        <w:rPr>
          <w:rFonts w:ascii="仿宋_GB2312" w:hAnsi="宋体" w:eastAsia="仿宋_GB2312"/>
          <w:sz w:val="24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  <w:rPr>
        <w:rFonts w:ascii="宋体"/>
        <w:sz w:val="21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83E6C7"/>
    <w:multiLevelType w:val="singleLevel"/>
    <w:tmpl w:val="3A83E6C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FF7"/>
    <w:rsid w:val="000111C4"/>
    <w:rsid w:val="00027B52"/>
    <w:rsid w:val="00066F07"/>
    <w:rsid w:val="000C0399"/>
    <w:rsid w:val="001B25B7"/>
    <w:rsid w:val="001E1E8A"/>
    <w:rsid w:val="0020110A"/>
    <w:rsid w:val="00210F7B"/>
    <w:rsid w:val="00245B93"/>
    <w:rsid w:val="002E3ECE"/>
    <w:rsid w:val="002E6DAA"/>
    <w:rsid w:val="00300C0D"/>
    <w:rsid w:val="0031225C"/>
    <w:rsid w:val="00315073"/>
    <w:rsid w:val="00316DF1"/>
    <w:rsid w:val="00341BEE"/>
    <w:rsid w:val="00382879"/>
    <w:rsid w:val="003939A9"/>
    <w:rsid w:val="0047343F"/>
    <w:rsid w:val="0054155E"/>
    <w:rsid w:val="00546669"/>
    <w:rsid w:val="0056650E"/>
    <w:rsid w:val="0059260B"/>
    <w:rsid w:val="005E6672"/>
    <w:rsid w:val="00652FF7"/>
    <w:rsid w:val="0068029A"/>
    <w:rsid w:val="006849FC"/>
    <w:rsid w:val="006A3778"/>
    <w:rsid w:val="006B6A72"/>
    <w:rsid w:val="006B7F52"/>
    <w:rsid w:val="00706E2B"/>
    <w:rsid w:val="007B46E5"/>
    <w:rsid w:val="007B59F3"/>
    <w:rsid w:val="007E21F6"/>
    <w:rsid w:val="00811F6C"/>
    <w:rsid w:val="00823DB4"/>
    <w:rsid w:val="00827ADC"/>
    <w:rsid w:val="00883FF6"/>
    <w:rsid w:val="00894479"/>
    <w:rsid w:val="008E245B"/>
    <w:rsid w:val="008E3A57"/>
    <w:rsid w:val="008E5344"/>
    <w:rsid w:val="00900092"/>
    <w:rsid w:val="00901CF8"/>
    <w:rsid w:val="00944F64"/>
    <w:rsid w:val="00956CF2"/>
    <w:rsid w:val="00981D4F"/>
    <w:rsid w:val="00985727"/>
    <w:rsid w:val="009B2D89"/>
    <w:rsid w:val="009D1DBE"/>
    <w:rsid w:val="00A60653"/>
    <w:rsid w:val="00AA63A8"/>
    <w:rsid w:val="00AB53C0"/>
    <w:rsid w:val="00AE7B1B"/>
    <w:rsid w:val="00B45A87"/>
    <w:rsid w:val="00C2361F"/>
    <w:rsid w:val="00C45F40"/>
    <w:rsid w:val="00C70D3A"/>
    <w:rsid w:val="00CB6F16"/>
    <w:rsid w:val="00CC184C"/>
    <w:rsid w:val="00CC4686"/>
    <w:rsid w:val="00CD07E5"/>
    <w:rsid w:val="00CD352F"/>
    <w:rsid w:val="00D02F64"/>
    <w:rsid w:val="00D21BCE"/>
    <w:rsid w:val="00D563C5"/>
    <w:rsid w:val="00D83BB2"/>
    <w:rsid w:val="00D85C1E"/>
    <w:rsid w:val="00DF2C02"/>
    <w:rsid w:val="00E13F17"/>
    <w:rsid w:val="00E911C2"/>
    <w:rsid w:val="00EC54A8"/>
    <w:rsid w:val="00EE3443"/>
    <w:rsid w:val="00EF707D"/>
    <w:rsid w:val="00F15221"/>
    <w:rsid w:val="00F57A3B"/>
    <w:rsid w:val="00F95DEC"/>
    <w:rsid w:val="04A3706E"/>
    <w:rsid w:val="113F2FCC"/>
    <w:rsid w:val="164D6BEE"/>
    <w:rsid w:val="19C13785"/>
    <w:rsid w:val="1CE013D3"/>
    <w:rsid w:val="1DBB25AB"/>
    <w:rsid w:val="1DF2471E"/>
    <w:rsid w:val="20C94D64"/>
    <w:rsid w:val="228C20B3"/>
    <w:rsid w:val="25670353"/>
    <w:rsid w:val="25A353AB"/>
    <w:rsid w:val="2D4E4F64"/>
    <w:rsid w:val="2E4E7B72"/>
    <w:rsid w:val="2FC61CE8"/>
    <w:rsid w:val="35E6390A"/>
    <w:rsid w:val="3661344B"/>
    <w:rsid w:val="38914951"/>
    <w:rsid w:val="44954143"/>
    <w:rsid w:val="458D2B0E"/>
    <w:rsid w:val="48862B08"/>
    <w:rsid w:val="4AFC3E39"/>
    <w:rsid w:val="59654E0B"/>
    <w:rsid w:val="5CDE5699"/>
    <w:rsid w:val="62E53E99"/>
    <w:rsid w:val="698B2633"/>
    <w:rsid w:val="6BC05C13"/>
    <w:rsid w:val="758B334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nhideWhenUsed="0" w:uiPriority="99" w:semiHidden="0" w:name="heading 3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99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link w:val="9"/>
    <w:qFormat/>
    <w:uiPriority w:val="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iPriority w:val="99"/>
    <w:rPr>
      <w:sz w:val="18"/>
      <w:szCs w:val="18"/>
    </w:rPr>
  </w:style>
  <w:style w:type="paragraph" w:styleId="4">
    <w:name w:val="footer"/>
    <w:basedOn w:val="1"/>
    <w:link w:val="10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99"/>
    <w:pPr>
      <w:widowControl w:val="0"/>
      <w:jc w:val="both"/>
    </w:pPr>
    <w:rPr>
      <w:rFonts w:ascii="Times New Roman" w:hAnsi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标题 3 Char"/>
    <w:basedOn w:val="8"/>
    <w:link w:val="2"/>
    <w:semiHidden/>
    <w:qFormat/>
    <w:locked/>
    <w:uiPriority w:val="9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10">
    <w:name w:val="页脚 Char"/>
    <w:basedOn w:val="8"/>
    <w:link w:val="4"/>
    <w:locked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1">
    <w:name w:val="批注框文本 Char"/>
    <w:basedOn w:val="8"/>
    <w:link w:val="3"/>
    <w:semiHidden/>
    <w:locked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2">
    <w:name w:val="页眉 Char"/>
    <w:basedOn w:val="8"/>
    <w:link w:val="5"/>
    <w:locked/>
    <w:uiPriority w:val="99"/>
    <w:rPr>
      <w:rFonts w:ascii="Times New Roman" w:hAnsi="Times New Roman" w:eastAsia="宋体" w:cs="Times New Roman"/>
      <w:sz w:val="18"/>
      <w:szCs w:val="18"/>
    </w:rPr>
  </w:style>
  <w:style w:type="paragraph" w:styleId="13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1" Type="http://schemas.openxmlformats.org/officeDocument/2006/relationships/fontTable" Target="fontTable.xml"/><Relationship Id="rId80" Type="http://schemas.openxmlformats.org/officeDocument/2006/relationships/numbering" Target="numbering.xml"/><Relationship Id="rId8" Type="http://schemas.openxmlformats.org/officeDocument/2006/relationships/image" Target="media/image3.png"/><Relationship Id="rId79" Type="http://schemas.openxmlformats.org/officeDocument/2006/relationships/customXml" Target="../customXml/item1.xml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jpe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2</Pages>
  <Words>51</Words>
  <Characters>293</Characters>
  <Lines>2</Lines>
  <Paragraphs>1</Paragraphs>
  <TotalTime>0</TotalTime>
  <ScaleCrop>false</ScaleCrop>
  <LinksUpToDate>false</LinksUpToDate>
  <CharactersWithSpaces>343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2019-07-12T00:26:00Z</dcterms:created>
  <dc:creator>微软用户</dc:creator>
  <cp:lastModifiedBy>征</cp:lastModifiedBy>
  <dcterms:modified xsi:type="dcterms:W3CDTF">2020-06-13T01:56:10Z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