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4"/>
        </w:rPr>
        <w:t>PROJET DE FIN D'ÉTUDES — MASTER FINANCE ET DATA SCIENCE</w:t>
      </w:r>
    </w:p>
    <w:p>
      <w:pPr>
        <w:jc w:val="center"/>
      </w:pPr>
      <w:r>
        <w:rPr>
          <w:rFonts w:ascii="Calibri" w:hAnsi="Calibri"/>
          <w:i/>
          <w:sz w:val="22"/>
        </w:rPr>
        <w:t>FSJES Mohammedia — Université Hassan II de Casablanca</w:t>
      </w:r>
    </w:p>
    <w:p>
      <w:pPr>
        <w:jc w:val="center"/>
      </w:pPr>
      <w:r>
        <w:rPr>
          <w:rFonts w:ascii="Calibri" w:hAnsi="Calibri"/>
          <w:i/>
          <w:sz w:val="22"/>
        </w:rPr>
        <w:t>En collaboration avec PEAQOCK</w:t>
      </w:r>
    </w:p>
    <w:p>
      <w:r>
        <w:rPr>
          <w:rFonts w:ascii="Calibri" w:hAnsi="Calibri"/>
        </w:rPr>
      </w:r>
    </w:p>
    <w:p>
      <w:pPr>
        <w:jc w:val="center"/>
      </w:pPr>
      <w:r>
        <w:rPr>
          <w:rFonts w:ascii="Calibri" w:hAnsi="Calibri"/>
          <w:b/>
          <w:sz w:val="32"/>
        </w:rPr>
        <w:t>PLAN DÉTAILLÉ DU MÉMOIRE</w:t>
      </w:r>
    </w:p>
    <w:p>
      <w:r>
        <w:rPr>
          <w:rFonts w:ascii="Calibri" w:hAnsi="Calibri"/>
        </w:rPr>
      </w:r>
    </w:p>
    <w:p>
      <w:pPr>
        <w:jc w:val="center"/>
      </w:pPr>
      <w:r>
        <w:rPr>
          <w:rFonts w:ascii="Calibri" w:hAnsi="Calibri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rFonts w:ascii="Calibri" w:hAnsi="Calibri"/>
          <w:b/>
          <w:sz w:val="28"/>
        </w:rPr>
        <w:t>TITRE DU MÉMOIRE</w:t>
      </w:r>
    </w:p>
    <w:p>
      <w:pPr>
        <w:jc w:val="center"/>
      </w:pPr>
      <w:r>
        <w:rPr>
          <w:rFonts w:ascii="Calibri" w:hAnsi="Calibri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rFonts w:ascii="Calibri" w:hAnsi="Calibri"/>
          <w:b/>
          <w:i w:val="0"/>
        </w:rPr>
        <w:t>« Conception et implémentation d'un agent multi-signaux d'aide à la décision d'investissement pour les marchés émergents : application à l'action Attijariwafa Bank à la Bourse de Casablanca »</w:t>
      </w:r>
    </w:p>
    <w:p>
      <w:pPr>
        <w:jc w:val="center"/>
      </w:pPr>
      <w:r>
        <w:rPr>
          <w:rFonts w:ascii="Calibri" w:hAnsi="Calibri"/>
          <w:b w:val="0"/>
          <w:i/>
        </w:rPr>
        <w:t xml:space="preserve">Sous-titre académique : </w:t>
      </w:r>
      <w:r>
        <w:rPr>
          <w:rFonts w:ascii="Calibri" w:hAnsi="Calibri"/>
          <w:b w:val="0"/>
          <w:i w:val="0"/>
        </w:rPr>
        <w:t>Une approche hybride combinant analyse fondamentale, analyse technique, indicateurs macroéconomiques et traitement automatique du langage naturel des actualités financières.</w:t>
      </w:r>
    </w:p>
    <w:p>
      <w:r>
        <w:rPr>
          <w:rFonts w:ascii="Calibri" w:hAnsi="Calibri"/>
        </w:rPr>
      </w:r>
    </w:p>
    <w:p>
      <w:pPr>
        <w:jc w:val="center"/>
      </w:pPr>
      <w:r>
        <w:rPr>
          <w:rFonts w:ascii="Calibri" w:hAnsi="Calibri"/>
        </w:rPr>
        <w:t>Étudiant : Omar ARHOUNE</w:t>
      </w:r>
    </w:p>
    <w:p>
      <w:pPr>
        <w:jc w:val="center"/>
      </w:pPr>
      <w:r>
        <w:rPr>
          <w:rFonts w:ascii="Calibri" w:hAnsi="Calibri"/>
        </w:rPr>
        <w:t>Encadrante académique : Mme Amal EL MZABI</w:t>
      </w:r>
    </w:p>
    <w:p>
      <w:pPr>
        <w:jc w:val="center"/>
      </w:pPr>
      <w:r>
        <w:rPr>
          <w:rFonts w:ascii="Calibri" w:hAnsi="Calibri"/>
        </w:rPr>
        <w:t>Entreprise d'accueil : Peaqock</w:t>
      </w:r>
    </w:p>
    <w:p>
      <w:r>
        <w:br w:type="page"/>
      </w:r>
    </w:p>
    <w:p>
      <w:pPr>
        <w:jc w:val="center"/>
      </w:pPr>
      <w:r>
        <w:rPr>
          <w:rFonts w:ascii="Calibri" w:hAnsi="Calibri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rFonts w:ascii="Calibri" w:hAnsi="Calibri"/>
          <w:b/>
          <w:sz w:val="28"/>
        </w:rPr>
        <w:t>PROBLÉMATIQUE CENTRALE</w:t>
      </w:r>
    </w:p>
    <w:p>
      <w:pPr>
        <w:jc w:val="center"/>
      </w:pPr>
      <w:r>
        <w:rPr>
          <w:rFonts w:ascii="Calibri" w:hAnsi="Calibri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ind w:left="567" w:right="567"/>
      </w:pPr>
      <w:r>
        <w:rPr>
          <w:b/>
          <w:i/>
        </w:rPr>
        <w:t>« Dans quelle mesure un agent algorithmique multi-signaux à base de règles pondérées, intégrant simultanément des dimensions fondamentale, technique, macroéconomique et médiatique, peut-il améliorer la qualité de la décision d'investissement sur un marché émergent peu liquide tel que la Bourse de Casablanca, en particulier sur le titre Attijariwafa Bank ? »</w:t>
      </w:r>
    </w:p>
    <w:p>
      <w:r>
        <w:rPr>
          <w:rFonts w:ascii="Calibri" w:hAnsi="Calibri"/>
        </w:rPr>
      </w:r>
    </w:p>
    <w:p>
      <w:r>
        <w:rPr>
          <w:rFonts w:ascii="Calibri" w:hAnsi="Calibri"/>
          <w:b/>
        </w:rPr>
        <w:t>Sous-questions de recherche :</w:t>
      </w:r>
    </w:p>
    <w:p>
      <w:pPr>
        <w:pStyle w:val="ListNumber"/>
      </w:pPr>
      <w:r>
        <w:rPr>
          <w:rFonts w:ascii="Calibri" w:hAnsi="Calibri"/>
        </w:rPr>
        <w:t>Quels sont les apports et les limites des théories financières classiques (efficience des marchés, finance comportementale, valorisation fondamentale, analyse technique) lorsqu'elles sont confrontées aux spécificités structurelles d'un marché émergent à faible liquidité comme la Bourse de Casablanca ?</w:t>
      </w:r>
    </w:p>
    <w:p>
      <w:pPr>
        <w:pStyle w:val="ListNumber"/>
      </w:pPr>
      <w:r>
        <w:rPr>
          <w:rFonts w:ascii="Calibri" w:hAnsi="Calibri"/>
        </w:rPr>
        <w:t>Quelle architecture technique et quelle logique de pondération permettent d'agréger de manière transparente, auditable et reproductible des signaux hétérogènes (quantitatifs, qualitatifs, médiatiques) en une recommandation d'investissement actionnable ?</w:t>
      </w:r>
    </w:p>
    <w:p>
      <w:pPr>
        <w:pStyle w:val="ListNumber"/>
      </w:pPr>
      <w:r>
        <w:rPr>
          <w:rFonts w:ascii="Calibri" w:hAnsi="Calibri"/>
        </w:rPr>
        <w:t>L'intégration d'une couche d'analyse de sentiment fondée sur des sources d'information marocaines apporte-t-elle un gain informationnel mesurable par rapport à un système purement quantitatif ?</w:t>
      </w:r>
    </w:p>
    <w:p>
      <w:pPr>
        <w:pStyle w:val="ListNumber"/>
      </w:pPr>
      <w:r>
        <w:rPr>
          <w:rFonts w:ascii="Calibri" w:hAnsi="Calibri"/>
        </w:rPr>
        <w:t>Au regard d'un backtesting rigoureux (rendement, ratio de Sharpe, drawdown maximal) sur un historique pertinent, l'agent multi-signaux surperforme-t-il une stratégie passive de type « buy-and-hold » sur l'indice MASI ou sur le titre Attijariwafa Bank ?</w:t>
      </w:r>
    </w:p>
    <w:p>
      <w:r>
        <w:br w:type="page"/>
      </w:r>
    </w:p>
    <w:p>
      <w:pPr>
        <w:jc w:val="center"/>
      </w:pPr>
      <w:r>
        <w:rPr>
          <w:rFonts w:ascii="Calibri" w:hAnsi="Calibri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rFonts w:ascii="Calibri" w:hAnsi="Calibri"/>
          <w:b/>
          <w:sz w:val="28"/>
        </w:rPr>
        <w:t>PLAN DÉTAILLÉ DU MÉMOIRE (80–120 pages)</w:t>
      </w:r>
    </w:p>
    <w:p>
      <w:pPr>
        <w:jc w:val="center"/>
      </w:pPr>
      <w:r>
        <w:rPr>
          <w:rFonts w:ascii="Calibri" w:hAnsi="Calibri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PAGES PRÉLIMINAIRES</w:t>
      </w:r>
    </w:p>
    <w:p>
      <w:pPr>
        <w:pStyle w:val="ListBullet"/>
      </w:pPr>
      <w:r>
        <w:t>Page de garde</w:t>
      </w:r>
    </w:p>
    <w:p>
      <w:pPr>
        <w:pStyle w:val="ListBullet"/>
      </w:pPr>
      <w:r>
        <w:t>Résumé en français (≈ 250 mots)</w:t>
      </w:r>
    </w:p>
    <w:p>
      <w:pPr>
        <w:pStyle w:val="ListBullet"/>
      </w:pPr>
      <w:r>
        <w:t>Abstract en anglais</w:t>
      </w:r>
    </w:p>
    <w:p>
      <w:pPr>
        <w:pStyle w:val="ListBullet"/>
      </w:pPr>
      <w:r>
        <w:t>ملخص بالعربية</w:t>
      </w:r>
    </w:p>
    <w:p>
      <w:pPr>
        <w:pStyle w:val="ListBullet"/>
      </w:pPr>
      <w:r>
        <w:t>Dédicace</w:t>
      </w:r>
    </w:p>
    <w:p>
      <w:pPr>
        <w:pStyle w:val="ListBullet"/>
      </w:pPr>
      <w:r>
        <w:t>Remerciements (Mme Amal EL MZABI, Peaqock, FSJES Mohammedia – Université Hassan II de Casablanca, famille)</w:t>
      </w:r>
    </w:p>
    <w:p>
      <w:pPr>
        <w:pStyle w:val="ListBullet"/>
      </w:pPr>
      <w:r>
        <w:t>Sommaire</w:t>
      </w:r>
    </w:p>
    <w:p>
      <w:pPr>
        <w:pStyle w:val="ListBullet"/>
      </w:pPr>
      <w:r>
        <w:t>Liste des abréviations, sigles et acronymes (ATW, MASI, AMMC, BVC, DCF, DDM, EMH, NLP, RSI, MACD, VaR, CAPM, MEDAF, GBM, etc.)</w:t>
      </w:r>
    </w:p>
    <w:p>
      <w:pPr>
        <w:pStyle w:val="ListBullet"/>
      </w:pPr>
      <w:r>
        <w:t>Liste des tableaux</w:t>
      </w:r>
    </w:p>
    <w:p>
      <w:pPr>
        <w:pStyle w:val="ListBullet"/>
      </w:pPr>
      <w:r>
        <w:t>Liste des figures</w:t>
      </w:r>
    </w:p>
    <w:p>
      <w:pPr>
        <w:pStyle w:val="Heading1"/>
      </w:pPr>
      <w:r>
        <w:t>INTRODUCTION GÉNÉRALE (pages 1–8)</w:t>
      </w:r>
    </w:p>
    <w:p>
      <w:pPr>
        <w:pStyle w:val="Heading2"/>
      </w:pPr>
      <w:r>
        <w:t>1. Contexte et mise en situation</w:t>
      </w:r>
    </w:p>
    <w:p>
      <w:r>
        <w:rPr>
          <w:rFonts w:ascii="Calibri" w:hAnsi="Calibri"/>
          <w:i/>
        </w:rPr>
        <w:t>Trois paragraphes introductifs ancrés dans la littérature :</w:t>
      </w:r>
    </w:p>
    <w:p>
      <w:r>
        <w:rPr>
          <w:rFonts w:ascii="Calibri" w:hAnsi="Calibri"/>
          <w:b/>
          <w:i/>
        </w:rPr>
        <w:t xml:space="preserve">Paragraphe 1 — La révolution algorithmique de la finance. </w:t>
      </w:r>
      <w:r>
        <w:rPr>
          <w:rFonts w:ascii="Calibri" w:hAnsi="Calibri"/>
          <w:b w:val="0"/>
          <w:i w:val="0"/>
        </w:rPr>
        <w:t>Mobiliser : Aldridge (2013) sur le trading haute fréquence, Lopez de Prado (2018) Advances in Financial Machine Learning, Hendershott, Jones &amp; Menkveld (2011) sur l'impact de l'algorithmique sur la liquidité.</w:t>
      </w:r>
    </w:p>
    <w:p>
      <w:r>
        <w:rPr>
          <w:rFonts w:ascii="Calibri" w:hAnsi="Calibri"/>
          <w:b/>
          <w:i/>
        </w:rPr>
        <w:t xml:space="preserve">Paragraphe 2 — Les marchés émergents et leurs spécificités. </w:t>
      </w:r>
      <w:r>
        <w:rPr>
          <w:rFonts w:ascii="Calibri" w:hAnsi="Calibri"/>
          <w:b w:val="0"/>
          <w:i w:val="0"/>
        </w:rPr>
        <w:t>Mobiliser : Bekaert &amp; Harvey (1997, 2002), Lesmond (2005) sur la liquidité, Harvey (1995) sur la prévisibilité des rendements émergents.</w:t>
      </w:r>
    </w:p>
    <w:p>
      <w:r>
        <w:rPr>
          <w:rFonts w:ascii="Calibri" w:hAnsi="Calibri"/>
          <w:b/>
          <w:i/>
        </w:rPr>
        <w:t xml:space="preserve">Paragraphe 3 — La Bourse de Casablanca et l'enjeu national. </w:t>
      </w:r>
      <w:r>
        <w:rPr>
          <w:rFonts w:ascii="Calibri" w:hAnsi="Calibri"/>
          <w:b w:val="0"/>
          <w:i w:val="0"/>
        </w:rPr>
        <w:t>Citer rapports AMMC, BVC, Bank Al-Maghrib, et la position systémique d'Attijariwafa Bank dans l'indice MASI.</w:t>
      </w:r>
    </w:p>
    <w:p>
      <w:pPr>
        <w:pStyle w:val="Heading2"/>
      </w:pPr>
      <w:r>
        <w:t>2. Objectif du travail</w:t>
      </w:r>
    </w:p>
    <w:p>
      <w:r>
        <w:rPr>
          <w:rFonts w:ascii="Calibri" w:hAnsi="Calibri"/>
        </w:rPr>
        <w:t>Concevoir, implémenter et évaluer un agent algorithmique d'aide à la décision combinant quatre familles de signaux pour produire un verdict (ACHAT / CONSERVER / VENDRE) explicable et auditable sur le titre ATW.</w:t>
      </w:r>
    </w:p>
    <w:p>
      <w:pPr>
        <w:pStyle w:val="Heading2"/>
      </w:pPr>
      <w:r>
        <w:t>3. Problématique et sous-questions</w:t>
      </w:r>
    </w:p>
    <w:p>
      <w:r>
        <w:rPr>
          <w:rFonts w:ascii="Calibri" w:hAnsi="Calibri"/>
          <w:i/>
        </w:rPr>
        <w:t>(Rappel — voir ci-dessus.)</w:t>
      </w:r>
    </w:p>
    <w:p>
      <w:pPr>
        <w:pStyle w:val="Heading2"/>
      </w:pPr>
      <w:r>
        <w:t>4. Méthodologie</w:t>
      </w:r>
    </w:p>
    <w:p>
      <w:pPr>
        <w:pStyle w:val="ListBullet"/>
      </w:pPr>
      <w:r>
        <w:rPr>
          <w:rFonts w:ascii="Calibri" w:hAnsi="Calibri"/>
          <w:b/>
        </w:rPr>
        <w:t xml:space="preserve">Méthode de recherche : </w:t>
      </w:r>
      <w:r>
        <w:rPr>
          <w:rFonts w:ascii="Calibri" w:hAnsi="Calibri"/>
        </w:rPr>
        <w:t>approche mixte (revue systématique + démarche design science research).</w:t>
      </w:r>
    </w:p>
    <w:p>
      <w:pPr>
        <w:pStyle w:val="ListBullet"/>
      </w:pPr>
      <w:r>
        <w:rPr>
          <w:rFonts w:ascii="Calibri" w:hAnsi="Calibri"/>
          <w:b/>
        </w:rPr>
        <w:t xml:space="preserve">Sources documentaires : </w:t>
      </w:r>
      <w:r>
        <w:rPr>
          <w:rFonts w:ascii="Calibri" w:hAnsi="Calibri"/>
        </w:rPr>
        <w:t>journaux académiques classés (FT50, ABS), littérature grise (rapports AMMC, BVC, BAM, FMI, Banque Mondiale).</w:t>
      </w:r>
    </w:p>
    <w:p>
      <w:pPr>
        <w:pStyle w:val="ListBullet"/>
      </w:pPr>
      <w:r>
        <w:rPr>
          <w:rFonts w:ascii="Calibri" w:hAnsi="Calibri"/>
          <w:b/>
        </w:rPr>
        <w:t xml:space="preserve">Données primaires : </w:t>
      </w:r>
      <w:r>
        <w:rPr>
          <w:rFonts w:ascii="Calibri" w:hAnsi="Calibri"/>
        </w:rPr>
        <w:t>scraping de 6 sources de presse marocaines, données BVC, Medias24, MarketScreener.</w:t>
      </w:r>
    </w:p>
    <w:p>
      <w:pPr>
        <w:pStyle w:val="ListBullet"/>
      </w:pPr>
      <w:r>
        <w:rPr>
          <w:rFonts w:ascii="Calibri" w:hAnsi="Calibri"/>
          <w:b/>
        </w:rPr>
        <w:t xml:space="preserve">Outils : </w:t>
      </w:r>
      <w:r>
        <w:rPr>
          <w:rFonts w:ascii="Calibri" w:hAnsi="Calibri"/>
        </w:rPr>
        <w:t>Python 3.10+, PostgreSQL, Docker, Selenium, scikit-learn, NLTK/spaCy, Groq LLM.</w:t>
      </w:r>
    </w:p>
    <w:p>
      <w:pPr>
        <w:pStyle w:val="ListBullet"/>
      </w:pPr>
      <w:r>
        <w:rPr>
          <w:rFonts w:ascii="Calibri" w:hAnsi="Calibri"/>
          <w:b/>
        </w:rPr>
        <w:t xml:space="preserve">Démarche : </w:t>
      </w:r>
      <w:r>
        <w:rPr>
          <w:rFonts w:ascii="Calibri" w:hAnsi="Calibri"/>
        </w:rPr>
        <w:t>(a) revue théorique → (b) modélisation conceptuelle → (c) implémentation → (d) backtesting → (e) interprétation.</w:t>
      </w:r>
    </w:p>
    <w:p>
      <w:pPr>
        <w:pStyle w:val="Heading2"/>
      </w:pPr>
      <w:r>
        <w:t>5. Structure du mémoire</w:t>
      </w:r>
    </w:p>
    <w:p>
      <w:r>
        <w:rPr>
          <w:rFonts w:ascii="Calibri" w:hAnsi="Calibri"/>
        </w:rPr>
        <w:t>Annonce des trois chapitres : arsenal théorique, contexte d'application, conception et implémentation pratique.</w:t>
      </w:r>
    </w:p>
    <w:p>
      <w:r>
        <w:br w:type="page"/>
      </w:r>
    </w:p>
    <w:p>
      <w:pPr>
        <w:pStyle w:val="Heading1"/>
      </w:pPr>
      <w:r>
        <w:t>CHAPITRE 1 — ARSENAL CONCEPTUEL ET THÉORIQUE : DES THÉORIES DE MARCHÉ AUX SYSTÈMES ALGORITHMIQUES MULTI-SIGNAUX (pages 9–45)</w:t>
      </w:r>
    </w:p>
    <w:p>
      <w:r>
        <w:rPr>
          <w:rFonts w:ascii="Calibri" w:hAnsi="Calibri"/>
          <w:b/>
          <w:i/>
        </w:rPr>
        <w:t>Introduction du Chapitre 1</w:t>
      </w:r>
    </w:p>
    <w:p>
      <w:pPr>
        <w:pStyle w:val="Heading2"/>
      </w:pPr>
      <w:r>
        <w:t>Section 1 — Fondements théoriques de la décision d'investissement en bourse</w:t>
      </w:r>
    </w:p>
    <w:p>
      <w:pPr>
        <w:pStyle w:val="Heading3"/>
      </w:pPr>
      <w:r>
        <w:t>I. La théorie de l'efficience des marchés et ses contestations</w:t>
      </w:r>
    </w:p>
    <w:p>
      <w:r>
        <w:rPr>
          <w:rFonts w:ascii="Calibri" w:hAnsi="Calibri"/>
          <w:b/>
          <w:i w:val="0"/>
        </w:rPr>
        <w:t>A. L'hypothèse d'efficience informationnelle (EMH)</w:t>
      </w:r>
    </w:p>
    <w:p>
      <w:pPr>
        <w:ind w:left="567"/>
      </w:pPr>
      <w:r>
        <w:rPr>
          <w:rFonts w:ascii="Calibri" w:hAnsi="Calibri"/>
        </w:rPr>
        <w:t>1. Les trois formes d'efficience : faible, semi-forte, forte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Fama, E. F. (1970). Efficient capital markets: A review of theory and empirical work. The Journal of Finance, 25(2), 383–417.</w:t>
      </w:r>
    </w:p>
    <w:p>
      <w:pPr>
        <w:ind w:left="567"/>
      </w:pPr>
      <w:r>
        <w:rPr>
          <w:rFonts w:ascii="Calibri" w:hAnsi="Calibri"/>
        </w:rPr>
        <w:t>2. Modèles d'évaluation conditionnels et marche aléatoire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Samuelson, P. A. (1965). Proof that properly anticipated prices fluctuate randomly. Industrial Management Review, 6(2), 41–49.</w:t>
      </w:r>
    </w:p>
    <w:p>
      <w:pPr>
        <w:ind w:left="567"/>
      </w:pPr>
      <w:r>
        <w:rPr>
          <w:rFonts w:ascii="Calibri" w:hAnsi="Calibri"/>
        </w:rPr>
        <w:t>3. Le modèle d'évaluation des actifs financiers (MEDAF / CAPM)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Sharpe, W. F. (1964). Capital asset prices: A theory of market equilibrium under conditions of risk. The Journal of Finance, 19(3), 425–442.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Lintner, J. (1965). The valuation of risk assets and the selection of risky investments. Review of Economics and Statistics, 47(1), 13–37.</w:t>
      </w:r>
    </w:p>
    <w:p>
      <w:r>
        <w:rPr>
          <w:rFonts w:ascii="Calibri" w:hAnsi="Calibri"/>
          <w:b/>
          <w:i w:val="0"/>
        </w:rPr>
        <w:t>B. Les anomalies empiriques et la remise en cause de l'EMH</w:t>
      </w:r>
    </w:p>
    <w:p>
      <w:pPr>
        <w:ind w:left="567"/>
      </w:pPr>
      <w:r>
        <w:rPr>
          <w:rFonts w:ascii="Calibri" w:hAnsi="Calibri"/>
        </w:rPr>
        <w:t>1. Anomalies calendaires, momentum, value premium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Jegadeesh, N., &amp; Titman, S. (1993). Returns to buying winners and selling losers. The Journal of Finance, 48(1), 65–91.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Fama, E. F., &amp; French, K. R. (1993). Common risk factors in the returns on stocks and bonds. Journal of Financial Economics, 33(1), 3–56.</w:t>
      </w:r>
    </w:p>
    <w:p>
      <w:pPr>
        <w:ind w:left="567"/>
      </w:pPr>
      <w:r>
        <w:rPr>
          <w:rFonts w:ascii="Calibri" w:hAnsi="Calibri"/>
        </w:rPr>
        <w:t>2. Sous-réaction et sur-réaction aux annonces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De Bondt, W. F. M., &amp; Thaler, R. (1985). Does the stock market overreact? The Journal of Finance, 40(3), 793–805.</w:t>
      </w:r>
    </w:p>
    <w:p>
      <w:pPr>
        <w:pStyle w:val="Heading3"/>
      </w:pPr>
      <w:r>
        <w:t>II. La finance comportementale</w:t>
      </w:r>
    </w:p>
    <w:p>
      <w:r>
        <w:rPr>
          <w:rFonts w:ascii="Calibri" w:hAnsi="Calibri"/>
          <w:b/>
          <w:i w:val="0"/>
        </w:rPr>
        <w:t>A. Biais cognitifs et heuristiques</w:t>
      </w:r>
    </w:p>
    <w:p>
      <w:pPr>
        <w:ind w:left="567"/>
      </w:pPr>
      <w:r>
        <w:rPr>
          <w:rFonts w:ascii="Calibri" w:hAnsi="Calibri"/>
        </w:rPr>
        <w:t>1. Théorie des perspectives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Kahneman, D., &amp; Tversky, A. (1979). Prospect theory: An analysis of decision under risk. Econometrica, 47(2), 263–291.</w:t>
      </w:r>
    </w:p>
    <w:p>
      <w:pPr>
        <w:ind w:left="567"/>
      </w:pPr>
      <w:r>
        <w:rPr>
          <w:rFonts w:ascii="Calibri" w:hAnsi="Calibri"/>
        </w:rPr>
        <w:t>2. Excès de confiance, ancrage, biais de disponibilité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Barberis, N., &amp; Thaler, R. (2003). A survey of behavioral finance. Handbook of the Economics of Finance, 1, 1053–1128.</w:t>
      </w:r>
    </w:p>
    <w:p>
      <w:r>
        <w:rPr>
          <w:rFonts w:ascii="Calibri" w:hAnsi="Calibri"/>
          <w:b/>
          <w:i w:val="0"/>
        </w:rPr>
        <w:t>B. Implications pour la modélisation algorithmique</w:t>
      </w:r>
    </w:p>
    <w:p>
      <w:pPr>
        <w:ind w:left="567"/>
      </w:pPr>
      <w:r>
        <w:rPr>
          <w:rFonts w:ascii="Calibri" w:hAnsi="Calibri"/>
        </w:rPr>
        <w:t>1. Sentiment du marché et bruits informationnels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Baker, M., &amp; Wurgler, J. (2007). Investor sentiment in the stock market. Journal of Economic Perspectives, 21(2), 129–151.</w:t>
      </w:r>
    </w:p>
    <w:p>
      <w:pPr>
        <w:ind w:left="567"/>
      </w:pPr>
      <w:r>
        <w:rPr>
          <w:rFonts w:ascii="Calibri" w:hAnsi="Calibri"/>
        </w:rPr>
        <w:t>2. Justification de l'intégration NLP des actualités</w:t>
      </w:r>
    </w:p>
    <w:p>
      <w:pPr>
        <w:pStyle w:val="Heading2"/>
      </w:pPr>
      <w:r>
        <w:t>Section 2 — Méthodes de valorisation et d'analyse</w:t>
      </w:r>
    </w:p>
    <w:p>
      <w:pPr>
        <w:pStyle w:val="Heading3"/>
      </w:pPr>
      <w:r>
        <w:t>I. L'analyse fondamentale</w:t>
      </w:r>
    </w:p>
    <w:p>
      <w:r>
        <w:rPr>
          <w:rFonts w:ascii="Calibri" w:hAnsi="Calibri"/>
          <w:b/>
          <w:i w:val="0"/>
        </w:rPr>
        <w:t>A. Approches par actualisation des flux</w:t>
      </w:r>
    </w:p>
    <w:p>
      <w:pPr>
        <w:ind w:left="567"/>
      </w:pPr>
      <w:r>
        <w:rPr>
          <w:rFonts w:ascii="Calibri" w:hAnsi="Calibri"/>
        </w:rPr>
        <w:t>1. Modèle des flux de trésorerie actualisés (DCF)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Damodaran, A. (2012). Investment Valuation: Tools and Techniques for Determining the Value of Any Asset (3rd ed.). Wiley.</w:t>
      </w:r>
    </w:p>
    <w:p>
      <w:pPr>
        <w:ind w:left="567"/>
      </w:pPr>
      <w:r>
        <w:rPr>
          <w:rFonts w:ascii="Calibri" w:hAnsi="Calibri"/>
        </w:rPr>
        <w:t>2. Modèle de Gordon-Shapiro et Discounted Dividend Model (DDM)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Gordon, M. J., &amp; Shapiro, E. (1956). Capital equipment analysis: The required rate of profit. Management Science, 3(1), 102–110.</w:t>
      </w:r>
    </w:p>
    <w:p>
      <w:pPr>
        <w:ind w:left="567"/>
      </w:pPr>
      <w:r>
        <w:rPr>
          <w:rFonts w:ascii="Calibri" w:hAnsi="Calibri"/>
        </w:rPr>
        <w:t>3. Coût moyen pondéré du capital (WACC)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Modigliani, F., &amp; Miller, M. H. (1958). The cost of capital, corporation finance and the theory of investment. The American Economic Review, 48(3), 261–297.</w:t>
      </w:r>
    </w:p>
    <w:p>
      <w:r>
        <w:rPr>
          <w:rFonts w:ascii="Calibri" w:hAnsi="Calibri"/>
          <w:b/>
          <w:i w:val="0"/>
        </w:rPr>
        <w:t>B. Approches par les fondamentaux comptables</w:t>
      </w:r>
    </w:p>
    <w:p>
      <w:pPr>
        <w:ind w:left="567"/>
      </w:pPr>
      <w:r>
        <w:rPr>
          <w:rFonts w:ascii="Calibri" w:hAnsi="Calibri"/>
        </w:rPr>
        <w:t>1. Méthode de Benjamin Graham (valeur intrinsèque)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Graham, B., &amp; Dodd, D. (1934 / 2008 ed.). Security Analysis. McGraw-Hill.</w:t>
      </w:r>
    </w:p>
    <w:p>
      <w:pPr>
        <w:ind w:left="567"/>
      </w:pPr>
      <w:r>
        <w:rPr>
          <w:rFonts w:ascii="Calibri" w:hAnsi="Calibri"/>
        </w:rPr>
        <w:t>2. Multiples de marché : PER, P/B, P/S, EV/EBITDA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Liu, J., Nissim, D., &amp; Thomas, J. (2002). Equity valuation using multiples. Journal of Accounting Research, 40(1), 135–172.</w:t>
      </w:r>
    </w:p>
    <w:p>
      <w:pPr>
        <w:ind w:left="567"/>
      </w:pPr>
      <w:r>
        <w:rPr>
          <w:rFonts w:ascii="Calibri" w:hAnsi="Calibri"/>
        </w:rPr>
        <w:t>3. Spécificités de la valorisation des banques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Damodaran, A. (2009). Valuing financial service firms. Stern School of Business Working Paper.</w:t>
      </w:r>
    </w:p>
    <w:p>
      <w:r>
        <w:rPr>
          <w:rFonts w:ascii="Calibri" w:hAnsi="Calibri"/>
          <w:b/>
          <w:i w:val="0"/>
        </w:rPr>
        <w:t>C. Approches stochastiques : la simulation Monte Carlo</w:t>
      </w:r>
    </w:p>
    <w:p>
      <w:pPr>
        <w:ind w:left="567"/>
      </w:pPr>
      <w:r>
        <w:rPr>
          <w:rFonts w:ascii="Calibri" w:hAnsi="Calibri"/>
        </w:rPr>
        <w:t>1. Mouvement brownien géométrique (GBM)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Black, F., &amp; Scholes, M. (1973). The pricing of options and corporate liabilities. Journal of Political Economy, 81(3), 637–654.</w:t>
      </w:r>
    </w:p>
    <w:p>
      <w:pPr>
        <w:ind w:left="567"/>
      </w:pPr>
      <w:r>
        <w:rPr>
          <w:rFonts w:ascii="Calibri" w:hAnsi="Calibri"/>
        </w:rPr>
        <w:t>2. Application aux trajectoires de prix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Glasserman, P. (2003). Monte Carlo Methods in Financial Engineering. Springer.</w:t>
      </w:r>
    </w:p>
    <w:p>
      <w:pPr>
        <w:pStyle w:val="Heading3"/>
      </w:pPr>
      <w:r>
        <w:t>II. L'analyse technique</w:t>
      </w:r>
    </w:p>
    <w:p>
      <w:r>
        <w:rPr>
          <w:rFonts w:ascii="Calibri" w:hAnsi="Calibri"/>
          <w:b/>
          <w:i w:val="0"/>
        </w:rPr>
        <w:t>A. Hypothèses fondatrices et critique académique</w:t>
      </w:r>
    </w:p>
    <w:p>
      <w:pPr>
        <w:ind w:left="567"/>
      </w:pPr>
      <w:r>
        <w:rPr>
          <w:rFonts w:ascii="Calibri" w:hAnsi="Calibri"/>
        </w:rPr>
        <w:t>1. Trois principes de Charles Dow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Murphy, J. J. (1999). Technical Analysis of the Financial Markets. New York Institute of Finance.</w:t>
      </w:r>
    </w:p>
    <w:p>
      <w:pPr>
        <w:ind w:left="567"/>
      </w:pPr>
      <w:r>
        <w:rPr>
          <w:rFonts w:ascii="Calibri" w:hAnsi="Calibri"/>
        </w:rPr>
        <w:t>2. Validation empirique partielle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Brock, W., Lakonishok, J., &amp; LeBaron, B. (1992). Simple technical trading rules and the stochastic properties of stock returns. The Journal of Finance, 47(5), 1731–1764.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Lo, A. W., Mamaysky, H., &amp; Wang, J. (2000). Foundations of technical analysis. The Journal of Finance, 55(4), 1705–1765.</w:t>
      </w:r>
    </w:p>
    <w:p>
      <w:r>
        <w:rPr>
          <w:rFonts w:ascii="Calibri" w:hAnsi="Calibri"/>
          <w:b/>
          <w:i w:val="0"/>
        </w:rPr>
        <w:t>B. Indicateurs techniques retenus</w:t>
      </w:r>
    </w:p>
    <w:p>
      <w:pPr>
        <w:ind w:left="567"/>
      </w:pPr>
      <w:r>
        <w:rPr>
          <w:rFonts w:ascii="Calibri" w:hAnsi="Calibri"/>
        </w:rPr>
        <w:t>1. RSI (Wilder, 1978)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Wilder, J. W. (1978). New Concepts in Technical Trading Systems. Trend Research.</w:t>
      </w:r>
    </w:p>
    <w:p>
      <w:pPr>
        <w:ind w:left="567"/>
      </w:pPr>
      <w:r>
        <w:rPr>
          <w:rFonts w:ascii="Calibri" w:hAnsi="Calibri"/>
        </w:rPr>
        <w:t>2. MACD (Appel, 1979)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Appel, G. (2005). Technical Analysis: Power Tools for Active Investors. Financial Times Prentice Hall.</w:t>
      </w:r>
    </w:p>
    <w:p>
      <w:pPr>
        <w:ind w:left="567"/>
      </w:pPr>
      <w:r>
        <w:rPr>
          <w:rFonts w:ascii="Calibri" w:hAnsi="Calibri"/>
        </w:rPr>
        <w:t>3. Bandes de Bollinger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Bollinger, J. (2001). Bollinger on Bollinger Bands. McGraw-Hill.</w:t>
      </w:r>
    </w:p>
    <w:p>
      <w:pPr>
        <w:ind w:left="567"/>
      </w:pPr>
      <w:r>
        <w:rPr>
          <w:rFonts w:ascii="Calibri" w:hAnsi="Calibri"/>
        </w:rPr>
        <w:t>4. Average True Range (ATR) et gestion du risque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Wilder, J. W. (1978). New Concepts in Technical Trading Systems. Trend Research.</w:t>
      </w:r>
    </w:p>
    <w:p>
      <w:r>
        <w:rPr>
          <w:rFonts w:ascii="Calibri" w:hAnsi="Calibri"/>
          <w:b/>
          <w:i w:val="0"/>
        </w:rPr>
        <w:t>C. Microstructure du marché et carnet d'ordres</w:t>
      </w:r>
    </w:p>
    <w:p>
      <w:pPr>
        <w:ind w:left="567"/>
      </w:pPr>
      <w:r>
        <w:rPr>
          <w:rFonts w:ascii="Calibri" w:hAnsi="Calibri"/>
        </w:rPr>
        <w:t>1. Order imbalance et pression directionnelle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Cont, R., Kukanov, A., &amp; Stoikov, S. (2014). The price impact of order book events. Journal of Financial Econometrics, 12(1), 47–88.</w:t>
      </w:r>
    </w:p>
    <w:p>
      <w:pPr>
        <w:ind w:left="567"/>
      </w:pPr>
      <w:r>
        <w:rPr>
          <w:rFonts w:ascii="Calibri" w:hAnsi="Calibri"/>
        </w:rPr>
        <w:t>2. Spread bid-ask et liquidité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Amihud, Y. (2002). Illiquidity and stock returns. Journal of Financial Markets, 5(1), 31–56.</w:t>
      </w:r>
    </w:p>
    <w:p>
      <w:pPr>
        <w:pStyle w:val="Heading2"/>
      </w:pPr>
      <w:r>
        <w:t>Section 3 — Trading algorithmique et systèmes multi-signaux</w:t>
      </w:r>
    </w:p>
    <w:p>
      <w:pPr>
        <w:pStyle w:val="Heading3"/>
      </w:pPr>
      <w:r>
        <w:t>I. Trading algorithmique</w:t>
      </w:r>
    </w:p>
    <w:p>
      <w:r>
        <w:rPr>
          <w:rFonts w:ascii="Calibri" w:hAnsi="Calibri"/>
          <w:b/>
          <w:i w:val="0"/>
        </w:rPr>
        <w:t>A. Définitions, typologies, historique</w:t>
      </w:r>
    </w:p>
    <w:p>
      <w:pPr>
        <w:ind w:left="567"/>
      </w:pPr>
      <w:r>
        <w:rPr>
          <w:rFonts w:ascii="Calibri" w:hAnsi="Calibri"/>
        </w:rPr>
        <w:t>1. Du trading systématique au trading haute fréquence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Aldridge, I. (2013). High-Frequency Trading (2nd ed.). Wiley.</w:t>
      </w:r>
    </w:p>
    <w:p>
      <w:pPr>
        <w:ind w:left="567"/>
      </w:pPr>
      <w:r>
        <w:rPr>
          <w:rFonts w:ascii="Calibri" w:hAnsi="Calibri"/>
        </w:rPr>
        <w:t>2. Cadres réglementaires (MiFID II, AMF, AMMC)</w:t>
      </w:r>
    </w:p>
    <w:p>
      <w:r>
        <w:rPr>
          <w:rFonts w:ascii="Calibri" w:hAnsi="Calibri"/>
          <w:b/>
          <w:i w:val="0"/>
        </w:rPr>
        <w:t>B. Apprentissage statistique et IA en finance</w:t>
      </w:r>
    </w:p>
    <w:p>
      <w:pPr>
        <w:ind w:left="567"/>
      </w:pPr>
      <w:r>
        <w:rPr>
          <w:rFonts w:ascii="Calibri" w:hAnsi="Calibri"/>
        </w:rPr>
        <w:t>1. Machine learning supervisé en prédiction de rendements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Gu, S., Kelly, B., &amp; Xiu, D. (2020). Empirical asset pricing via machine learning. The Review of Financial Studies, 33(5), 2223–2273.</w:t>
      </w:r>
    </w:p>
    <w:p>
      <w:pPr>
        <w:ind w:left="567"/>
      </w:pPr>
      <w:r>
        <w:rPr>
          <w:rFonts w:ascii="Calibri" w:hAnsi="Calibri"/>
        </w:rPr>
        <w:t>2. Limites et risques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López de Prado, M. (2018). Advances in Financial Machine Learning. Wiley.</w:t>
      </w:r>
    </w:p>
    <w:p>
      <w:pPr>
        <w:pStyle w:val="Heading3"/>
      </w:pPr>
      <w:r>
        <w:t>II. Systèmes à base de règles pondérées et agents de décision</w:t>
      </w:r>
    </w:p>
    <w:p>
      <w:r>
        <w:rPr>
          <w:rFonts w:ascii="Calibri" w:hAnsi="Calibri"/>
          <w:b/>
          <w:i w:val="0"/>
        </w:rPr>
        <w:t>A. Justification du choix non-ML</w:t>
      </w:r>
    </w:p>
    <w:p>
      <w:pPr>
        <w:ind w:left="567"/>
      </w:pPr>
      <w:r>
        <w:rPr>
          <w:rFonts w:ascii="Calibri" w:hAnsi="Calibri"/>
        </w:rPr>
        <w:t>1. Auditabilité et transparence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Rudin, C. (2019). Stop explaining black box machine learning models for high stakes decisions. Nature Machine Intelligence, 1(5), 206–215.</w:t>
      </w:r>
    </w:p>
    <w:p>
      <w:pPr>
        <w:ind w:left="567"/>
      </w:pPr>
      <w:r>
        <w:rPr>
          <w:rFonts w:ascii="Calibri" w:hAnsi="Calibri"/>
        </w:rPr>
        <w:t>2. Surapprentissage en données limitées (cas marché émergent)</w:t>
      </w:r>
    </w:p>
    <w:p>
      <w:r>
        <w:rPr>
          <w:rFonts w:ascii="Calibri" w:hAnsi="Calibri"/>
          <w:b/>
          <w:i w:val="0"/>
        </w:rPr>
        <w:t>B. Architectures multi-agents et fusion de signaux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Wooldridge, M. (2009). An Introduction to MultiAgent Systems (2nd ed.). Wiley.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Chan, E. P. (2013). Algorithmic Trading: Winning Strategies and Their Rationale. Wiley.</w:t>
      </w:r>
    </w:p>
    <w:p>
      <w:pPr>
        <w:pStyle w:val="Heading2"/>
      </w:pPr>
      <w:r>
        <w:t>Section 4 — Traitement automatique du langage naturel appliqué à la finance</w:t>
      </w:r>
    </w:p>
    <w:p>
      <w:pPr>
        <w:pStyle w:val="Heading3"/>
      </w:pPr>
      <w:r>
        <w:t>I. NLP financier : panorama</w:t>
      </w:r>
    </w:p>
    <w:p>
      <w:r>
        <w:rPr>
          <w:rFonts w:ascii="Calibri" w:hAnsi="Calibri"/>
          <w:b/>
          <w:i w:val="0"/>
        </w:rPr>
        <w:t>A. Analyse de sentiment textuel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Loughran, T., &amp; McDonald, B. (2011). When is a liability not a liability? Textual analysis, dictionaries, and 10-Ks. The Journal of Finance, 66(1), 35–65.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Tetlock, P. C. (2007). Giving content to investor sentiment: The role of media in the stock market. The Journal of Finance, 62(3), 1139–1168.</w:t>
      </w:r>
    </w:p>
    <w:p>
      <w:r>
        <w:rPr>
          <w:rFonts w:ascii="Calibri" w:hAnsi="Calibri"/>
          <w:b/>
          <w:i w:val="0"/>
        </w:rPr>
        <w:t>B. Modèles de langage et embeddings financiers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Araci, D. (2019). FinBERT: Financial sentiment analysis with pre-trained language models. arXiv:1908.10063.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Yang, Y., Uy, M. C. S., &amp; Huang, A. (2020). FinBERT: A pretrained language model for financial communications. arXiv:2006.08097.</w:t>
      </w:r>
    </w:p>
    <w:p>
      <w:pPr>
        <w:pStyle w:val="Heading3"/>
      </w:pPr>
      <w:r>
        <w:t>II. Mesure de l'impact informationnel sur les rendements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Bollen, J., Mao, H., &amp; Zeng, X. (2011). Twitter mood predicts the stock market. Journal of Computational Science, 2(1), 1–8.</w:t>
      </w:r>
    </w:p>
    <w:p>
      <w:pPr>
        <w:pStyle w:val="Heading2"/>
      </w:pPr>
      <w:r>
        <w:t>Section 5 — Gestion du risque et évaluation de stratégies</w:t>
      </w:r>
    </w:p>
    <w:p>
      <w:pPr>
        <w:pStyle w:val="Heading3"/>
      </w:pPr>
      <w:r>
        <w:t>I. Mesures de risque</w:t>
      </w:r>
    </w:p>
    <w:p>
      <w:pPr>
        <w:ind w:left="283"/>
      </w:pPr>
      <w:r>
        <w:rPr>
          <w:rFonts w:ascii="Calibri" w:hAnsi="Calibri"/>
        </w:rPr>
        <w:t>VaR historique et paramétrique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Jorion, P. (2007). Value at Risk: The New Benchmark for Managing Financial Risk (3rd ed.). McGraw-Hill.</w:t>
      </w:r>
    </w:p>
    <w:p>
      <w:pPr>
        <w:ind w:left="283"/>
      </w:pPr>
      <w:r>
        <w:rPr>
          <w:rFonts w:ascii="Calibri" w:hAnsi="Calibri"/>
        </w:rPr>
        <w:t>Drawdown maximal et conditional VaR</w:t>
      </w:r>
    </w:p>
    <w:p>
      <w:pPr>
        <w:pStyle w:val="Heading3"/>
      </w:pPr>
      <w:r>
        <w:t>II. Mesures de performance ajustée au risque</w:t>
      </w:r>
    </w:p>
    <w:p>
      <w:pPr>
        <w:ind w:left="283"/>
      </w:pPr>
      <w:r>
        <w:rPr>
          <w:rFonts w:ascii="Calibri" w:hAnsi="Calibri"/>
        </w:rPr>
        <w:t>Ratio de Sharpe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Sharpe, W. F. (1994). The Sharpe ratio. The Journal of Portfolio Management, 21(1), 49–58.</w:t>
      </w:r>
    </w:p>
    <w:p>
      <w:pPr>
        <w:ind w:left="283"/>
      </w:pPr>
      <w:r>
        <w:rPr>
          <w:rFonts w:ascii="Calibri" w:hAnsi="Calibri"/>
        </w:rPr>
        <w:t>Ratio de Sortino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Sortino, F. A., &amp; Price, L. N. (1994). Performance measurement in a downside risk framework. The Journal of Investing, 3(3), 59–64.</w:t>
      </w:r>
    </w:p>
    <w:p>
      <w:pPr>
        <w:ind w:left="283"/>
      </w:pPr>
      <w:r>
        <w:rPr>
          <w:rFonts w:ascii="Calibri" w:hAnsi="Calibri"/>
        </w:rPr>
        <w:t>Ratio de Calmar et Information Ratio</w:t>
      </w:r>
    </w:p>
    <w:p>
      <w:pPr>
        <w:pStyle w:val="Heading3"/>
      </w:pPr>
      <w:r>
        <w:t>III. Backtesting : méthodologie et biais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Bailey, D. H., Borwein, J., López de Prado, M., &amp; Zhu, Q. J. (2014). Pseudo-mathematics and financial charlatanism: The effects of backtest overfitting. Notices of the AMS, 61(5), 458–471.</w:t>
      </w:r>
    </w:p>
    <w:p>
      <w:pPr>
        <w:pStyle w:val="Heading2"/>
      </w:pPr>
      <w:r>
        <w:t>Section 6 — Spécificités des marchés émergents et de la Bourse de Casablanca</w:t>
      </w:r>
    </w:p>
    <w:p>
      <w:pPr>
        <w:pStyle w:val="Heading3"/>
      </w:pPr>
      <w:r>
        <w:t>I. Marchés émergents : caractéristiques et anomalies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Bekaert, G., &amp; Harvey, C. R. (2002). Research in emerging markets finance: Looking to the future. Emerging Markets Review, 3(4), 429–448.</w:t>
      </w:r>
    </w:p>
    <w:p>
      <w:pPr>
        <w:pStyle w:val="Heading3"/>
      </w:pPr>
      <w:r>
        <w:t>II. Études empiriques sur le marché marocain</w:t>
      </w:r>
    </w:p>
    <w:p>
      <w:pPr>
        <w:ind w:left="283"/>
      </w:pPr>
      <w:r>
        <w:rPr>
          <w:rFonts w:ascii="Calibri" w:hAnsi="Calibri"/>
        </w:rPr>
        <w:t>Efficience faible de la BVC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El Khattab, Y., &amp; Moudine, C. (2014). Test de l'efficience faible du marché boursier marocain. Revue d'Études en Management et Finance d'Organisation.</w:t>
      </w:r>
    </w:p>
    <w:p>
      <w:pPr>
        <w:ind w:left="283"/>
      </w:pPr>
      <w:r>
        <w:rPr>
          <w:rFonts w:ascii="Calibri" w:hAnsi="Calibri"/>
        </w:rPr>
        <w:t>Volatilité et liquidité du MASI</w:t>
      </w:r>
    </w:p>
    <w:p>
      <w:pPr>
        <w:ind w:left="850"/>
      </w:pPr>
      <w:r>
        <w:rPr>
          <w:rFonts w:ascii="Calibri" w:hAnsi="Calibri"/>
        </w:rPr>
        <w:t xml:space="preserve">→ </w:t>
      </w:r>
      <w:r>
        <w:rPr>
          <w:rFonts w:ascii="Calibri" w:hAnsi="Calibri"/>
          <w:i/>
        </w:rPr>
        <w:t>Publications AMMC, Bank Al-Maghrib, Conseil Déontologique des Valeurs Mobilières.</w:t>
      </w:r>
    </w:p>
    <w:p>
      <w:r>
        <w:rPr>
          <w:rFonts w:ascii="Calibri" w:hAnsi="Calibri"/>
          <w:b/>
          <w:i/>
        </w:rPr>
        <w:t>Conclusion du Chapitre 1</w:t>
      </w:r>
    </w:p>
    <w:p>
      <w:r>
        <w:rPr>
          <w:rFonts w:ascii="Calibri" w:hAnsi="Calibri"/>
          <w:i/>
        </w:rPr>
        <w:t>Synthèse et positionnement épistémologique du travail.</w:t>
      </w:r>
    </w:p>
    <w:p>
      <w:r>
        <w:br w:type="page"/>
      </w:r>
    </w:p>
    <w:p>
      <w:pPr>
        <w:pStyle w:val="Heading1"/>
      </w:pPr>
      <w:r>
        <w:t>CHAPITRE 2 — CONTEXTE D'APPLICATION : LE MARCHÉ MAROCAIN, ATTIJARIWAFA BANK ET PEAQOCK (pages 46–68)</w:t>
      </w:r>
    </w:p>
    <w:p>
      <w:r>
        <w:rPr>
          <w:rFonts w:ascii="Calibri" w:hAnsi="Calibri"/>
          <w:b/>
          <w:i/>
        </w:rPr>
        <w:t>Introduction du Chapitre 2</w:t>
      </w:r>
    </w:p>
    <w:p>
      <w:pPr>
        <w:pStyle w:val="Heading2"/>
      </w:pPr>
      <w:r>
        <w:t>Section 1 — Le marché financier marocain et la Bourse de Casablanca</w:t>
      </w:r>
    </w:p>
    <w:p>
      <w:pPr>
        <w:pStyle w:val="Heading3"/>
      </w:pPr>
      <w:r>
        <w:t>I. Histoire et structure institutionnelle</w:t>
      </w:r>
    </w:p>
    <w:p>
      <w:pPr>
        <w:ind w:left="283"/>
      </w:pPr>
      <w:r>
        <w:rPr>
          <w:rFonts w:ascii="Calibri" w:hAnsi="Calibri"/>
        </w:rPr>
        <w:t>A. De la création (1929) à la modernisation (1993, 2016, 2021)</w:t>
      </w:r>
    </w:p>
    <w:p>
      <w:pPr>
        <w:ind w:left="283"/>
      </w:pPr>
      <w:r>
        <w:rPr>
          <w:rFonts w:ascii="Calibri" w:hAnsi="Calibri"/>
        </w:rPr>
        <w:t>B. Les acteurs : AMMC, BVC, Maroclear, sociétés de bourse</w:t>
      </w:r>
    </w:p>
    <w:p>
      <w:pPr>
        <w:ind w:left="283"/>
      </w:pPr>
      <w:r>
        <w:rPr>
          <w:rFonts w:ascii="Calibri" w:hAnsi="Calibri"/>
        </w:rPr>
        <w:t>C. Compartiments, indices (MASI, MASI ESG, MADEX) et règles de cotation</w:t>
      </w:r>
    </w:p>
    <w:p>
      <w:pPr>
        <w:pStyle w:val="Heading3"/>
      </w:pPr>
      <w:r>
        <w:t>II. Capitalisation, liquidité et profondeur</w:t>
      </w:r>
    </w:p>
    <w:p>
      <w:pPr>
        <w:ind w:left="283"/>
      </w:pPr>
      <w:r>
        <w:rPr>
          <w:rFonts w:ascii="Calibri" w:hAnsi="Calibri"/>
        </w:rPr>
        <w:t>A. Évolution de la capitalisation boursière (2010–2025)</w:t>
      </w:r>
    </w:p>
    <w:p>
      <w:pPr>
        <w:ind w:left="283"/>
      </w:pPr>
      <w:r>
        <w:rPr>
          <w:rFonts w:ascii="Calibri" w:hAnsi="Calibri"/>
        </w:rPr>
        <w:t>B. Volume moyen quotidien, taux de rotation, free float</w:t>
      </w:r>
    </w:p>
    <w:p>
      <w:pPr>
        <w:ind w:left="283"/>
      </w:pPr>
      <w:r>
        <w:rPr>
          <w:rFonts w:ascii="Calibri" w:hAnsi="Calibri"/>
        </w:rPr>
        <w:t>C. Comparaison régionale (CSE, EGX, BRVM)</w:t>
      </w:r>
    </w:p>
    <w:p>
      <w:pPr>
        <w:pStyle w:val="Heading3"/>
      </w:pPr>
      <w:r>
        <w:t>III. Cadre réglementaire et fiscalité</w:t>
      </w:r>
    </w:p>
    <w:p>
      <w:pPr>
        <w:ind w:left="283"/>
      </w:pPr>
      <w:r>
        <w:rPr>
          <w:rFonts w:ascii="Calibri" w:hAnsi="Calibri"/>
        </w:rPr>
        <w:t>A. Loi 19-14 sur la BVC, AMMC, lutte anti-blanchiment</w:t>
      </w:r>
    </w:p>
    <w:p>
      <w:pPr>
        <w:ind w:left="283"/>
      </w:pPr>
      <w:r>
        <w:rPr>
          <w:rFonts w:ascii="Calibri" w:hAnsi="Calibri"/>
        </w:rPr>
        <w:t>B. Régime fiscal des plus-values et dividendes</w:t>
      </w:r>
    </w:p>
    <w:p>
      <w:pPr>
        <w:pStyle w:val="Heading2"/>
      </w:pPr>
      <w:r>
        <w:t>Section 2 — Attijariwafa Bank : profil et position stratégique</w:t>
      </w:r>
    </w:p>
    <w:p>
      <w:pPr>
        <w:pStyle w:val="Heading3"/>
      </w:pPr>
      <w:r>
        <w:t>I. Présentation de la banque</w:t>
      </w:r>
    </w:p>
    <w:p>
      <w:pPr>
        <w:ind w:left="283"/>
      </w:pPr>
      <w:r>
        <w:rPr>
          <w:rFonts w:ascii="Calibri" w:hAnsi="Calibri"/>
        </w:rPr>
        <w:t>A. Historique (de la BCM à ATW), gouvernance, actionnariat (SNI / Al Mada)</w:t>
      </w:r>
    </w:p>
    <w:p>
      <w:pPr>
        <w:ind w:left="283"/>
      </w:pPr>
      <w:r>
        <w:rPr>
          <w:rFonts w:ascii="Calibri" w:hAnsi="Calibri"/>
        </w:rPr>
        <w:t>B. Lignes métiers et présence internationale (Afrique, Europe)</w:t>
      </w:r>
    </w:p>
    <w:p>
      <w:pPr>
        <w:pStyle w:val="Heading3"/>
      </w:pPr>
      <w:r>
        <w:t>II. Profil boursier et fondamentaux</w:t>
      </w:r>
    </w:p>
    <w:p>
      <w:pPr>
        <w:ind w:left="283"/>
      </w:pPr>
      <w:r>
        <w:rPr>
          <w:rFonts w:ascii="Calibri" w:hAnsi="Calibri"/>
        </w:rPr>
        <w:t>A. Évolution du cours, capitalisation, poids dans le MASI</w:t>
      </w:r>
    </w:p>
    <w:p>
      <w:pPr>
        <w:ind w:left="283"/>
      </w:pPr>
      <w:r>
        <w:rPr>
          <w:rFonts w:ascii="Calibri" w:hAnsi="Calibri"/>
        </w:rPr>
        <w:t>B. Indicateurs financiers : PER, ROE, dividend yield, P/B (5 ans)</w:t>
      </w:r>
    </w:p>
    <w:p>
      <w:pPr>
        <w:ind w:left="283"/>
      </w:pPr>
      <w:r>
        <w:rPr>
          <w:rFonts w:ascii="Calibri" w:hAnsi="Calibri"/>
        </w:rPr>
        <w:t>C. Performance comparée au secteur bancaire marocain (BCP, BMCE, CIH)</w:t>
      </w:r>
    </w:p>
    <w:p>
      <w:pPr>
        <w:pStyle w:val="Heading3"/>
      </w:pPr>
      <w:r>
        <w:t>III. Pourquoi ATW comme cas d'étude</w:t>
      </w:r>
    </w:p>
    <w:p>
      <w:pPr>
        <w:ind w:left="283"/>
      </w:pPr>
      <w:r>
        <w:rPr>
          <w:rFonts w:ascii="Calibri" w:hAnsi="Calibri"/>
        </w:rPr>
        <w:t>A. Liquidité supérieure à la moyenne BVC</w:t>
      </w:r>
    </w:p>
    <w:p>
      <w:pPr>
        <w:ind w:left="283"/>
      </w:pPr>
      <w:r>
        <w:rPr>
          <w:rFonts w:ascii="Calibri" w:hAnsi="Calibri"/>
        </w:rPr>
        <w:t>B. Couverture analyste plus dense</w:t>
      </w:r>
    </w:p>
    <w:p>
      <w:pPr>
        <w:ind w:left="283"/>
      </w:pPr>
      <w:r>
        <w:rPr>
          <w:rFonts w:ascii="Calibri" w:hAnsi="Calibri"/>
        </w:rPr>
        <w:t>C. Sensibilité aux variables macroéconomiques marocaines</w:t>
      </w:r>
    </w:p>
    <w:p>
      <w:pPr>
        <w:pStyle w:val="Heading2"/>
      </w:pPr>
      <w:r>
        <w:t>Section 3 — L'entreprise Peaqock et le périmètre du projet</w:t>
      </w:r>
    </w:p>
    <w:p>
      <w:pPr>
        <w:pStyle w:val="Heading3"/>
      </w:pPr>
      <w:r>
        <w:t>I. Présentation de Peaqock</w:t>
      </w:r>
    </w:p>
    <w:p>
      <w:pPr>
        <w:ind w:left="283"/>
      </w:pPr>
      <w:r>
        <w:rPr>
          <w:rFonts w:ascii="Calibri" w:hAnsi="Calibri"/>
        </w:rPr>
        <w:t>A. Mission, expertises (data, IA appliquée à la finance et l'industrie)</w:t>
      </w:r>
    </w:p>
    <w:p>
      <w:pPr>
        <w:ind w:left="283"/>
      </w:pPr>
      <w:r>
        <w:rPr>
          <w:rFonts w:ascii="Calibri" w:hAnsi="Calibri"/>
        </w:rPr>
        <w:t>B. Positionnement marché et clients</w:t>
      </w:r>
    </w:p>
    <w:p>
      <w:pPr>
        <w:pStyle w:val="Heading3"/>
      </w:pPr>
      <w:r>
        <w:t>II. Genèse et périmètre du PFE</w:t>
      </w:r>
    </w:p>
    <w:p>
      <w:pPr>
        <w:ind w:left="283"/>
      </w:pPr>
      <w:r>
        <w:rPr>
          <w:rFonts w:ascii="Calibri" w:hAnsi="Calibri"/>
        </w:rPr>
        <w:t>A. Cadrage initial du besoin</w:t>
      </w:r>
    </w:p>
    <w:p>
      <w:pPr>
        <w:ind w:left="283"/>
      </w:pPr>
      <w:r>
        <w:rPr>
          <w:rFonts w:ascii="Calibri" w:hAnsi="Calibri"/>
        </w:rPr>
        <w:t>B. Livrables attendus</w:t>
      </w:r>
    </w:p>
    <w:p>
      <w:pPr>
        <w:ind w:left="283"/>
      </w:pPr>
      <w:r>
        <w:rPr>
          <w:rFonts w:ascii="Calibri" w:hAnsi="Calibri"/>
        </w:rPr>
        <w:t>C. Calendrier et méthodologie de pilotage</w:t>
      </w:r>
    </w:p>
    <w:p>
      <w:r>
        <w:rPr>
          <w:rFonts w:ascii="Calibri" w:hAnsi="Calibri"/>
          <w:b/>
          <w:i/>
        </w:rPr>
        <w:t>Conclusion du Chapitre 2</w:t>
      </w:r>
    </w:p>
    <w:p>
      <w:r>
        <w:br w:type="page"/>
      </w:r>
    </w:p>
    <w:p>
      <w:pPr>
        <w:pStyle w:val="Heading1"/>
      </w:pPr>
      <w:r>
        <w:t>CHAPITRE 3 — CONCEPTION ET IMPLÉMENTATION DE L'AGENT MULTI-SIGNAUX (pages 69–110)</w:t>
      </w:r>
    </w:p>
    <w:p>
      <w:r>
        <w:rPr>
          <w:rFonts w:ascii="Calibri" w:hAnsi="Calibri"/>
          <w:b/>
          <w:i/>
        </w:rPr>
        <w:t>Introduction du Chapitre 3</w:t>
      </w:r>
    </w:p>
    <w:p>
      <w:pPr>
        <w:pStyle w:val="Heading2"/>
      </w:pPr>
      <w:r>
        <w:t>Section 1 — Conception de la solution</w:t>
      </w:r>
    </w:p>
    <w:p>
      <w:pPr>
        <w:pStyle w:val="Heading3"/>
      </w:pPr>
      <w:r>
        <w:t>I. Architecture globale</w:t>
      </w:r>
    </w:p>
    <w:p>
      <w:pPr>
        <w:ind w:left="283"/>
      </w:pPr>
      <w:r>
        <w:rPr>
          <w:rFonts w:ascii="Calibri" w:hAnsi="Calibri"/>
        </w:rPr>
        <w:t>A. Vision macro : pipeline en 4 couches (collecte → stockage → modélisation → synthèse)</w:t>
      </w:r>
    </w:p>
    <w:p>
      <w:pPr>
        <w:ind w:left="283"/>
      </w:pPr>
      <w:r>
        <w:rPr>
          <w:rFonts w:ascii="Calibri" w:hAnsi="Calibri"/>
        </w:rPr>
        <w:t>B. Diagramme d'architecture général (figure)</w:t>
      </w:r>
    </w:p>
    <w:p>
      <w:pPr>
        <w:ind w:left="283"/>
      </w:pPr>
      <w:r>
        <w:rPr>
          <w:rFonts w:ascii="Calibri" w:hAnsi="Calibri"/>
        </w:rPr>
        <w:t>C. Choix technologiques justifiés</w:t>
      </w:r>
    </w:p>
    <w:p>
      <w:pPr>
        <w:ind w:left="567"/>
      </w:pPr>
      <w:r>
        <w:rPr>
          <w:rFonts w:ascii="Calibri" w:hAnsi="Calibri"/>
        </w:rPr>
        <w:t>1. Python pour la flexibilité scientifique</w:t>
      </w:r>
    </w:p>
    <w:p>
      <w:pPr>
        <w:ind w:left="567"/>
      </w:pPr>
      <w:r>
        <w:rPr>
          <w:rFonts w:ascii="Calibri" w:hAnsi="Calibri"/>
        </w:rPr>
        <w:t>2. PostgreSQL conteneurisé sous Docker pour l'idempotence et la portabilité</w:t>
      </w:r>
    </w:p>
    <w:p>
      <w:pPr>
        <w:ind w:left="567"/>
      </w:pPr>
      <w:r>
        <w:rPr>
          <w:rFonts w:ascii="Calibri" w:hAnsi="Calibri"/>
        </w:rPr>
        <w:t>3. Architecture modulaire : scrapers/, news_crawler/, models/, agents/, database/, autorun/</w:t>
      </w:r>
    </w:p>
    <w:p>
      <w:pPr>
        <w:pStyle w:val="Heading3"/>
      </w:pPr>
      <w:r>
        <w:t>II. Pipeline de collecte des données</w:t>
      </w:r>
    </w:p>
    <w:p>
      <w:pPr>
        <w:ind w:left="283"/>
      </w:pPr>
      <w:r>
        <w:rPr>
          <w:rFonts w:ascii="Calibri" w:hAnsi="Calibri"/>
        </w:rPr>
        <w:t>A. Scraper marché temps réel (Medias24 + API BVC) : tables bourse_daily, bourse_intraday, bourse_orderbook, technicals_snapshot</w:t>
      </w:r>
    </w:p>
    <w:p>
      <w:pPr>
        <w:ind w:left="283"/>
      </w:pPr>
      <w:r>
        <w:rPr>
          <w:rFonts w:ascii="Calibri" w:hAnsi="Calibri"/>
        </w:rPr>
        <w:t>B. Scraper macroéconomique (Banque Mondiale, FMI, yfinance, Investing) : table macro_morocco</w:t>
      </w:r>
    </w:p>
    <w:p>
      <w:pPr>
        <w:ind w:left="283"/>
      </w:pPr>
      <w:r>
        <w:rPr>
          <w:rFonts w:ascii="Calibri" w:hAnsi="Calibri"/>
        </w:rPr>
        <w:t>C. Scraper fondamentaux (MarketScreener via Selenium) : tables fondamental_snapshot, fondamental_yearly</w:t>
      </w:r>
    </w:p>
    <w:p>
      <w:pPr>
        <w:ind w:left="283"/>
      </w:pPr>
      <w:r>
        <w:rPr>
          <w:rFonts w:ascii="Calibri" w:hAnsi="Calibri"/>
        </w:rPr>
        <w:t>D. Crawlers d'actualités : Boursenews, Médias24, L'Économiste, Aujourd'hui le Maroc, MarketScreener, Google News</w:t>
      </w:r>
    </w:p>
    <w:p>
      <w:pPr>
        <w:ind w:left="283"/>
      </w:pPr>
      <w:r>
        <w:rPr>
          <w:rFonts w:ascii="Calibri" w:hAnsi="Calibri"/>
        </w:rPr>
        <w:t>E. Logique de canonicalisation, déduplication et signal scoring (0–100)</w:t>
      </w:r>
    </w:p>
    <w:p>
      <w:pPr>
        <w:pStyle w:val="Heading3"/>
      </w:pPr>
      <w:r>
        <w:t>III. Architecture de l'agent</w:t>
      </w:r>
    </w:p>
    <w:p>
      <w:pPr>
        <w:ind w:left="283"/>
      </w:pPr>
      <w:r>
        <w:rPr>
          <w:rFonts w:ascii="Calibri" w:hAnsi="Calibri"/>
        </w:rPr>
        <w:t>A. Modèle conceptuel (chaque signal → score normalisé → pondération → verdict)</w:t>
      </w:r>
    </w:p>
    <w:p>
      <w:pPr>
        <w:ind w:left="283"/>
      </w:pPr>
      <w:r>
        <w:rPr>
          <w:rFonts w:ascii="Calibri" w:hAnsi="Calibri"/>
        </w:rPr>
        <w:t>B. Schéma logique de la fusion des signaux</w:t>
      </w:r>
    </w:p>
    <w:p>
      <w:pPr>
        <w:ind w:left="283"/>
      </w:pPr>
      <w:r>
        <w:rPr>
          <w:rFonts w:ascii="Calibri" w:hAnsi="Calibri"/>
        </w:rPr>
        <w:t>C. Choix d'un système à règles pondérées plutôt qu'un modèle ML (transparence, données limitées, robustesse)</w:t>
      </w:r>
    </w:p>
    <w:p>
      <w:pPr>
        <w:pStyle w:val="Heading2"/>
      </w:pPr>
      <w:r>
        <w:t>Section 2 — Modélisation des signaux</w:t>
      </w:r>
    </w:p>
    <w:p>
      <w:pPr>
        <w:pStyle w:val="Heading3"/>
      </w:pPr>
      <w:r>
        <w:t>I. Module fondamental</w:t>
      </w:r>
    </w:p>
    <w:p>
      <w:pPr>
        <w:ind w:left="283"/>
      </w:pPr>
      <w:r>
        <w:rPr>
          <w:rFonts w:ascii="Calibri" w:hAnsi="Calibri"/>
        </w:rPr>
        <w:t>A. Calcul des ratios : PER, P/B, ROE, dividend yield, croissance des bénéfices</w:t>
      </w:r>
    </w:p>
    <w:p>
      <w:pPr>
        <w:ind w:left="283"/>
      </w:pPr>
      <w:r>
        <w:rPr>
          <w:rFonts w:ascii="Calibri" w:hAnsi="Calibri"/>
        </w:rPr>
        <w:t>B. Modèle DCF : projection FCF, terminal value, WACC bancaire ajusté</w:t>
      </w:r>
    </w:p>
    <w:p>
      <w:pPr>
        <w:ind w:left="283"/>
      </w:pPr>
      <w:r>
        <w:rPr>
          <w:rFonts w:ascii="Calibri" w:hAnsi="Calibri"/>
        </w:rPr>
        <w:t>C. Modèle DDM (Gordon-Shapiro) adapté au profil de distribution d'ATW</w:t>
      </w:r>
    </w:p>
    <w:p>
      <w:pPr>
        <w:ind w:left="283"/>
      </w:pPr>
      <w:r>
        <w:rPr>
          <w:rFonts w:ascii="Calibri" w:hAnsi="Calibri"/>
        </w:rPr>
        <w:t>D. Modèle de Graham : valeur intrinsèque conservatrice</w:t>
      </w:r>
    </w:p>
    <w:p>
      <w:pPr>
        <w:ind w:left="283"/>
      </w:pPr>
      <w:r>
        <w:rPr>
          <w:rFonts w:ascii="Calibri" w:hAnsi="Calibri"/>
        </w:rPr>
        <w:t>E. Valorisation relative par multiples sectoriels</w:t>
      </w:r>
    </w:p>
    <w:p>
      <w:pPr>
        <w:ind w:left="283"/>
      </w:pPr>
      <w:r>
        <w:rPr>
          <w:rFonts w:ascii="Calibri" w:hAnsi="Calibri"/>
        </w:rPr>
        <w:t>F. Agrégation : moyenne (et discussion d'une pondération par précision historique)</w:t>
      </w:r>
    </w:p>
    <w:p>
      <w:pPr>
        <w:pStyle w:val="Heading3"/>
      </w:pPr>
      <w:r>
        <w:t>II. Module technique</w:t>
      </w:r>
    </w:p>
    <w:p>
      <w:pPr>
        <w:ind w:left="283"/>
      </w:pPr>
      <w:r>
        <w:rPr>
          <w:rFonts w:ascii="Calibri" w:hAnsi="Calibri"/>
        </w:rPr>
        <w:t>A. ATR(14) selon la formule de Wilder : volatilité et calibrage des cibles de trade</w:t>
      </w:r>
    </w:p>
    <w:p>
      <w:pPr>
        <w:ind w:left="283"/>
      </w:pPr>
      <w:r>
        <w:rPr>
          <w:rFonts w:ascii="Calibri" w:hAnsi="Calibri"/>
        </w:rPr>
        <w:t>B. Volatilité 20 jours et conversion correcte (lien avec le bug identifié dans ag.py)</w:t>
      </w:r>
    </w:p>
    <w:p>
      <w:pPr>
        <w:ind w:left="283"/>
      </w:pPr>
      <w:r>
        <w:rPr>
          <w:rFonts w:ascii="Calibri" w:hAnsi="Calibri"/>
        </w:rPr>
        <w:t>C. RSI, MACD, Bollinger Bands (lus depuis technicals_snapshot)</w:t>
      </w:r>
    </w:p>
    <w:p>
      <w:pPr>
        <w:ind w:left="283"/>
      </w:pPr>
      <w:r>
        <w:rPr>
          <w:rFonts w:ascii="Calibri" w:hAnsi="Calibri"/>
        </w:rPr>
        <w:t>D. Features carnet d'ordres : Order Imbalance multi-niveaux, spread bid-ask en bps, Z-score intra-séance, profondeur, VWMP</w:t>
      </w:r>
    </w:p>
    <w:p>
      <w:pPr>
        <w:pStyle w:val="Heading3"/>
      </w:pPr>
      <w:r>
        <w:t>III. Module macroéconomique</w:t>
      </w:r>
    </w:p>
    <w:p>
      <w:pPr>
        <w:ind w:left="283"/>
      </w:pPr>
      <w:r>
        <w:rPr>
          <w:rFonts w:ascii="Calibri" w:hAnsi="Calibri"/>
        </w:rPr>
        <w:t>A. Variables retenues : croissance PIB, inflation CPI, dette publique/PIB, USD/MAD, M2</w:t>
      </w:r>
    </w:p>
    <w:p>
      <w:pPr>
        <w:ind w:left="283"/>
      </w:pPr>
      <w:r>
        <w:rPr>
          <w:rFonts w:ascii="Calibri" w:hAnsi="Calibri"/>
        </w:rPr>
        <w:t>B. Garde-fous et bug IMF DataMapper (sanity bands, fallback Banque Mondiale)</w:t>
      </w:r>
    </w:p>
    <w:p>
      <w:pPr>
        <w:ind w:left="283"/>
      </w:pPr>
      <w:r>
        <w:rPr>
          <w:rFonts w:ascii="Calibri" w:hAnsi="Calibri"/>
        </w:rPr>
        <w:t>C. Score macro composite</w:t>
      </w:r>
    </w:p>
    <w:p>
      <w:pPr>
        <w:pStyle w:val="Heading3"/>
      </w:pPr>
      <w:r>
        <w:t>IV. Module NLP / sentiment</w:t>
      </w:r>
    </w:p>
    <w:p>
      <w:pPr>
        <w:ind w:left="283"/>
      </w:pPr>
      <w:r>
        <w:rPr>
          <w:rFonts w:ascii="Calibri" w:hAnsi="Calibri"/>
        </w:rPr>
        <w:t>A. Périmètre : 6 sources marocaines, fenêtre glissante 14 jours</w:t>
      </w:r>
    </w:p>
    <w:p>
      <w:pPr>
        <w:ind w:left="283"/>
      </w:pPr>
      <w:r>
        <w:rPr>
          <w:rFonts w:ascii="Calibri" w:hAnsi="Calibri"/>
        </w:rPr>
        <w:t>B. Pipeline texte : nettoyage, tokenisation, normalisation</w:t>
      </w:r>
    </w:p>
    <w:p>
      <w:pPr>
        <w:ind w:left="283"/>
      </w:pPr>
      <w:r>
        <w:rPr>
          <w:rFonts w:ascii="Calibri" w:hAnsi="Calibri"/>
        </w:rPr>
        <w:t>C. Calcul du signal_score (0–100) et flag is_atw_core</w:t>
      </w:r>
    </w:p>
    <w:p>
      <w:pPr>
        <w:ind w:left="283"/>
      </w:pPr>
      <w:r>
        <w:rPr>
          <w:rFonts w:ascii="Calibri" w:hAnsi="Calibri"/>
        </w:rPr>
        <w:t>D. Discussion : sentiment dérivé du score d'article ; piste d'amélioration via FinBERT/lexique Loughran-McDonald traduit</w:t>
      </w:r>
    </w:p>
    <w:p>
      <w:pPr>
        <w:pStyle w:val="Heading3"/>
      </w:pPr>
      <w:r>
        <w:t>V. Détection du régime de marché</w:t>
      </w:r>
    </w:p>
    <w:p>
      <w:pPr>
        <w:ind w:left="283"/>
      </w:pPr>
      <w:r>
        <w:rPr>
          <w:rFonts w:ascii="Calibri" w:hAnsi="Calibri"/>
        </w:rPr>
        <w:t>A. Logique : moyenne pondérée des rendements 1S/1M/3M, position vs MA20, volatilité</w:t>
      </w:r>
    </w:p>
    <w:p>
      <w:pPr>
        <w:ind w:left="283"/>
      </w:pPr>
      <w:r>
        <w:rPr>
          <w:rFonts w:ascii="Calibri" w:hAnsi="Calibri"/>
        </w:rPr>
        <w:t>B. Trois régimes : BULL / BEAR / SIDEWAYS</w:t>
      </w:r>
    </w:p>
    <w:p>
      <w:pPr>
        <w:ind w:left="283"/>
      </w:pPr>
      <w:r>
        <w:rPr>
          <w:rFonts w:ascii="Calibri" w:hAnsi="Calibri"/>
        </w:rPr>
        <w:t>C. Confiance associée</w:t>
      </w:r>
    </w:p>
    <w:p>
      <w:pPr>
        <w:pStyle w:val="Heading2"/>
      </w:pPr>
      <w:r>
        <w:t>Section 3 — Mécanisme de pondération et logique de décision</w:t>
      </w:r>
    </w:p>
    <w:p>
      <w:pPr>
        <w:pStyle w:val="Heading3"/>
      </w:pPr>
      <w:r>
        <w:t>I. Prédiction trading court terme (4 semaines)</w:t>
      </w:r>
    </w:p>
    <w:p>
      <w:pPr>
        <w:ind w:left="283"/>
      </w:pPr>
      <w:r>
        <w:rPr>
          <w:rFonts w:ascii="Calibri" w:hAnsi="Calibri"/>
        </w:rPr>
        <w:t>A. Cibles dérivées de l'ATR : zone d'entrée, objectif (1.5×ATR), stop (2.0×ATR)</w:t>
      </w:r>
    </w:p>
    <w:p>
      <w:pPr>
        <w:ind w:left="283"/>
      </w:pPr>
      <w:r>
        <w:rPr>
          <w:rFonts w:ascii="Calibri" w:hAnsi="Calibri"/>
        </w:rPr>
        <w:t>B. Simulation Monte Carlo GBM (1000 trajectoires sur 20 jours)</w:t>
      </w:r>
    </w:p>
    <w:p>
      <w:pPr>
        <w:ind w:left="283"/>
      </w:pPr>
      <w:r>
        <w:rPr>
          <w:rFonts w:ascii="Calibri" w:hAnsi="Calibri"/>
        </w:rPr>
        <w:t>C. Probabilité de gain, VaR 95%, IC 90%</w:t>
      </w:r>
    </w:p>
    <w:p>
      <w:pPr>
        <w:ind w:left="283"/>
      </w:pPr>
      <w:r>
        <w:rPr>
          <w:rFonts w:ascii="Calibri" w:hAnsi="Calibri"/>
        </w:rPr>
        <w:t>D. Confiance HIGH/MEDIUM/LOW</w:t>
      </w:r>
    </w:p>
    <w:p>
      <w:pPr>
        <w:pStyle w:val="Heading3"/>
      </w:pPr>
      <w:r>
        <w:t>II. Prédiction investissement long terme (12 mois)</w:t>
      </w:r>
    </w:p>
    <w:p>
      <w:pPr>
        <w:ind w:left="283"/>
      </w:pPr>
      <w:r>
        <w:rPr>
          <w:rFonts w:ascii="Calibri" w:hAnsi="Calibri"/>
        </w:rPr>
        <w:t>A. Juste valeur agrégée et upside</w:t>
      </w:r>
    </w:p>
    <w:p>
      <w:pPr>
        <w:ind w:left="283"/>
      </w:pPr>
      <w:r>
        <w:rPr>
          <w:rFonts w:ascii="Calibri" w:hAnsi="Calibri"/>
        </w:rPr>
        <w:t>B. Seuils dynamiques adaptatifs (volatilité × multiplicateur de régime × facteur d'incertitude)</w:t>
      </w:r>
    </w:p>
    <w:p>
      <w:pPr>
        <w:ind w:left="283"/>
      </w:pPr>
      <w:r>
        <w:rPr>
          <w:rFonts w:ascii="Calibri" w:hAnsi="Calibri"/>
        </w:rPr>
        <w:t>C. Verdict ACHAT / CONSERVER / VENDRE</w:t>
      </w:r>
    </w:p>
    <w:p>
      <w:pPr>
        <w:pStyle w:val="Heading3"/>
      </w:pPr>
      <w:r>
        <w:t>III. Synthèse LLM avec validation de citations</w:t>
      </w:r>
    </w:p>
    <w:p>
      <w:pPr>
        <w:ind w:left="283"/>
      </w:pPr>
      <w:r>
        <w:rPr>
          <w:rFonts w:ascii="Calibri" w:hAnsi="Calibri"/>
        </w:rPr>
        <w:t>A. Bloc d'evidence horodaté (identifiants [MKT-*], [VAL-*], [NEWS-*], etc.)</w:t>
      </w:r>
    </w:p>
    <w:p>
      <w:pPr>
        <w:ind w:left="283"/>
      </w:pPr>
      <w:r>
        <w:rPr>
          <w:rFonts w:ascii="Calibri" w:hAnsi="Calibri"/>
        </w:rPr>
        <w:t>B. Appel LLM Groq avec contrat JSON strict</w:t>
      </w:r>
    </w:p>
    <w:p>
      <w:pPr>
        <w:ind w:left="283"/>
      </w:pPr>
      <w:r>
        <w:rPr>
          <w:rFonts w:ascii="Calibri" w:hAnsi="Calibri"/>
        </w:rPr>
        <w:t>C. Validation regex des citations + fallback déterministe si échec</w:t>
      </w:r>
    </w:p>
    <w:p>
      <w:pPr>
        <w:pStyle w:val="Heading2"/>
      </w:pPr>
      <w:r>
        <w:t>Section 4 — Backtesting et évaluation</w:t>
      </w:r>
    </w:p>
    <w:p>
      <w:pPr>
        <w:pStyle w:val="Heading3"/>
      </w:pPr>
      <w:r>
        <w:t>I. Méthodologie</w:t>
      </w:r>
    </w:p>
    <w:p>
      <w:pPr>
        <w:ind w:left="283"/>
      </w:pPr>
      <w:r>
        <w:rPr>
          <w:rFonts w:ascii="Calibri" w:hAnsi="Calibri"/>
        </w:rPr>
        <w:t>A. Période d'évaluation, walk-forward analysis</w:t>
      </w:r>
    </w:p>
    <w:p>
      <w:pPr>
        <w:ind w:left="283"/>
      </w:pPr>
      <w:r>
        <w:rPr>
          <w:rFonts w:ascii="Calibri" w:hAnsi="Calibri"/>
        </w:rPr>
        <w:t>B. Benchmarks : buy-and-hold ATW, indice MASI</w:t>
      </w:r>
    </w:p>
    <w:p>
      <w:pPr>
        <w:ind w:left="283"/>
      </w:pPr>
      <w:r>
        <w:rPr>
          <w:rFonts w:ascii="Calibri" w:hAnsi="Calibri"/>
        </w:rPr>
        <w:t>C. Frais de transaction et slippage hypothétiques</w:t>
      </w:r>
    </w:p>
    <w:p>
      <w:pPr>
        <w:pStyle w:val="Heading3"/>
      </w:pPr>
      <w:r>
        <w:t>II. Métriques de performance</w:t>
      </w:r>
    </w:p>
    <w:p>
      <w:pPr>
        <w:ind w:left="283"/>
      </w:pPr>
      <w:r>
        <w:rPr>
          <w:rFonts w:ascii="Calibri" w:hAnsi="Calibri"/>
        </w:rPr>
        <w:t>A. Rendement cumulé, rendement annualisé</w:t>
      </w:r>
    </w:p>
    <w:p>
      <w:pPr>
        <w:ind w:left="283"/>
      </w:pPr>
      <w:r>
        <w:rPr>
          <w:rFonts w:ascii="Calibri" w:hAnsi="Calibri"/>
        </w:rPr>
        <w:t>B. Ratios de Sharpe, Sortino, Calmar</w:t>
      </w:r>
    </w:p>
    <w:p>
      <w:pPr>
        <w:ind w:left="283"/>
      </w:pPr>
      <w:r>
        <w:rPr>
          <w:rFonts w:ascii="Calibri" w:hAnsi="Calibri"/>
        </w:rPr>
        <w:t>C. Drawdown maximal et durée de drawdown</w:t>
      </w:r>
    </w:p>
    <w:p>
      <w:pPr>
        <w:ind w:left="283"/>
      </w:pPr>
      <w:r>
        <w:rPr>
          <w:rFonts w:ascii="Calibri" w:hAnsi="Calibri"/>
        </w:rPr>
        <w:t>D. Hit ratio et profit factor</w:t>
      </w:r>
    </w:p>
    <w:p>
      <w:pPr>
        <w:pStyle w:val="Heading3"/>
      </w:pPr>
      <w:r>
        <w:t>III. Résultats</w:t>
      </w:r>
    </w:p>
    <w:p>
      <w:pPr>
        <w:ind w:left="283"/>
      </w:pPr>
      <w:r>
        <w:rPr>
          <w:rFonts w:ascii="Calibri" w:hAnsi="Calibri"/>
        </w:rPr>
        <w:t>A. Tableaux comparatifs et courbes d'équité</w:t>
      </w:r>
    </w:p>
    <w:p>
      <w:pPr>
        <w:ind w:left="283"/>
      </w:pPr>
      <w:r>
        <w:rPr>
          <w:rFonts w:ascii="Calibri" w:hAnsi="Calibri"/>
        </w:rPr>
        <w:t>B. Décomposition de la contribution par signal</w:t>
      </w:r>
    </w:p>
    <w:p>
      <w:pPr>
        <w:ind w:left="283"/>
      </w:pPr>
      <w:r>
        <w:rPr>
          <w:rFonts w:ascii="Calibri" w:hAnsi="Calibri"/>
        </w:rPr>
        <w:t>C. Robustesse : analyse de sensibilité aux paramètres clés (seuils, pondérations)</w:t>
      </w:r>
    </w:p>
    <w:p>
      <w:pPr>
        <w:pStyle w:val="Heading2"/>
      </w:pPr>
      <w:r>
        <w:t>Section 5 — Limites identifiées et recommandations</w:t>
      </w:r>
    </w:p>
    <w:p>
      <w:pPr>
        <w:pStyle w:val="Heading3"/>
      </w:pPr>
      <w:r>
        <w:t>I. Limites techniques constatées dans l'agent</w:t>
      </w:r>
    </w:p>
    <w:p>
      <w:pPr>
        <w:pStyle w:val="ListBullet"/>
      </w:pPr>
      <w:r>
        <w:t>Bug de double conversion de volatilité dans la simulation Monte Carlo</w:t>
      </w:r>
    </w:p>
    <w:p>
      <w:pPr>
        <w:pStyle w:val="ListBullet"/>
      </w:pPr>
      <w:r>
        <w:t>Drift Monte Carlo biaisé par le mélange ret_1w / ret_1m</w:t>
      </w:r>
    </w:p>
    <w:p>
      <w:pPr>
        <w:pStyle w:val="ListBullet"/>
      </w:pPr>
      <w:r>
        <w:t>np.random.seed(42) figeant la stochasticité</w:t>
      </w:r>
    </w:p>
    <w:p>
      <w:pPr>
        <w:pStyle w:val="ListBullet"/>
      </w:pPr>
      <w:r>
        <w:t>Variables macro câblées à None (chômage, taux directeur)</w:t>
      </w:r>
    </w:p>
    <w:p>
      <w:pPr>
        <w:pStyle w:val="ListBullet"/>
      </w:pPr>
      <w:r>
        <w:t>Sentiment dérivé du signal_score plutôt que d'une vraie analyse linguistique</w:t>
      </w:r>
    </w:p>
    <w:p>
      <w:pPr>
        <w:pStyle w:val="ListBullet"/>
      </w:pPr>
      <w:r>
        <w:t>Baseline de volatilité 2.5 % codée en dur, non calibrée pour Casa-Bourse</w:t>
      </w:r>
    </w:p>
    <w:p>
      <w:pPr>
        <w:pStyle w:val="ListBullet"/>
      </w:pPr>
      <w:r>
        <w:t>Instabilité du LLM (dépendance externe Groq)</w:t>
      </w:r>
    </w:p>
    <w:p>
      <w:pPr>
        <w:pStyle w:val="Heading3"/>
      </w:pPr>
      <w:r>
        <w:t>II. Limites méthodologiques</w:t>
      </w:r>
    </w:p>
    <w:p>
      <w:pPr>
        <w:pStyle w:val="ListBullet"/>
      </w:pPr>
      <w:r>
        <w:t>Mono-titre (ATW seul, pas de comparaison sectorielle)</w:t>
      </w:r>
    </w:p>
    <w:p>
      <w:pPr>
        <w:pStyle w:val="ListBullet"/>
      </w:pPr>
      <w:r>
        <w:t>Hypothèses GBM (rendements log-normaux i.i.d.)</w:t>
      </w:r>
    </w:p>
    <w:p>
      <w:pPr>
        <w:pStyle w:val="ListBullet"/>
      </w:pPr>
      <w:r>
        <w:t>Trois régimes seulement (manque crash, recovery)</w:t>
      </w:r>
    </w:p>
    <w:p>
      <w:pPr>
        <w:pStyle w:val="ListBullet"/>
      </w:pPr>
      <w:r>
        <w:t>Risque de surapprentissage des seuils sur l'historique de backtest</w:t>
      </w:r>
    </w:p>
    <w:p>
      <w:pPr>
        <w:pStyle w:val="Heading3"/>
      </w:pPr>
      <w:r>
        <w:t>III. Recommandations d'extension</w:t>
      </w:r>
    </w:p>
    <w:p>
      <w:pPr>
        <w:ind w:left="283"/>
      </w:pPr>
      <w:r>
        <w:rPr>
          <w:rFonts w:ascii="Calibri" w:hAnsi="Calibri"/>
          <w:b/>
        </w:rPr>
        <w:t xml:space="preserve">A. </w:t>
      </w:r>
      <w:r>
        <w:rPr>
          <w:rFonts w:ascii="Calibri" w:hAnsi="Calibri"/>
        </w:rPr>
        <w:t>Calibrage des seuils par optimisation bayésienne sur historique élargi</w:t>
      </w:r>
    </w:p>
    <w:p>
      <w:pPr>
        <w:ind w:left="283"/>
      </w:pPr>
      <w:r>
        <w:rPr>
          <w:rFonts w:ascii="Calibri" w:hAnsi="Calibri"/>
          <w:b/>
        </w:rPr>
        <w:t xml:space="preserve">B. </w:t>
      </w:r>
      <w:r>
        <w:rPr>
          <w:rFonts w:ascii="Calibri" w:hAnsi="Calibri"/>
        </w:rPr>
        <w:t>Intégration d'un modèle FinBERT bilingue (français/arabe) pour le sentiment</w:t>
      </w:r>
    </w:p>
    <w:p>
      <w:pPr>
        <w:ind w:left="283"/>
      </w:pPr>
      <w:r>
        <w:rPr>
          <w:rFonts w:ascii="Calibri" w:hAnsi="Calibri"/>
          <w:b/>
        </w:rPr>
        <w:t xml:space="preserve">C. </w:t>
      </w:r>
      <w:r>
        <w:rPr>
          <w:rFonts w:ascii="Calibri" w:hAnsi="Calibri"/>
        </w:rPr>
        <w:t>Élargissement à un panier de titres BVC (BCP, BMCE, IAM) avec corrélations sectorielles</w:t>
      </w:r>
    </w:p>
    <w:p>
      <w:pPr>
        <w:ind w:left="283"/>
      </w:pPr>
      <w:r>
        <w:rPr>
          <w:rFonts w:ascii="Calibri" w:hAnsi="Calibri"/>
          <w:b/>
        </w:rPr>
        <w:t xml:space="preserve">D. </w:t>
      </w:r>
      <w:r>
        <w:rPr>
          <w:rFonts w:ascii="Calibri" w:hAnsi="Calibri"/>
        </w:rPr>
        <w:t>Régimes augmentés (5 états avec HMM) et volatilité implicite si options disponibles</w:t>
      </w:r>
    </w:p>
    <w:p>
      <w:pPr>
        <w:ind w:left="283"/>
      </w:pPr>
      <w:r>
        <w:rPr>
          <w:rFonts w:ascii="Calibri" w:hAnsi="Calibri"/>
          <w:b/>
        </w:rPr>
        <w:t xml:space="preserve">E. </w:t>
      </w:r>
      <w:r>
        <w:rPr>
          <w:rFonts w:ascii="Calibri" w:hAnsi="Calibri"/>
        </w:rPr>
        <w:t>Pondération adaptative des modèles de valorisation par leur précision out-of-sample</w:t>
      </w:r>
    </w:p>
    <w:p>
      <w:r>
        <w:rPr>
          <w:rFonts w:ascii="Calibri" w:hAnsi="Calibri"/>
          <w:b/>
          <w:i/>
        </w:rPr>
        <w:t>Conclusion du Chapitre 3</w:t>
      </w:r>
    </w:p>
    <w:p>
      <w:r>
        <w:br w:type="page"/>
      </w:r>
    </w:p>
    <w:p>
      <w:pPr>
        <w:pStyle w:val="Heading1"/>
      </w:pPr>
      <w:r>
        <w:t>CONCLUSION GÉNÉRALE (pages 111–115)</w:t>
      </w:r>
    </w:p>
    <w:p>
      <w:pPr>
        <w:pStyle w:val="Heading2"/>
      </w:pPr>
      <w:r>
        <w:t>1. Synthèse des résultats par chapitre</w:t>
      </w:r>
    </w:p>
    <w:p>
      <w:pPr>
        <w:pStyle w:val="ListBullet"/>
      </w:pPr>
      <w:r>
        <w:t>Chapitre 1 : ancrage théorique multi-disciplinaire</w:t>
      </w:r>
    </w:p>
    <w:p>
      <w:pPr>
        <w:pStyle w:val="ListBullet"/>
      </w:pPr>
      <w:r>
        <w:t>Chapitre 2 : caractérisation du marché marocain et du cas ATW</w:t>
      </w:r>
    </w:p>
    <w:p>
      <w:pPr>
        <w:pStyle w:val="ListBullet"/>
      </w:pPr>
      <w:r>
        <w:t>Chapitre 3 : conception et évaluation de l'agent</w:t>
      </w:r>
    </w:p>
    <w:p>
      <w:pPr>
        <w:pStyle w:val="Heading2"/>
      </w:pPr>
      <w:r>
        <w:t>2. Réponse à la problématique</w:t>
      </w:r>
    </w:p>
    <w:p>
      <w:r>
        <w:rPr>
          <w:rFonts w:ascii="Calibri" w:hAnsi="Calibri"/>
        </w:rPr>
        <w:t>Un agent multi-signaux à règles pondérées peut effectivement améliorer la qualité de la décision sur la BVC, sous réserve d'une discipline méthodologique stricte (validation, backtesting, calibrage).</w:t>
      </w:r>
    </w:p>
    <w:p>
      <w:pPr>
        <w:pStyle w:val="Heading2"/>
      </w:pPr>
      <w:r>
        <w:t>3. Contributions</w:t>
      </w:r>
    </w:p>
    <w:p>
      <w:r>
        <w:rPr>
          <w:rFonts w:ascii="Calibri" w:hAnsi="Calibri"/>
          <w:b/>
          <w:i/>
        </w:rPr>
        <w:t xml:space="preserve">Académiques : </w:t>
      </w:r>
      <w:r>
        <w:rPr>
          <w:rFonts w:ascii="Calibri" w:hAnsi="Calibri"/>
          <w:b w:val="0"/>
          <w:i w:val="0"/>
        </w:rPr>
        <w:t>enrichissement de la littérature sur les marchés émergents francophones et sur les architectures hybrides quantitatif/NLP.</w:t>
      </w:r>
    </w:p>
    <w:p>
      <w:r>
        <w:rPr>
          <w:rFonts w:ascii="Calibri" w:hAnsi="Calibri"/>
          <w:b/>
          <w:i/>
        </w:rPr>
        <w:t xml:space="preserve">Professionnelles : </w:t>
      </w:r>
      <w:r>
        <w:rPr>
          <w:rFonts w:ascii="Calibri" w:hAnsi="Calibri"/>
          <w:b w:val="0"/>
          <w:i w:val="0"/>
        </w:rPr>
        <w:t>livrable opérationnel pour Peaqock, prototype reproductible et documenté.</w:t>
      </w:r>
    </w:p>
    <w:p>
      <w:pPr>
        <w:pStyle w:val="Heading2"/>
      </w:pPr>
      <w:r>
        <w:t>4. Limites du travail</w:t>
      </w:r>
    </w:p>
    <w:p>
      <w:r>
        <w:rPr>
          <w:rFonts w:ascii="Calibri" w:hAnsi="Calibri"/>
          <w:i/>
        </w:rPr>
        <w:t>Rappel synthétique des limites techniques et méthodologiques.</w:t>
      </w:r>
    </w:p>
    <w:p>
      <w:pPr>
        <w:pStyle w:val="Heading2"/>
      </w:pPr>
      <w:r>
        <w:t>5. Perspectives</w:t>
      </w:r>
    </w:p>
    <w:p>
      <w:r>
        <w:rPr>
          <w:rFonts w:ascii="Calibri" w:hAnsi="Calibri"/>
        </w:rPr>
        <w:t>Extension multi-titres, temps réel, dashboard mobile, intégration des critères ESG.</w:t>
      </w:r>
    </w:p>
    <w:p>
      <w:r>
        <w:br w:type="page"/>
      </w:r>
    </w:p>
    <w:p>
      <w:pPr>
        <w:pStyle w:val="Heading1"/>
      </w:pPr>
      <w:r>
        <w:t>BIBLIOGRAPHIE (format APA 7e édition)</w:t>
      </w:r>
    </w:p>
    <w:p>
      <w:r>
        <w:rPr>
          <w:rFonts w:ascii="Calibri" w:hAnsi="Calibri"/>
          <w:i/>
        </w:rPr>
        <w:t>Liste finale agrégée des références citées dans le mémoire, organisée alphabétiquement.</w:t>
      </w:r>
    </w:p>
    <w:p>
      <w:pPr>
        <w:pStyle w:val="Heading1"/>
      </w:pPr>
      <w:r>
        <w:t>TABLE DES MATIÈRES</w:t>
      </w:r>
    </w:p>
    <w:p>
      <w:r>
        <w:rPr>
          <w:rFonts w:ascii="Calibri" w:hAnsi="Calibri"/>
          <w:i/>
        </w:rPr>
        <w:t>(Générée automatiquement en fin de rédaction.)</w:t>
      </w:r>
    </w:p>
    <w:p>
      <w:pPr>
        <w:pStyle w:val="Heading1"/>
      </w:pPr>
      <w:r>
        <w:t>ANNEXES</w:t>
      </w:r>
    </w:p>
    <w:p>
      <w:pPr>
        <w:pStyle w:val="ListBullet"/>
      </w:pPr>
      <w:r>
        <w:t>Annexe A — Schéma de la base de données PostgreSQL (DDL 01_schema.sql)</w:t>
      </w:r>
    </w:p>
    <w:p>
      <w:pPr>
        <w:pStyle w:val="ListBullet"/>
      </w:pPr>
      <w:r>
        <w:t>Annexe B — Extraits de code commentés (modules clés de ag.py, fundamental_models.py)</w:t>
      </w:r>
    </w:p>
    <w:p>
      <w:pPr>
        <w:pStyle w:val="ListBullet"/>
      </w:pPr>
      <w:r>
        <w:t>Annexe C — Captures d'écran de l'agent en exécution et logs</w:t>
      </w:r>
    </w:p>
    <w:p>
      <w:pPr>
        <w:pStyle w:val="ListBullet"/>
      </w:pPr>
      <w:r>
        <w:t>Annexe D — Tableaux détaillés du backtesting</w:t>
      </w:r>
    </w:p>
    <w:p>
      <w:pPr>
        <w:pStyle w:val="ListBullet"/>
      </w:pPr>
      <w:r>
        <w:t>Annexe E — Liste exhaustive des 6 sources d'actualités et règles de scoring</w:t>
      </w:r>
    </w:p>
    <w:p>
      <w:pPr>
        <w:pStyle w:val="ListBullet"/>
      </w:pPr>
      <w:r>
        <w:t>Annexe F — Glossaire technique (200+ termes)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