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w:t>
      </w:r>
      <w:proofErr w:type="spellStart"/>
      <w:r w:rsidR="00C43BD7" w:rsidRPr="00F15ED6">
        <w:rPr>
          <w:rFonts w:ascii="TH Sarabun New" w:eastAsia="Sarabun" w:hAnsi="TH Sarabun New" w:cs="TH Sarabun New"/>
          <w:b/>
          <w:sz w:val="28"/>
          <w:szCs w:val="28"/>
        </w:rPr>
        <w:t>fileName</w:t>
      </w:r>
      <w:proofErr w:type="spellEnd"/>
      <w:r w:rsidRPr="00F15ED6">
        <w:rPr>
          <w:rFonts w:ascii="TH Sarabun New" w:eastAsia="Sarabun" w:hAnsi="TH Sarabun New" w:cs="TH Sarabun New"/>
          <w:b/>
          <w:sz w:val="28"/>
          <w:szCs w:val="28"/>
        </w:rPr>
        <w:t>}}</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data.No</w:t>
            </w:r>
            <w:proofErr w:type="spell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data.Name</w:t>
            </w:r>
            <w:proofErr w:type="spell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data.Critical</w:t>
            </w:r>
            <w:proofErr w:type="spell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data.High</w:t>
            </w:r>
            <w:proofErr w:type="spell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data.Medium</w:t>
            </w:r>
            <w:proofErr w:type="spell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data.Low</w:t>
            </w:r>
            <w:proofErr w:type="spell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data.Total</w:t>
            </w:r>
            <w:proofErr w:type="spell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data.risk</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cellbg</w:t>
            </w:r>
            <w:proofErr w:type="spellEnd"/>
            <w:r w:rsidRPr="00F15ED6">
              <w:rPr>
                <w:rFonts w:ascii="TH Sarabun New" w:hAnsi="TH Sarabun New" w:cs="TH Sarabun New"/>
                <w:sz w:val="28"/>
                <w:szCs w:val="28"/>
              </w:rPr>
              <w:t xml:space="preserve"> </w:t>
            </w:r>
            <w:proofErr w:type="spellStart"/>
            <w:r w:rsidRPr="00F15ED6">
              <w:rPr>
                <w:rFonts w:ascii="TH Sarabun New" w:hAnsi="TH Sarabun New" w:cs="TH Sarabun New"/>
                <w:sz w:val="28"/>
                <w:szCs w:val="28"/>
              </w:rPr>
              <w:t>data.color</w:t>
            </w:r>
            <w:proofErr w:type="spellEnd"/>
            <w:r w:rsidRPr="00F15ED6">
              <w:rPr>
                <w:rFonts w:ascii="TH Sarabun New" w:hAnsi="TH Sarabun New" w:cs="TH Sarabun New"/>
                <w:sz w:val="28"/>
                <w:szCs w:val="28"/>
              </w:rPr>
              <w:t>%}</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data.port</w:t>
            </w:r>
            <w:proofErr w:type="spellEnd"/>
            <w:r w:rsidRPr="00F15ED6">
              <w:rPr>
                <w:rFonts w:ascii="TH Sarabun New" w:hAnsi="TH Sarabun New" w:cs="TH Sarabun New"/>
                <w:sz w:val="28"/>
                <w:szCs w:val="28"/>
              </w:rPr>
              <w:t>}}</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data.host</w:t>
            </w:r>
            <w:proofErr w:type="spellEnd"/>
            <w:r w:rsidRPr="00F15ED6">
              <w:rPr>
                <w:rFonts w:ascii="TH Sarabun New" w:hAnsi="TH Sarabun New" w:cs="TH Sarabun New"/>
                <w:sz w:val="28"/>
                <w:szCs w:val="28"/>
              </w:rPr>
              <w:t>}}</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data.description</w:t>
            </w:r>
            <w:proofErr w:type="spellEnd"/>
            <w:r w:rsidRPr="00F15ED6">
              <w:rPr>
                <w:rFonts w:ascii="TH Sarabun New" w:hAnsi="TH Sarabun New" w:cs="TH Sarabun New"/>
                <w:sz w:val="28"/>
                <w:szCs w:val="28"/>
              </w:rPr>
              <w: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data.solution</w:t>
            </w:r>
            <w:proofErr w:type="spellEnd"/>
            <w:r w:rsidRPr="00F15ED6">
              <w:rPr>
                <w:rFonts w:ascii="TH Sarabun New" w:hAnsi="TH Sarabun New" w:cs="TH Sarabun New"/>
                <w:sz w:val="28"/>
                <w:szCs w:val="28"/>
              </w:rPr>
              <w: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r w:rsidRPr="00F15ED6">
              <w:rPr>
                <w:rFonts w:ascii="TH Sarabun New" w:hAnsi="TH Sarabun New" w:cs="TH Sarabun New"/>
                <w:sz w:val="28"/>
                <w:szCs w:val="28"/>
              </w:rPr>
              <w:t>data.remark</w:t>
            </w:r>
            <w:proofErr w:type="spell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https://example.com/?password=g00dPa$$w0rD&amp;username=pHqghUme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&amp;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