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lang w:eastAsia="en-US" w:bidi="th-TH"/>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Burp</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08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f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08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9"/>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Burp</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b/>
          <w:bCs/>
          <w:noProof/>
        </w:rPr>
      </w:sdtEndPr>
      <w:sdtContent>
        <w:p w14:paraId="71B49554" w14:textId="479F069B" w:rsidR="00F15ED6" w:rsidRPr="00F15ED6" w:rsidRDefault="00F15ED6" w:rsidP="00C30D8B">
          <w:pPr>
            <w:pStyle w:val="afffa"/>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ab"/>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ab"/>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00F15ED6" w:rsidRPr="00F15ED6">
              <w:rPr>
                <w:rStyle w:val="ab"/>
                <w:rFonts w:ascii="TH Sarabun New" w:eastAsia="Sarabun" w:hAnsi="TH Sarabun New" w:cs="TH Sarabun New"/>
                <w:b w:val="0"/>
                <w:bCs w:val="0"/>
                <w:i w:val="0"/>
                <w:iCs w:val="0"/>
                <w:noProof/>
                <w:sz w:val="28"/>
              </w:rPr>
              <w:t>2.</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Operation Method</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_Toc97201648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5</w:t>
            </w:r>
            <w:r w:rsidR="00F15ED6"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00F15ED6" w:rsidRPr="00F15ED6">
              <w:rPr>
                <w:rStyle w:val="ab"/>
                <w:rFonts w:ascii="TH Sarabun New" w:eastAsia="Sarabun" w:hAnsi="TH Sarabun New" w:cs="TH Sarabun New"/>
                <w:b w:val="0"/>
                <w:bCs w:val="0"/>
                <w:i w:val="0"/>
                <w:iCs w:val="0"/>
                <w:noProof/>
                <w:sz w:val="28"/>
              </w:rPr>
              <w:t>3.</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Project Scope</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6</w:t>
            </w:r>
            <w:r w:rsidR="00F15ED6"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00F15ED6" w:rsidRPr="00F15ED6">
              <w:rPr>
                <w:rStyle w:val="ab"/>
                <w:rFonts w:ascii="TH Sarabun New" w:eastAsia="Sarabun" w:hAnsi="TH Sarabun New" w:cs="TH Sarabun New"/>
                <w:b w:val="0"/>
                <w:bCs w:val="0"/>
                <w:noProof/>
                <w:sz w:val="28"/>
                <w:szCs w:val="28"/>
              </w:rPr>
              <w:t>3.1 Infrastructure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00F15ED6" w:rsidRPr="00F15ED6">
              <w:rPr>
                <w:rStyle w:val="ab"/>
                <w:rFonts w:ascii="TH Sarabun New" w:eastAsia="Sarabun" w:hAnsi="TH Sarabun New" w:cs="TH Sarabun New"/>
                <w:b w:val="0"/>
                <w:bCs w:val="0"/>
                <w:noProof/>
                <w:sz w:val="28"/>
                <w:szCs w:val="28"/>
              </w:rPr>
              <w:t>3.2 Web Application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00F15ED6" w:rsidRPr="00F15ED6">
              <w:rPr>
                <w:rStyle w:val="ab"/>
                <w:rFonts w:ascii="TH Sarabun New" w:eastAsia="Sarabun" w:hAnsi="TH Sarabun New" w:cs="TH Sarabun New"/>
                <w:b w:val="0"/>
                <w:bCs w:val="0"/>
                <w:i w:val="0"/>
                <w:iCs w:val="0"/>
                <w:noProof/>
                <w:sz w:val="28"/>
              </w:rPr>
              <w:t>4.</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Testing Tools</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_Toc97201652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00F15ED6" w:rsidRPr="00F15ED6">
              <w:rPr>
                <w:rStyle w:val="ab"/>
                <w:rFonts w:ascii="TH Sarabun New" w:eastAsia="Sarabun" w:hAnsi="TH Sarabun New" w:cs="TH Sarabun New"/>
                <w:b w:val="0"/>
                <w:bCs w:val="0"/>
                <w:i w:val="0"/>
                <w:iCs w:val="0"/>
                <w:noProof/>
                <w:sz w:val="28"/>
              </w:rPr>
              <w:t>5.</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Infrastructure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_Toc97201653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00F15ED6" w:rsidRPr="00F15ED6">
              <w:rPr>
                <w:rStyle w:val="ab"/>
                <w:rFonts w:ascii="TH Sarabun New" w:eastAsia="Sarabun" w:hAnsi="TH Sarabun New" w:cs="TH Sarabun New"/>
                <w:b w:val="0"/>
                <w:bCs w:val="0"/>
                <w:noProof/>
                <w:sz w:val="28"/>
                <w:szCs w:val="28"/>
              </w:rPr>
              <w:t>5.1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8</w:t>
            </w:r>
            <w:r w:rsidR="00F15ED6"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00F15ED6" w:rsidRPr="00F15ED6">
              <w:rPr>
                <w:rStyle w:val="ab"/>
                <w:rFonts w:ascii="TH Sarabun New" w:eastAsia="Sarabun" w:hAnsi="TH Sarabun New" w:cs="TH Sarabun New"/>
                <w:b w:val="0"/>
                <w:bCs w:val="0"/>
                <w:noProof/>
                <w:sz w:val="28"/>
                <w:szCs w:val="28"/>
              </w:rPr>
              <w:t>5.2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_Toc97201655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9</w:t>
            </w:r>
            <w:r w:rsidR="00F15ED6"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56" w:history="1">
            <w:r w:rsidR="00F15ED6" w:rsidRPr="00F15ED6">
              <w:rPr>
                <w:rStyle w:val="ab"/>
                <w:rFonts w:ascii="TH Sarabun New" w:eastAsia="Sarabun" w:hAnsi="TH Sarabun New" w:cs="TH Sarabun New"/>
                <w:noProof/>
                <w:sz w:val="28"/>
                <w:szCs w:val="28"/>
              </w:rPr>
              <w:t>5.2.1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_Toc97201656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AF4055D" w14:textId="47675325"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57" w:history="1">
            <w:r w:rsidR="00F15ED6" w:rsidRPr="00F15ED6">
              <w:rPr>
                <w:rStyle w:val="ab"/>
                <w:rFonts w:ascii="TH Sarabun New" w:eastAsia="Sarabun" w:hAnsi="TH Sarabun New" w:cs="TH Sarabun New"/>
                <w:noProof/>
                <w:sz w:val="28"/>
                <w:szCs w:val="28"/>
              </w:rPr>
              <w:t>5.2.2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_Toc97201657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E7EB18D" w14:textId="312F857D"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00F15ED6" w:rsidRPr="00F15ED6">
              <w:rPr>
                <w:rStyle w:val="ab"/>
                <w:rFonts w:ascii="TH Sarabun New" w:eastAsia="Sarabun" w:hAnsi="TH Sarabun New" w:cs="TH Sarabun New"/>
                <w:b w:val="0"/>
                <w:bCs w:val="0"/>
                <w:noProof/>
                <w:sz w:val="28"/>
                <w:szCs w:val="28"/>
              </w:rPr>
              <w:t>5.3 Infrastructure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_Toc97201658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11</w:t>
            </w:r>
            <w:r w:rsidR="00F15ED6"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00F15ED6" w:rsidRPr="00F15ED6">
              <w:rPr>
                <w:rStyle w:val="ab"/>
                <w:rFonts w:ascii="TH Sarabun New" w:eastAsia="Sarabun" w:hAnsi="TH Sarabun New" w:cs="TH Sarabun New"/>
                <w:b w:val="0"/>
                <w:bCs w:val="0"/>
                <w:i w:val="0"/>
                <w:iCs w:val="0"/>
                <w:noProof/>
                <w:sz w:val="28"/>
              </w:rPr>
              <w:t>6.</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Web Application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12</w:t>
            </w:r>
            <w:r w:rsidR="00F15ED6"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00F15ED6" w:rsidRPr="00F15ED6">
              <w:rPr>
                <w:rStyle w:val="ab"/>
                <w:rFonts w:ascii="TH Sarabun New" w:eastAsia="Sarabun" w:hAnsi="TH Sarabun New" w:cs="TH Sarabun New"/>
                <w:b w:val="0"/>
                <w:bCs w:val="0"/>
                <w:noProof/>
                <w:sz w:val="28"/>
                <w:szCs w:val="28"/>
              </w:rPr>
              <w:t>6.1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13</w:t>
            </w:r>
            <w:r w:rsidR="00F15ED6"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00F15ED6" w:rsidRPr="00F15ED6">
              <w:rPr>
                <w:rStyle w:val="ab"/>
                <w:rFonts w:ascii="TH Sarabun New" w:eastAsia="Sarabun" w:hAnsi="TH Sarabun New" w:cs="TH Sarabun New"/>
                <w:b w:val="0"/>
                <w:bCs w:val="0"/>
                <w:noProof/>
                <w:sz w:val="28"/>
                <w:szCs w:val="28"/>
              </w:rPr>
              <w:t>6.2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14</w:t>
            </w:r>
            <w:r w:rsidR="00F15ED6"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62" w:history="1">
            <w:r w:rsidR="00F15ED6" w:rsidRPr="00F15ED6">
              <w:rPr>
                <w:rStyle w:val="ab"/>
                <w:rFonts w:ascii="TH Sarabun New" w:eastAsia="Sarabun" w:hAnsi="TH Sarabun New" w:cs="TH Sarabun New"/>
                <w:noProof/>
                <w:sz w:val="28"/>
                <w:szCs w:val="28"/>
              </w:rPr>
              <w:t>6.2.1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151A9494" w14:textId="200DBF05"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63" w:history="1">
            <w:r w:rsidR="00F15ED6" w:rsidRPr="00F15ED6">
              <w:rPr>
                <w:rStyle w:val="ab"/>
                <w:rFonts w:ascii="TH Sarabun New" w:eastAsia="Sarabun" w:hAnsi="TH Sarabun New" w:cs="TH Sarabun New"/>
                <w:noProof/>
                <w:sz w:val="28"/>
                <w:szCs w:val="28"/>
              </w:rPr>
              <w:t>6.2.2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_Toc97201663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37C2B102" w14:textId="5EA54F43"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00F15ED6" w:rsidRPr="00F15ED6">
              <w:rPr>
                <w:rStyle w:val="ab"/>
                <w:rFonts w:ascii="TH Sarabun New" w:eastAsia="Sarabun" w:hAnsi="TH Sarabun New" w:cs="TH Sarabun New"/>
                <w:b w:val="0"/>
                <w:bCs w:val="0"/>
                <w:noProof/>
                <w:sz w:val="28"/>
                <w:szCs w:val="28"/>
              </w:rPr>
              <w:t>6.3 Web Application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15</w:t>
            </w:r>
            <w:r w:rsidR="00F15ED6"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00F15ED6" w:rsidRPr="00F15ED6">
              <w:rPr>
                <w:rStyle w:val="ab"/>
                <w:rFonts w:ascii="TH Sarabun New" w:eastAsia="Sarabun" w:hAnsi="TH Sarabun New" w:cs="TH Sarabun New"/>
                <w:b w:val="0"/>
                <w:bCs w:val="0"/>
                <w:i w:val="0"/>
                <w:iCs w:val="0"/>
                <w:noProof/>
                <w:sz w:val="28"/>
              </w:rPr>
              <w:t>7.</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Port Discovery</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_Toc97201665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18</w:t>
            </w:r>
            <w:r w:rsidR="00F15ED6"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00F15ED6" w:rsidRPr="00F15ED6">
              <w:rPr>
                <w:rStyle w:val="ab"/>
                <w:rFonts w:ascii="TH Sarabun New" w:eastAsia="Sarabun" w:hAnsi="TH Sarabun New" w:cs="TH Sarabun New"/>
                <w:b w:val="0"/>
                <w:bCs w:val="0"/>
                <w:i w:val="0"/>
                <w:iCs w:val="0"/>
                <w:noProof/>
                <w:sz w:val="28"/>
              </w:rPr>
              <w:t>8.</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Appendix</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_Toc97201666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19</w:t>
            </w:r>
            <w:r w:rsidR="00F15ED6"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00F15ED6" w:rsidRPr="00F15ED6">
              <w:rPr>
                <w:rStyle w:val="ab"/>
                <w:rFonts w:ascii="TH Sarabun New" w:eastAsia="Sarabun" w:hAnsi="TH Sarabun New" w:cs="TH Sarabun New"/>
                <w:b w:val="0"/>
                <w:bCs w:val="0"/>
                <w:noProof/>
                <w:sz w:val="28"/>
                <w:szCs w:val="28"/>
              </w:rPr>
              <w:t>8.1 About Nessus</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_Toc97201667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19</w:t>
            </w:r>
            <w:r w:rsidR="00F15ED6"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68" w:history="1">
            <w:r w:rsidR="00F15ED6" w:rsidRPr="00F15ED6">
              <w:rPr>
                <w:rStyle w:val="ab"/>
                <w:rFonts w:ascii="TH Sarabun New" w:eastAsia="Sarabun" w:hAnsi="TH Sarabun New" w:cs="TH Sarabun New"/>
                <w:noProof/>
                <w:sz w:val="28"/>
                <w:szCs w:val="28"/>
                <w:highlight w:val="white"/>
              </w:rPr>
              <w:t>8.1.1 Nessus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_Toc97201668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2C65F95" w14:textId="01D54B09"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69" w:history="1">
            <w:r w:rsidR="00F15ED6" w:rsidRPr="00F15ED6">
              <w:rPr>
                <w:rStyle w:val="ab"/>
                <w:rFonts w:ascii="TH Sarabun New" w:eastAsia="Sarabun" w:hAnsi="TH Sarabun New" w:cs="TH Sarabun New"/>
                <w:noProof/>
                <w:sz w:val="28"/>
                <w:szCs w:val="28"/>
              </w:rPr>
              <w:t>8.1.2 Nessus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_Toc97201669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F4DCD70" w14:textId="567AA5D0"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00F15ED6" w:rsidRPr="00F15ED6">
              <w:rPr>
                <w:rStyle w:val="ab"/>
                <w:rFonts w:ascii="TH Sarabun New" w:eastAsia="Sarabun" w:hAnsi="TH Sarabun New" w:cs="TH Sarabun New"/>
                <w:b w:val="0"/>
                <w:bCs w:val="0"/>
                <w:noProof/>
                <w:sz w:val="28"/>
                <w:szCs w:val="28"/>
              </w:rPr>
              <w:t>8.2 About Acunetix</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_Toc97201670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21</w:t>
            </w:r>
            <w:r w:rsidR="00F15ED6"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71" w:history="1">
            <w:r w:rsidR="00F15ED6" w:rsidRPr="00F15ED6">
              <w:rPr>
                <w:rStyle w:val="ab"/>
                <w:rFonts w:ascii="TH Sarabun New" w:eastAsia="Sarabun" w:hAnsi="TH Sarabun New" w:cs="TH Sarabun New"/>
                <w:noProof/>
                <w:sz w:val="28"/>
                <w:szCs w:val="28"/>
                <w:highlight w:val="white"/>
              </w:rPr>
              <w:t>8.2.1 Acunetix web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_Toc97201671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21</w:t>
            </w:r>
            <w:r w:rsidR="00F15ED6" w:rsidRPr="00F15ED6">
              <w:rPr>
                <w:rFonts w:ascii="TH Sarabun New" w:hAnsi="TH Sarabun New" w:cs="TH Sarabun New"/>
                <w:noProof/>
                <w:webHidden/>
                <w:sz w:val="28"/>
                <w:szCs w:val="28"/>
              </w:rPr>
              <w:fldChar w:fldCharType="end"/>
            </w:r>
          </w:hyperlink>
        </w:p>
        <w:p w14:paraId="2708C632" w14:textId="57CCA6B5"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72" w:history="1">
            <w:r w:rsidR="00F15ED6" w:rsidRPr="00F15ED6">
              <w:rPr>
                <w:rStyle w:val="ab"/>
                <w:rFonts w:ascii="TH Sarabun New" w:eastAsia="Sarabun" w:hAnsi="TH Sarabun New" w:cs="TH Sarabun New"/>
                <w:noProof/>
                <w:sz w:val="28"/>
                <w:szCs w:val="28"/>
              </w:rPr>
              <w:t>8.2.2 Acunetix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22</w:t>
            </w:r>
            <w:r w:rsidR="00F15ED6"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lang w:eastAsia="en-US" w:bidi="th-TH"/>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fa"/>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FD643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FD6438"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FD643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FD643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FD643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fb"/>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cs/>
                <w:lang w:bidi="th-TH"/>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FD643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fc"/>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lang w:eastAsia="en-US" w:bidi="th-TH"/>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lang w:eastAsia="en-US" w:bidi="th-TH"/>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fd"/>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464D11B4" w:rsidR="008D7B58" w:rsidRPr="00F15ED6" w:rsidRDefault="007A4671"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lang w:eastAsia="en-US" w:bidi="th-TH"/>
        </w:rPr>
        <w:drawing>
          <wp:inline distT="0" distB="0" distL="0" distR="0" wp14:anchorId="15ACF48B" wp14:editId="1085FE4E">
            <wp:extent cx="4248743" cy="3362794"/>
            <wp:effectExtent l="0" t="0" r="0" b="9525"/>
            <wp:docPr id="1005"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3">
                      <a:extLst>
                        <a:ext uri="{28A0092B-C50C-407E-A947-70E740481C1C}">
                          <a14:useLocalDpi xmlns:a14="http://schemas.microsoft.com/office/drawing/2010/main" val="0"/>
                        </a:ext>
                      </a:extLst>
                    </a:blip>
                    <a:stretch>
                      <a:fillRect/>
                    </a:stretch>
                  </pic:blipFill>
                  <pic:spPr>
                    <a:xfrm>
                      <a:off x="0" y="0"/>
                      <a:ext cx="4248743" cy="3362794"/>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fe"/>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3232802B" w:rsidR="00782DFA" w:rsidRPr="00F15ED6" w:rsidRDefault="009E580E"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Pr>
                <w:rFonts w:ascii="TH Sarabun New" w:hAnsi="TH Sarabun New" w:cs="TH Sarabun New"/>
                <w:sz w:val="28"/>
                <w:szCs w:val="28"/>
              </w:rPr>
              <w:t xml:space="preserve">https://demo.testfire.net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65.61.137.117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3232802B" w:rsidR="00782DFA" w:rsidRPr="00F15ED6" w:rsidRDefault="009E580E"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Pr>
                <w:rFonts w:ascii="TH Sarabun New" w:hAnsi="TH Sarabun New" w:cs="TH Sarabun New"/>
                <w:sz w:val="28"/>
                <w:szCs w:val="28"/>
              </w:rPr>
              <w:t xml:space="preserve">https://example.net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3232802B" w:rsidR="00782DFA" w:rsidRPr="00F15ED6" w:rsidRDefault="009E580E"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Pr>
                <w:rFonts w:ascii="TH Sarabun New" w:hAnsi="TH Sarabun New" w:cs="TH Sarabun New"/>
                <w:sz w:val="28"/>
                <w:szCs w:val="28"/>
              </w:rPr>
              <w:t xml:space="preserve">https://example2.net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203.150.110.29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13</w:t>
            </w:r>
          </w:p>
        </w:tc>
      </w:tr>
    </w:tbl>
    <w:p w14:paraId="78E393F7" w14:textId="77777777" w:rsidR="008D7B58" w:rsidRPr="00F15ED6" w:rsidRDefault="00F62725" w:rsidP="00C30D8B">
      <w:pPr>
        <w:pStyle w:val="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7" w:name="_Toc97201658"/>
      <w:r w:rsidRPr="00F15ED6">
        <w:rPr>
          <w:rFonts w:ascii="TH Sarabun New" w:eastAsia="Sarabun" w:hAnsi="TH Sarabun New" w:cs="TH Sarabun New"/>
          <w:b/>
          <w:color w:val="2F5496"/>
          <w:sz w:val="28"/>
          <w:szCs w:val="28"/>
        </w:rPr>
        <w:lastRenderedPageBreak/>
        <w:t>5.3 Infrastructure Vulnerability Detail</w:t>
      </w:r>
      <w:bookmarkEnd w:id="17"/>
    </w:p>
    <w:tbl>
      <w:tblPr>
        <w:tblStyle w:val="aff"/>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18" w:name="_Toc97201659"/>
      <w:r w:rsidRPr="00F15ED6">
        <w:rPr>
          <w:rFonts w:ascii="TH Sarabun New" w:eastAsia="Sarabun" w:hAnsi="TH Sarabun New" w:cs="TH Sarabun New"/>
          <w:sz w:val="28"/>
          <w:szCs w:val="28"/>
        </w:rPr>
        <w:lastRenderedPageBreak/>
        <w:t>Web Application Vulnerability Assessment</w:t>
      </w:r>
      <w:bookmarkEnd w:id="18"/>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lang w:eastAsia="en-US" w:bidi="th-TH"/>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19" w:name="_Toc97201660"/>
      <w:r w:rsidRPr="00F15ED6">
        <w:rPr>
          <w:rFonts w:ascii="TH Sarabun New" w:eastAsia="Sarabun" w:hAnsi="TH Sarabun New" w:cs="TH Sarabun New"/>
          <w:b/>
          <w:color w:val="2F5496"/>
          <w:sz w:val="28"/>
          <w:szCs w:val="28"/>
        </w:rPr>
        <w:lastRenderedPageBreak/>
        <w:t>6.1 Target Information</w:t>
      </w:r>
      <w:bookmarkEnd w:id="19"/>
    </w:p>
    <w:tbl>
      <w:tblPr>
        <w:tblStyle w:val="afff1"/>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20" w:name="_Toc97201661"/>
      <w:r w:rsidRPr="00F15ED6">
        <w:rPr>
          <w:rFonts w:ascii="TH Sarabun New" w:eastAsia="Sarabun" w:hAnsi="TH Sarabun New" w:cs="TH Sarabun New"/>
          <w:b/>
          <w:color w:val="2F5496"/>
          <w:sz w:val="28"/>
          <w:szCs w:val="28"/>
        </w:rPr>
        <w:lastRenderedPageBreak/>
        <w:t>6.2 Executive summary</w:t>
      </w:r>
      <w:bookmarkEnd w:id="20"/>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21" w:name="_Toc97201662"/>
      <w:r w:rsidRPr="00F15ED6">
        <w:rPr>
          <w:rFonts w:ascii="TH Sarabun New" w:eastAsia="Sarabun" w:hAnsi="TH Sarabun New" w:cs="TH Sarabun New"/>
          <w:b/>
          <w:color w:val="2F5496"/>
          <w:sz w:val="28"/>
          <w:szCs w:val="28"/>
        </w:rPr>
        <w:t>6.2.1 Summary Vulnerability by Severity</w:t>
      </w:r>
      <w:bookmarkEnd w:id="21"/>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lang w:eastAsia="en-US" w:bidi="th-TH"/>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22" w:name="_Toc97201663"/>
      <w:r w:rsidRPr="00F15ED6">
        <w:rPr>
          <w:rFonts w:ascii="TH Sarabun New" w:eastAsia="Sarabun" w:hAnsi="TH Sarabun New" w:cs="TH Sarabun New"/>
          <w:b/>
          <w:color w:val="2F5496"/>
          <w:sz w:val="28"/>
          <w:szCs w:val="28"/>
        </w:rPr>
        <w:t>6.2.2 Vulnerability by Target</w:t>
      </w:r>
      <w:bookmarkEnd w:id="22"/>
    </w:p>
    <w:tbl>
      <w:tblPr>
        <w:tblStyle w:val="afff2"/>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2"/>
        <w:spacing w:before="0" w:line="240" w:lineRule="auto"/>
        <w:rPr>
          <w:rFonts w:ascii="TH Sarabun New" w:eastAsia="Sarabun" w:hAnsi="TH Sarabun New" w:cs="TH Sarabun New"/>
          <w:b/>
          <w:color w:val="2F5496"/>
          <w:sz w:val="28"/>
          <w:szCs w:val="28"/>
        </w:rPr>
      </w:pPr>
      <w:bookmarkStart w:id="23" w:name="_Toc97201664"/>
      <w:r w:rsidRPr="00F15ED6">
        <w:rPr>
          <w:rFonts w:ascii="TH Sarabun New" w:eastAsia="Sarabun" w:hAnsi="TH Sarabun New" w:cs="TH Sarabun New"/>
          <w:b/>
          <w:color w:val="2F5496"/>
          <w:sz w:val="28"/>
          <w:szCs w:val="28"/>
        </w:rPr>
        <w:lastRenderedPageBreak/>
        <w:t>6.3 Web Application Vulnerability Detail</w:t>
      </w:r>
      <w:bookmarkEnd w:id="23"/>
    </w:p>
    <w:tbl>
      <w:tblPr>
        <w:tblStyle w:val="afff3"/>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ff4"/>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ff5"/>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ff6"/>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https://example.com/?password=g00dPa$$w0rD&amp;username=pHqghUme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24" w:name="_Toc97201665"/>
      <w:r w:rsidRPr="00F15ED6">
        <w:rPr>
          <w:rFonts w:ascii="TH Sarabun New" w:eastAsia="Sarabun" w:hAnsi="TH Sarabun New" w:cs="TH Sarabun New"/>
          <w:sz w:val="28"/>
          <w:szCs w:val="28"/>
        </w:rPr>
        <w:lastRenderedPageBreak/>
        <w:t>Port Discovery</w:t>
      </w:r>
      <w:bookmarkEnd w:id="24"/>
    </w:p>
    <w:tbl>
      <w:tblPr>
        <w:tblStyle w:val="afff7"/>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smtp</w:t>
            </w:r>
            <w:proofErr w:type="spellEnd"/>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gramStart"/>
            <w:r w:rsidRPr="00F15ED6">
              <w:rPr>
                <w:rFonts w:ascii="TH Sarabun New" w:eastAsia="Sarabun" w:hAnsi="TH Sarabun New" w:cs="TH Sarabun New"/>
                <w:sz w:val="28"/>
                <w:szCs w:val="28"/>
              </w:rPr>
              <w:t>https-alt</w:t>
            </w:r>
            <w:proofErr w:type="gramEnd"/>
            <w:r w:rsidRPr="00F15ED6">
              <w:rPr>
                <w:rFonts w:ascii="TH Sarabun New" w:eastAsia="Sarabun" w:hAnsi="TH Sarabun New" w:cs="TH Sarabun New"/>
                <w:sz w:val="28"/>
                <w:szCs w:val="28"/>
              </w:rPr>
              <w: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25" w:name="_Toc97201666"/>
      <w:r w:rsidRPr="00F15ED6">
        <w:rPr>
          <w:rFonts w:ascii="TH Sarabun New" w:eastAsia="Sarabun" w:hAnsi="TH Sarabun New" w:cs="TH Sarabun New"/>
          <w:sz w:val="28"/>
          <w:szCs w:val="28"/>
        </w:rPr>
        <w:lastRenderedPageBreak/>
        <w:t>Appendix</w:t>
      </w:r>
      <w:bookmarkEnd w:id="25"/>
    </w:p>
    <w:p w14:paraId="523A56F9"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26" w:name="_Toc97201667"/>
      <w:r w:rsidRPr="00F15ED6">
        <w:rPr>
          <w:rFonts w:ascii="TH Sarabun New" w:eastAsia="Sarabun" w:hAnsi="TH Sarabun New" w:cs="TH Sarabun New"/>
          <w:b/>
          <w:color w:val="2F5496"/>
          <w:sz w:val="28"/>
          <w:szCs w:val="28"/>
        </w:rPr>
        <w:t>8.1 About Nessus</w:t>
      </w:r>
      <w:bookmarkEnd w:id="26"/>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highlight w:val="white"/>
        </w:rPr>
      </w:pPr>
      <w:bookmarkStart w:id="27" w:name="_Toc97201668"/>
      <w:r w:rsidRPr="00F15ED6">
        <w:rPr>
          <w:rFonts w:ascii="TH Sarabun New" w:eastAsia="Sarabun" w:hAnsi="TH Sarabun New" w:cs="TH Sarabun New"/>
          <w:b/>
          <w:color w:val="2F5496"/>
          <w:sz w:val="28"/>
          <w:szCs w:val="28"/>
          <w:highlight w:val="white"/>
        </w:rPr>
        <w:t>8.1.1 Nessus vulnerabilities</w:t>
      </w:r>
      <w:bookmarkEnd w:id="27"/>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28" w:name="_Toc97201669"/>
      <w:r w:rsidRPr="00F15ED6">
        <w:rPr>
          <w:rFonts w:ascii="TH Sarabun New" w:eastAsia="Sarabun" w:hAnsi="TH Sarabun New" w:cs="TH Sarabun New"/>
          <w:b/>
          <w:color w:val="2F5496"/>
          <w:sz w:val="28"/>
          <w:szCs w:val="28"/>
        </w:rPr>
        <w:t>8.1.2 Nessus risk score</w:t>
      </w:r>
      <w:bookmarkEnd w:id="28"/>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f8"/>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29"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9"/>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highlight w:val="white"/>
        </w:rPr>
      </w:pPr>
      <w:bookmarkStart w:id="30"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30"/>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31"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1"/>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f9"/>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BE3D9" w14:textId="77777777" w:rsidR="00FD6438" w:rsidRDefault="00FD6438">
      <w:pPr>
        <w:spacing w:after="0" w:line="240" w:lineRule="auto"/>
      </w:pPr>
      <w:r>
        <w:separator/>
      </w:r>
    </w:p>
  </w:endnote>
  <w:endnote w:type="continuationSeparator" w:id="0">
    <w:p w14:paraId="1D10D4E4" w14:textId="77777777" w:rsidR="00FD6438" w:rsidRDefault="00FD6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Pr>
        <w:rFonts w:ascii="Sarabun" w:eastAsia="Sarabun" w:hAnsi="Sarabun" w:cs="Sarabun"/>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9E580E">
      <w:rPr>
        <w:rFonts w:ascii="Sarabun" w:eastAsia="Sarabun" w:hAnsi="Sarabun" w:cs="Sarabun"/>
        <w:noProof/>
        <w:color w:val="000000"/>
        <w:sz w:val="22"/>
        <w:szCs w:val="22"/>
      </w:rPr>
      <w:t>21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Burp</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B0AE8" w14:textId="77777777" w:rsidR="00FD6438" w:rsidRDefault="00FD6438">
      <w:pPr>
        <w:spacing w:after="0" w:line="240" w:lineRule="auto"/>
      </w:pPr>
      <w:r>
        <w:separator/>
      </w:r>
    </w:p>
  </w:footnote>
  <w:footnote w:type="continuationSeparator" w:id="0">
    <w:p w14:paraId="67EB8A85" w14:textId="77777777" w:rsidR="00FD6438" w:rsidRDefault="00FD6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lang w:eastAsia="en-US" w:bidi="th-TH"/>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51865"/>
    <w:rsid w:val="00685F8B"/>
    <w:rsid w:val="006E3C65"/>
    <w:rsid w:val="0072320F"/>
    <w:rsid w:val="00725FFB"/>
    <w:rsid w:val="007477BC"/>
    <w:rsid w:val="00773876"/>
    <w:rsid w:val="0078055A"/>
    <w:rsid w:val="00782DFA"/>
    <w:rsid w:val="00786269"/>
    <w:rsid w:val="007A0076"/>
    <w:rsid w:val="007A1B57"/>
    <w:rsid w:val="007A4671"/>
    <w:rsid w:val="007B6770"/>
    <w:rsid w:val="007D5014"/>
    <w:rsid w:val="008273F4"/>
    <w:rsid w:val="008B08BB"/>
    <w:rsid w:val="008B71D7"/>
    <w:rsid w:val="008C5C35"/>
    <w:rsid w:val="008D7B58"/>
    <w:rsid w:val="008F5F78"/>
    <w:rsid w:val="0093348D"/>
    <w:rsid w:val="00962736"/>
    <w:rsid w:val="009B3EED"/>
    <w:rsid w:val="009B7433"/>
    <w:rsid w:val="009D5B37"/>
    <w:rsid w:val="009E580E"/>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D2672"/>
    <w:rsid w:val="00CE775B"/>
    <w:rsid w:val="00CF3D3D"/>
    <w:rsid w:val="00D14027"/>
    <w:rsid w:val="00D15DF0"/>
    <w:rsid w:val="00D3202C"/>
    <w:rsid w:val="00D707AF"/>
    <w:rsid w:val="00DB5620"/>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D6438"/>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 SarabunPSK" w:eastAsiaTheme="minorEastAsia" w:hAnsi="TH SarabunPSK" w:cstheme="minorBidi"/>
      <w:lang w:eastAsia="zh-CN" w:bidi="ar-SA"/>
    </w:rPr>
  </w:style>
  <w:style w:type="paragraph" w:styleId="1">
    <w:name w:val="heading 1"/>
    <w:basedOn w:val="a"/>
    <w:next w:val="a"/>
    <w:link w:val="10"/>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2">
    <w:name w:val="heading 2"/>
    <w:basedOn w:val="a"/>
    <w:next w:val="a"/>
    <w:link w:val="20"/>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qFormat/>
    <w:pPr>
      <w:spacing w:after="0" w:line="240" w:lineRule="auto"/>
    </w:pPr>
    <w:rPr>
      <w:rFonts w:ascii="Times New Roman" w:hAnsi="Times New Roman" w:cs="Times New Roman"/>
      <w:sz w:val="18"/>
      <w:szCs w:val="18"/>
    </w:rPr>
  </w:style>
  <w:style w:type="paragraph" w:styleId="a6">
    <w:name w:val="footer"/>
    <w:basedOn w:val="a"/>
    <w:link w:val="a7"/>
    <w:uiPriority w:val="99"/>
    <w:unhideWhenUsed/>
    <w:qFormat/>
    <w:pPr>
      <w:tabs>
        <w:tab w:val="center" w:pos="4680"/>
        <w:tab w:val="right" w:pos="9360"/>
      </w:tabs>
      <w:spacing w:after="0" w:line="240" w:lineRule="auto"/>
    </w:pPr>
  </w:style>
  <w:style w:type="paragraph" w:styleId="a8">
    <w:name w:val="header"/>
    <w:basedOn w:val="a"/>
    <w:link w:val="a9"/>
    <w:uiPriority w:val="99"/>
    <w:unhideWhenUsed/>
    <w:qFormat/>
    <w:pPr>
      <w:tabs>
        <w:tab w:val="center" w:pos="4680"/>
        <w:tab w:val="right" w:pos="9360"/>
      </w:tabs>
      <w:spacing w:after="0" w:line="240" w:lineRule="auto"/>
    </w:p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aa">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11">
    <w:name w:val="toc 1"/>
    <w:basedOn w:val="a"/>
    <w:next w:val="a"/>
    <w:uiPriority w:val="39"/>
    <w:unhideWhenUsed/>
    <w:qFormat/>
    <w:pPr>
      <w:spacing w:before="120" w:after="0"/>
    </w:pPr>
    <w:rPr>
      <w:rFonts w:asciiTheme="minorHAnsi" w:hAnsiTheme="minorHAnsi" w:cstheme="minorHAnsi"/>
      <w:b/>
      <w:bCs/>
      <w:i/>
      <w:iCs/>
      <w:sz w:val="24"/>
      <w:szCs w:val="28"/>
    </w:rPr>
  </w:style>
  <w:style w:type="paragraph" w:styleId="21">
    <w:name w:val="toc 2"/>
    <w:basedOn w:val="a"/>
    <w:next w:val="a"/>
    <w:uiPriority w:val="39"/>
    <w:unhideWhenUsed/>
    <w:qFormat/>
    <w:pPr>
      <w:spacing w:before="120" w:after="0"/>
      <w:ind w:left="360"/>
    </w:pPr>
    <w:rPr>
      <w:rFonts w:asciiTheme="minorHAnsi" w:hAnsiTheme="minorHAnsi" w:cstheme="minorHAnsi"/>
      <w:b/>
      <w:bCs/>
      <w:sz w:val="22"/>
      <w:szCs w:val="26"/>
    </w:rPr>
  </w:style>
  <w:style w:type="paragraph" w:styleId="31">
    <w:name w:val="toc 3"/>
    <w:basedOn w:val="a"/>
    <w:next w:val="a"/>
    <w:uiPriority w:val="39"/>
    <w:unhideWhenUsed/>
    <w:qFormat/>
    <w:pPr>
      <w:spacing w:after="0"/>
      <w:ind w:left="720"/>
    </w:pPr>
    <w:rPr>
      <w:rFonts w:asciiTheme="minorHAnsi" w:hAnsiTheme="minorHAnsi" w:cstheme="minorHAnsi"/>
      <w:sz w:val="20"/>
      <w:szCs w:val="24"/>
    </w:rPr>
  </w:style>
  <w:style w:type="paragraph" w:styleId="41">
    <w:name w:val="toc 4"/>
    <w:basedOn w:val="a"/>
    <w:next w:val="a"/>
    <w:uiPriority w:val="39"/>
    <w:semiHidden/>
    <w:unhideWhenUsed/>
    <w:qFormat/>
    <w:pPr>
      <w:spacing w:after="0"/>
      <w:ind w:left="1080"/>
    </w:pPr>
    <w:rPr>
      <w:rFonts w:asciiTheme="minorHAnsi" w:hAnsiTheme="minorHAnsi" w:cstheme="minorHAnsi"/>
      <w:sz w:val="20"/>
      <w:szCs w:val="24"/>
    </w:rPr>
  </w:style>
  <w:style w:type="paragraph" w:styleId="51">
    <w:name w:val="toc 5"/>
    <w:basedOn w:val="a"/>
    <w:next w:val="a"/>
    <w:uiPriority w:val="39"/>
    <w:semiHidden/>
    <w:unhideWhenUsed/>
    <w:qFormat/>
    <w:pPr>
      <w:spacing w:after="0"/>
      <w:ind w:left="1440"/>
    </w:pPr>
    <w:rPr>
      <w:rFonts w:asciiTheme="minorHAnsi" w:hAnsiTheme="minorHAnsi" w:cstheme="minorHAnsi"/>
      <w:sz w:val="20"/>
      <w:szCs w:val="24"/>
    </w:rPr>
  </w:style>
  <w:style w:type="paragraph" w:styleId="61">
    <w:name w:val="toc 6"/>
    <w:basedOn w:val="a"/>
    <w:next w:val="a"/>
    <w:uiPriority w:val="39"/>
    <w:semiHidden/>
    <w:unhideWhenUsed/>
    <w:qFormat/>
    <w:pPr>
      <w:spacing w:after="0"/>
      <w:ind w:left="1800"/>
    </w:pPr>
    <w:rPr>
      <w:rFonts w:asciiTheme="minorHAnsi" w:hAnsiTheme="minorHAnsi" w:cstheme="minorHAnsi"/>
      <w:sz w:val="20"/>
      <w:szCs w:val="24"/>
    </w:rPr>
  </w:style>
  <w:style w:type="paragraph" w:styleId="7">
    <w:name w:val="toc 7"/>
    <w:basedOn w:val="a"/>
    <w:next w:val="a"/>
    <w:uiPriority w:val="39"/>
    <w:semiHidden/>
    <w:unhideWhenUsed/>
    <w:qFormat/>
    <w:pPr>
      <w:spacing w:after="0"/>
      <w:ind w:left="2160"/>
    </w:pPr>
    <w:rPr>
      <w:rFonts w:asciiTheme="minorHAnsi" w:hAnsiTheme="minorHAnsi" w:cstheme="minorHAnsi"/>
      <w:sz w:val="20"/>
      <w:szCs w:val="24"/>
    </w:rPr>
  </w:style>
  <w:style w:type="paragraph" w:styleId="8">
    <w:name w:val="toc 8"/>
    <w:basedOn w:val="a"/>
    <w:next w:val="a"/>
    <w:uiPriority w:val="39"/>
    <w:semiHidden/>
    <w:unhideWhenUsed/>
    <w:qFormat/>
    <w:pPr>
      <w:spacing w:after="0"/>
      <w:ind w:left="2520"/>
    </w:pPr>
    <w:rPr>
      <w:rFonts w:asciiTheme="minorHAnsi" w:hAnsiTheme="minorHAnsi" w:cstheme="minorHAnsi"/>
      <w:sz w:val="20"/>
      <w:szCs w:val="24"/>
    </w:rPr>
  </w:style>
  <w:style w:type="paragraph" w:styleId="9">
    <w:name w:val="toc 9"/>
    <w:basedOn w:val="a"/>
    <w:next w:val="a"/>
    <w:uiPriority w:val="39"/>
    <w:semiHidden/>
    <w:unhideWhenUsed/>
    <w:qFormat/>
    <w:pPr>
      <w:spacing w:after="0"/>
      <w:ind w:left="2880"/>
    </w:pPr>
    <w:rPr>
      <w:rFonts w:asciiTheme="minorHAnsi" w:hAnsiTheme="minorHAnsi" w:cstheme="minorHAnsi"/>
      <w:sz w:val="20"/>
      <w:szCs w:val="24"/>
    </w:rPr>
  </w:style>
  <w:style w:type="character" w:styleId="ab">
    <w:name w:val="Hyperlink"/>
    <w:basedOn w:val="a0"/>
    <w:uiPriority w:val="99"/>
    <w:qFormat/>
    <w:rPr>
      <w:color w:val="0000FF"/>
      <w:u w:val="single"/>
    </w:rPr>
  </w:style>
  <w:style w:type="character" w:styleId="ac">
    <w:name w:val="page number"/>
    <w:basedOn w:val="a0"/>
    <w:uiPriority w:val="99"/>
    <w:semiHidden/>
    <w:unhideWhenUsed/>
    <w:qFormat/>
  </w:style>
  <w:style w:type="table" w:styleId="ad">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a5">
    <w:name w:val="ข้อความบอลลูน อักขระ"/>
    <w:basedOn w:val="a0"/>
    <w:link w:val="a4"/>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a1"/>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a9">
    <w:name w:val="หัวกระดาษ อักขระ"/>
    <w:basedOn w:val="a0"/>
    <w:link w:val="a8"/>
    <w:uiPriority w:val="99"/>
    <w:qFormat/>
    <w:rPr>
      <w:rFonts w:ascii="Browallia New" w:eastAsiaTheme="minorEastAsia" w:hAnsi="Browallia New"/>
      <w:sz w:val="36"/>
      <w:szCs w:val="20"/>
      <w:lang w:eastAsia="zh-CN" w:bidi="ar-SA"/>
    </w:rPr>
  </w:style>
  <w:style w:type="character" w:customStyle="1" w:styleId="a7">
    <w:name w:val="ท้ายกระดาษ อักขระ"/>
    <w:basedOn w:val="a0"/>
    <w:link w:val="a6"/>
    <w:uiPriority w:val="99"/>
    <w:qFormat/>
    <w:rPr>
      <w:rFonts w:ascii="Browallia New" w:eastAsiaTheme="minorEastAsia" w:hAnsi="Browallia New"/>
      <w:sz w:val="36"/>
      <w:szCs w:val="20"/>
      <w:lang w:eastAsia="zh-CN" w:bidi="ar-SA"/>
    </w:rPr>
  </w:style>
  <w:style w:type="character" w:customStyle="1" w:styleId="10">
    <w:name w:val="หัวเรื่อง 1 อักขระ"/>
    <w:basedOn w:val="a0"/>
    <w:link w:val="1"/>
    <w:qFormat/>
    <w:rPr>
      <w:rFonts w:ascii="TH SarabunPSK" w:eastAsiaTheme="majorEastAsia" w:hAnsi="TH SarabunPSK" w:cstheme="majorBidi"/>
      <w:b/>
      <w:color w:val="2F5496" w:themeColor="accent1" w:themeShade="BF"/>
      <w:sz w:val="40"/>
      <w:szCs w:val="32"/>
      <w:lang w:eastAsia="zh-CN" w:bidi="ar-SA"/>
    </w:rPr>
  </w:style>
  <w:style w:type="paragraph" w:styleId="ae">
    <w:name w:val="List Paragraph"/>
    <w:basedOn w:val="a"/>
    <w:uiPriority w:val="34"/>
    <w:qFormat/>
    <w:pPr>
      <w:ind w:left="720"/>
      <w:contextualSpacing/>
    </w:pPr>
  </w:style>
  <w:style w:type="character" w:customStyle="1" w:styleId="20">
    <w:name w:val="หัวเรื่อง 2 อักขระ"/>
    <w:basedOn w:val="a0"/>
    <w:link w:val="2"/>
    <w:uiPriority w:val="9"/>
    <w:qFormat/>
    <w:rPr>
      <w:rFonts w:ascii="TH SarabunPSK" w:eastAsiaTheme="majorEastAsia" w:hAnsi="TH SarabunPSK" w:cstheme="majorBidi"/>
      <w:color w:val="000000" w:themeColor="text1"/>
      <w:sz w:val="32"/>
      <w:szCs w:val="26"/>
      <w:lang w:eastAsia="zh-CN" w:bidi="ar-SA"/>
    </w:rPr>
  </w:style>
  <w:style w:type="character" w:customStyle="1" w:styleId="30">
    <w:name w:val="หัวเรื่อง 3 อักขระ"/>
    <w:basedOn w:val="a0"/>
    <w:link w:val="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40">
    <w:name w:val="หัวเรื่อง 4 อักขระ"/>
    <w:basedOn w:val="a0"/>
    <w:link w:val="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50">
    <w:name w:val="หัวเรื่อง 5 อักขระ"/>
    <w:basedOn w:val="a0"/>
    <w:link w:val="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60">
    <w:name w:val="หัวเรื่อง 6 อักขระ"/>
    <w:basedOn w:val="a0"/>
    <w:link w:val="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0">
    <w:name w:val="HTML ที่ได้รับการจัดรูปแบบแล้ว อักขระ"/>
    <w:basedOn w:val="a0"/>
    <w:link w:val="HTML"/>
    <w:uiPriority w:val="99"/>
    <w:semiHidden/>
    <w:qFormat/>
    <w:rPr>
      <w:rFonts w:ascii="Courier New" w:eastAsia="Times New Roman" w:hAnsi="Courier New" w:cs="Courier New"/>
      <w:sz w:val="20"/>
      <w:szCs w:val="20"/>
    </w:rPr>
  </w:style>
  <w:style w:type="paragraph" w:customStyle="1" w:styleId="TOCHeading1">
    <w:name w:val="TOC Heading1"/>
    <w:basedOn w:val="1"/>
    <w:next w:val="a"/>
    <w:uiPriority w:val="39"/>
    <w:unhideWhenUsed/>
    <w:qFormat/>
    <w:pPr>
      <w:spacing w:before="480"/>
      <w:outlineLvl w:val="9"/>
    </w:pPr>
    <w:rPr>
      <w:rFonts w:asciiTheme="majorHAnsi" w:hAnsiTheme="majorHAnsi"/>
      <w:bCs/>
      <w:sz w:val="28"/>
      <w:szCs w:val="28"/>
      <w:lang w:eastAsia="en-US"/>
    </w:rPr>
  </w:style>
  <w:style w:type="character" w:styleId="af">
    <w:name w:val="annotation reference"/>
    <w:basedOn w:val="a0"/>
    <w:uiPriority w:val="99"/>
    <w:semiHidden/>
    <w:unhideWhenUsed/>
    <w:rsid w:val="00680372"/>
    <w:rPr>
      <w:sz w:val="16"/>
      <w:szCs w:val="18"/>
    </w:rPr>
  </w:style>
  <w:style w:type="paragraph" w:styleId="af0">
    <w:name w:val="annotation text"/>
    <w:basedOn w:val="a"/>
    <w:link w:val="af1"/>
    <w:uiPriority w:val="99"/>
    <w:semiHidden/>
    <w:unhideWhenUsed/>
    <w:rsid w:val="00680372"/>
    <w:pPr>
      <w:spacing w:line="240" w:lineRule="auto"/>
    </w:pPr>
    <w:rPr>
      <w:sz w:val="20"/>
    </w:rPr>
  </w:style>
  <w:style w:type="character" w:customStyle="1" w:styleId="af1">
    <w:name w:val="ข้อความข้อคิดเห็น อักขระ"/>
    <w:basedOn w:val="a0"/>
    <w:link w:val="af0"/>
    <w:uiPriority w:val="99"/>
    <w:semiHidden/>
    <w:rsid w:val="00680372"/>
    <w:rPr>
      <w:rFonts w:ascii="TH SarabunPSK" w:eastAsiaTheme="minorEastAsia" w:hAnsi="TH SarabunPSK" w:cstheme="minorBidi"/>
      <w:lang w:eastAsia="zh-CN" w:bidi="ar-SA"/>
    </w:rPr>
  </w:style>
  <w:style w:type="paragraph" w:styleId="af2">
    <w:name w:val="annotation subject"/>
    <w:basedOn w:val="af0"/>
    <w:next w:val="af0"/>
    <w:link w:val="af3"/>
    <w:uiPriority w:val="99"/>
    <w:semiHidden/>
    <w:unhideWhenUsed/>
    <w:rsid w:val="00680372"/>
    <w:rPr>
      <w:b/>
      <w:bCs/>
    </w:rPr>
  </w:style>
  <w:style w:type="character" w:customStyle="1" w:styleId="af3">
    <w:name w:val="ชื่อเรื่องของข้อคิดเห็น อักขระ"/>
    <w:basedOn w:val="af1"/>
    <w:link w:val="af2"/>
    <w:uiPriority w:val="99"/>
    <w:semiHidden/>
    <w:rsid w:val="00680372"/>
    <w:rPr>
      <w:rFonts w:ascii="TH SarabunPSK" w:eastAsiaTheme="minorEastAsia" w:hAnsi="TH SarabunPSK" w:cstheme="minorBidi"/>
      <w:b/>
      <w:bCs/>
      <w:lang w:eastAsia="zh-CN" w:bidi="ar-SA"/>
    </w:rPr>
  </w:style>
  <w:style w:type="character" w:styleId="af4">
    <w:name w:val="FollowedHyperlink"/>
    <w:basedOn w:val="a0"/>
    <w:uiPriority w:val="99"/>
    <w:semiHidden/>
    <w:unhideWhenUsed/>
    <w:rsid w:val="003D3376"/>
    <w:rPr>
      <w:color w:val="954F72" w:themeColor="followedHyperlink"/>
      <w:u w:val="single"/>
    </w:rPr>
  </w:style>
  <w:style w:type="character" w:customStyle="1" w:styleId="UnresolvedMention">
    <w:name w:val="Unresolved Mention"/>
    <w:basedOn w:val="a0"/>
    <w:uiPriority w:val="99"/>
    <w:semiHidden/>
    <w:unhideWhenUsed/>
    <w:rsid w:val="004E405B"/>
    <w:rPr>
      <w:color w:val="605E5C"/>
      <w:shd w:val="clear" w:color="auto" w:fill="E1DFDD"/>
    </w:rPr>
  </w:style>
  <w:style w:type="character" w:styleId="af5">
    <w:name w:val="Emphasis"/>
    <w:basedOn w:val="a0"/>
    <w:uiPriority w:val="20"/>
    <w:qFormat/>
    <w:rsid w:val="00ED60F0"/>
    <w:rPr>
      <w:i/>
      <w:iCs/>
    </w:rPr>
  </w:style>
  <w:style w:type="character" w:styleId="af6">
    <w:name w:val="Strong"/>
    <w:basedOn w:val="a0"/>
    <w:uiPriority w:val="22"/>
    <w:qFormat/>
    <w:rsid w:val="008E538B"/>
    <w:rPr>
      <w:b/>
      <w:bCs/>
    </w:rPr>
  </w:style>
  <w:style w:type="paragraph" w:styleId="af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8">
    <w:basedOn w:val="a1"/>
    <w:pPr>
      <w:widowControl w:val="0"/>
      <w:jc w:val="both"/>
    </w:pPr>
    <w:rPr>
      <w:sz w:val="22"/>
      <w:szCs w:val="22"/>
    </w:rPr>
    <w:tblPr>
      <w:tblStyleRowBandSize w:val="1"/>
      <w:tblStyleColBandSize w:val="1"/>
    </w:tblPr>
  </w:style>
  <w:style w:type="table" w:customStyle="1" w:styleId="af9">
    <w:basedOn w:val="a1"/>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a1"/>
    <w:pPr>
      <w:widowControl w:val="0"/>
      <w:jc w:val="both"/>
    </w:pPr>
    <w:rPr>
      <w:sz w:val="22"/>
      <w:szCs w:val="22"/>
    </w:rPr>
    <w:tblPr>
      <w:tblStyleRowBandSize w:val="1"/>
      <w:tblStyleColBandSize w:val="1"/>
    </w:tblPr>
  </w:style>
  <w:style w:type="table" w:customStyle="1" w:styleId="afb">
    <w:basedOn w:val="a1"/>
    <w:pPr>
      <w:widowControl w:val="0"/>
      <w:jc w:val="both"/>
    </w:pPr>
    <w:rPr>
      <w:sz w:val="22"/>
      <w:szCs w:val="22"/>
    </w:rPr>
    <w:tblPr>
      <w:tblStyleRowBandSize w:val="1"/>
      <w:tblStyleColBandSize w:val="1"/>
    </w:tblPr>
  </w:style>
  <w:style w:type="table" w:customStyle="1" w:styleId="afc">
    <w:basedOn w:val="a1"/>
    <w:pPr>
      <w:widowControl w:val="0"/>
      <w:jc w:val="both"/>
    </w:pPr>
    <w:rPr>
      <w:sz w:val="22"/>
      <w:szCs w:val="22"/>
    </w:rPr>
    <w:tblPr>
      <w:tblStyleRowBandSize w:val="1"/>
      <w:tblStyleColBandSize w:val="1"/>
    </w:tblPr>
  </w:style>
  <w:style w:type="table" w:customStyle="1" w:styleId="afd">
    <w:basedOn w:val="a1"/>
    <w:pPr>
      <w:widowControl w:val="0"/>
      <w:jc w:val="both"/>
    </w:pPr>
    <w:rPr>
      <w:sz w:val="22"/>
      <w:szCs w:val="22"/>
    </w:rPr>
    <w:tblPr>
      <w:tblStyleRowBandSize w:val="1"/>
      <w:tblStyleColBandSize w:val="1"/>
    </w:tblPr>
  </w:style>
  <w:style w:type="table" w:customStyle="1" w:styleId="afe">
    <w:basedOn w:val="a1"/>
    <w:tblPr>
      <w:tblStyleRowBandSize w:val="1"/>
      <w:tblStyleColBandSize w:val="1"/>
      <w:tblCellMar>
        <w:left w:w="115" w:type="dxa"/>
        <w:right w:w="115" w:type="dxa"/>
      </w:tblCellMar>
    </w:tblPr>
  </w:style>
  <w:style w:type="table" w:customStyle="1" w:styleId="aff">
    <w:basedOn w:val="a1"/>
    <w:pPr>
      <w:widowControl w:val="0"/>
      <w:jc w:val="both"/>
    </w:pPr>
    <w:rPr>
      <w:sz w:val="22"/>
      <w:szCs w:val="22"/>
    </w:rPr>
    <w:tblPr>
      <w:tblStyleRowBandSize w:val="1"/>
      <w:tblStyleColBandSize w:val="1"/>
      <w:tblCellMar>
        <w:left w:w="115" w:type="dxa"/>
        <w:right w:w="115" w:type="dxa"/>
      </w:tblCellMar>
    </w:tblPr>
  </w:style>
  <w:style w:type="table" w:customStyle="1" w:styleId="aff0">
    <w:basedOn w:val="a1"/>
    <w:pPr>
      <w:widowControl w:val="0"/>
      <w:jc w:val="both"/>
    </w:pPr>
    <w:rPr>
      <w:sz w:val="22"/>
      <w:szCs w:val="22"/>
    </w:rPr>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0" w:type="dxa"/>
        <w:right w:w="0" w:type="dxa"/>
      </w:tblCellMar>
    </w:tblPr>
  </w:style>
  <w:style w:type="table" w:customStyle="1" w:styleId="aff2">
    <w:basedOn w:val="a1"/>
    <w:pPr>
      <w:widowControl w:val="0"/>
      <w:jc w:val="both"/>
    </w:pPr>
    <w:rPr>
      <w:sz w:val="22"/>
      <w:szCs w:val="22"/>
    </w:rPr>
    <w:tblPr>
      <w:tblStyleRowBandSize w:val="1"/>
      <w:tblStyleColBandSize w:val="1"/>
      <w:tblCellMar>
        <w:left w:w="115" w:type="dxa"/>
        <w:right w:w="115" w:type="dxa"/>
      </w:tblCellMar>
    </w:tblPr>
  </w:style>
  <w:style w:type="table" w:customStyle="1" w:styleId="aff3">
    <w:basedOn w:val="a1"/>
    <w:pPr>
      <w:widowControl w:val="0"/>
      <w:jc w:val="both"/>
    </w:pPr>
    <w:rPr>
      <w:sz w:val="22"/>
      <w:szCs w:val="22"/>
    </w:rPr>
    <w:tblPr>
      <w:tblStyleRowBandSize w:val="1"/>
      <w:tblStyleColBandSize w:val="1"/>
      <w:tblCellMar>
        <w:left w:w="115" w:type="dxa"/>
        <w:right w:w="115" w:type="dxa"/>
      </w:tblCellMar>
    </w:tblPr>
  </w:style>
  <w:style w:type="table" w:customStyle="1" w:styleId="aff4">
    <w:basedOn w:val="a1"/>
    <w:tblPr>
      <w:tblStyleRowBandSize w:val="1"/>
      <w:tblStyleColBandSize w:val="1"/>
      <w:tblCellMar>
        <w:left w:w="0" w:type="dxa"/>
        <w:right w:w="0" w:type="dxa"/>
      </w:tblCellMar>
    </w:tblPr>
  </w:style>
  <w:style w:type="table" w:customStyle="1" w:styleId="aff5">
    <w:basedOn w:val="a1"/>
    <w:pPr>
      <w:widowControl w:val="0"/>
      <w:jc w:val="both"/>
    </w:pPr>
    <w:rPr>
      <w:sz w:val="22"/>
      <w:szCs w:val="22"/>
    </w:rPr>
    <w:tblPr>
      <w:tblStyleRowBandSize w:val="1"/>
      <w:tblStyleColBandSize w:val="1"/>
      <w:tblCellMar>
        <w:left w:w="115" w:type="dxa"/>
        <w:right w:w="115" w:type="dxa"/>
      </w:tblCellMar>
    </w:tblPr>
  </w:style>
  <w:style w:type="table" w:customStyle="1" w:styleId="aff6">
    <w:basedOn w:val="a1"/>
    <w:tblPr>
      <w:tblStyleRowBandSize w:val="1"/>
      <w:tblStyleColBandSize w:val="1"/>
      <w:tblCellMar>
        <w:left w:w="0" w:type="dxa"/>
        <w:right w:w="0" w:type="dxa"/>
      </w:tblCellMar>
    </w:tblPr>
  </w:style>
  <w:style w:type="table" w:customStyle="1" w:styleId="aff7">
    <w:basedOn w:val="a1"/>
    <w:pPr>
      <w:widowControl w:val="0"/>
      <w:jc w:val="both"/>
    </w:pPr>
    <w:rPr>
      <w:sz w:val="22"/>
      <w:szCs w:val="22"/>
    </w:rPr>
    <w:tblPr>
      <w:tblStyleRowBandSize w:val="1"/>
      <w:tblStyleColBandSize w:val="1"/>
      <w:tblCellMar>
        <w:left w:w="115" w:type="dxa"/>
        <w:right w:w="115" w:type="dxa"/>
      </w:tblCellMar>
    </w:tblPr>
  </w:style>
  <w:style w:type="table" w:customStyle="1" w:styleId="aff8">
    <w:basedOn w:val="a1"/>
    <w:tblPr>
      <w:tblStyleRowBandSize w:val="1"/>
      <w:tblStyleColBandSize w:val="1"/>
      <w:tblCellMar>
        <w:left w:w="0" w:type="dxa"/>
        <w:right w:w="0" w:type="dxa"/>
      </w:tblCellMar>
    </w:tblPr>
  </w:style>
  <w:style w:type="table" w:customStyle="1" w:styleId="aff9">
    <w:basedOn w:val="a1"/>
    <w:pPr>
      <w:widowControl w:val="0"/>
      <w:jc w:val="both"/>
    </w:pPr>
    <w:rPr>
      <w:sz w:val="22"/>
      <w:szCs w:val="22"/>
    </w:rPr>
    <w:tblPr>
      <w:tblStyleRowBandSize w:val="1"/>
      <w:tblStyleColBandSize w:val="1"/>
      <w:tblCellMar>
        <w:left w:w="115" w:type="dxa"/>
        <w:right w:w="115" w:type="dxa"/>
      </w:tblCellMar>
    </w:tblPr>
  </w:style>
  <w:style w:type="table" w:customStyle="1" w:styleId="affa">
    <w:basedOn w:val="a1"/>
    <w:tblPr>
      <w:tblStyleRowBandSize w:val="1"/>
      <w:tblStyleColBandSize w:val="1"/>
      <w:tblCellMar>
        <w:left w:w="0" w:type="dxa"/>
        <w:right w:w="0" w:type="dxa"/>
      </w:tblCellMar>
    </w:tblPr>
  </w:style>
  <w:style w:type="table" w:customStyle="1" w:styleId="affb">
    <w:basedOn w:val="a1"/>
    <w:tblPr>
      <w:tblStyleRowBandSize w:val="1"/>
      <w:tblStyleColBandSize w:val="1"/>
      <w:tblCellMar>
        <w:left w:w="0" w:type="dxa"/>
        <w:right w:w="0" w:type="dxa"/>
      </w:tblCellMar>
    </w:tblPr>
  </w:style>
  <w:style w:type="table" w:customStyle="1" w:styleId="affc">
    <w:basedOn w:val="a1"/>
    <w:pPr>
      <w:widowControl w:val="0"/>
      <w:jc w:val="both"/>
    </w:pPr>
    <w:rPr>
      <w:sz w:val="22"/>
      <w:szCs w:val="22"/>
    </w:rPr>
    <w:tblPr>
      <w:tblStyleRowBandSize w:val="1"/>
      <w:tblStyleColBandSize w:val="1"/>
      <w:tblCellMar>
        <w:left w:w="115" w:type="dxa"/>
        <w:right w:w="115" w:type="dxa"/>
      </w:tblCellMar>
    </w:tblPr>
  </w:style>
  <w:style w:type="table" w:customStyle="1" w:styleId="affd">
    <w:basedOn w:val="a1"/>
    <w:tblPr>
      <w:tblStyleRowBandSize w:val="1"/>
      <w:tblStyleColBandSize w:val="1"/>
      <w:tblCellMar>
        <w:left w:w="0" w:type="dxa"/>
        <w:right w:w="0" w:type="dxa"/>
      </w:tblCellMar>
    </w:tblPr>
  </w:style>
  <w:style w:type="table" w:customStyle="1" w:styleId="affe">
    <w:basedOn w:val="a1"/>
    <w:pPr>
      <w:widowControl w:val="0"/>
      <w:jc w:val="both"/>
    </w:pPr>
    <w:rPr>
      <w:sz w:val="22"/>
      <w:szCs w:val="22"/>
    </w:rPr>
    <w:tblPr>
      <w:tblStyleRowBandSize w:val="1"/>
      <w:tblStyleColBandSize w:val="1"/>
      <w:tblCellMar>
        <w:left w:w="115" w:type="dxa"/>
        <w:right w:w="115" w:type="dxa"/>
      </w:tblCellMar>
    </w:tblPr>
  </w:style>
  <w:style w:type="table" w:customStyle="1" w:styleId="afff">
    <w:basedOn w:val="a1"/>
    <w:tblPr>
      <w:tblStyleRowBandSize w:val="1"/>
      <w:tblStyleColBandSize w:val="1"/>
      <w:tblCellMar>
        <w:left w:w="0" w:type="dxa"/>
        <w:right w:w="0" w:type="dxa"/>
      </w:tblCellMar>
    </w:tblPr>
  </w:style>
  <w:style w:type="table" w:customStyle="1" w:styleId="afff0">
    <w:basedOn w:val="a1"/>
    <w:tblPr>
      <w:tblStyleRowBandSize w:val="1"/>
      <w:tblStyleColBandSize w:val="1"/>
      <w:tblCellMar>
        <w:left w:w="0" w:type="dxa"/>
        <w:right w:w="0" w:type="dxa"/>
      </w:tblCellMar>
    </w:tblPr>
  </w:style>
  <w:style w:type="table" w:customStyle="1" w:styleId="afff1">
    <w:basedOn w:val="a1"/>
    <w:pPr>
      <w:widowControl w:val="0"/>
      <w:jc w:val="both"/>
    </w:pPr>
    <w:rPr>
      <w:sz w:val="22"/>
      <w:szCs w:val="22"/>
    </w:rPr>
    <w:tblPr>
      <w:tblStyleRowBandSize w:val="1"/>
      <w:tblStyleColBandSize w:val="1"/>
    </w:tblPr>
  </w:style>
  <w:style w:type="table" w:customStyle="1" w:styleId="afff2">
    <w:basedOn w:val="a1"/>
    <w:tblPr>
      <w:tblStyleRowBandSize w:val="1"/>
      <w:tblStyleColBandSize w:val="1"/>
      <w:tblCellMar>
        <w:left w:w="115" w:type="dxa"/>
        <w:right w:w="115" w:type="dxa"/>
      </w:tblCellMar>
    </w:tblPr>
  </w:style>
  <w:style w:type="table" w:customStyle="1" w:styleId="afff3">
    <w:basedOn w:val="a1"/>
    <w:pPr>
      <w:widowControl w:val="0"/>
      <w:jc w:val="both"/>
    </w:pPr>
    <w:rPr>
      <w:sz w:val="22"/>
      <w:szCs w:val="22"/>
    </w:rPr>
    <w:tblPr>
      <w:tblStyleRowBandSize w:val="1"/>
      <w:tblStyleColBandSize w:val="1"/>
      <w:tblCellMar>
        <w:left w:w="115" w:type="dxa"/>
        <w:right w:w="115" w:type="dxa"/>
      </w:tblCellMar>
    </w:tblPr>
  </w:style>
  <w:style w:type="table" w:customStyle="1" w:styleId="afff4">
    <w:basedOn w:val="a1"/>
    <w:pPr>
      <w:widowControl w:val="0"/>
      <w:jc w:val="both"/>
    </w:pPr>
    <w:rPr>
      <w:sz w:val="22"/>
      <w:szCs w:val="22"/>
    </w:rPr>
    <w:tblPr>
      <w:tblStyleRowBandSize w:val="1"/>
      <w:tblStyleColBandSize w:val="1"/>
      <w:tblCellMar>
        <w:left w:w="115" w:type="dxa"/>
        <w:right w:w="115" w:type="dxa"/>
      </w:tblCellMar>
    </w:tblPr>
  </w:style>
  <w:style w:type="table" w:customStyle="1" w:styleId="afff5">
    <w:basedOn w:val="a1"/>
    <w:tblPr>
      <w:tblStyleRowBandSize w:val="1"/>
      <w:tblStyleColBandSize w:val="1"/>
      <w:tblCellMar>
        <w:left w:w="0" w:type="dxa"/>
        <w:right w:w="0" w:type="dxa"/>
      </w:tblCellMar>
    </w:tblPr>
  </w:style>
  <w:style w:type="table" w:customStyle="1" w:styleId="afff6">
    <w:basedOn w:val="a1"/>
    <w:pPr>
      <w:widowControl w:val="0"/>
      <w:jc w:val="both"/>
    </w:pPr>
    <w:rPr>
      <w:sz w:val="22"/>
      <w:szCs w:val="22"/>
    </w:rPr>
    <w:tblPr>
      <w:tblStyleRowBandSize w:val="1"/>
      <w:tblStyleColBandSize w:val="1"/>
      <w:tblCellMar>
        <w:left w:w="115" w:type="dxa"/>
        <w:right w:w="115" w:type="dxa"/>
      </w:tblCellMar>
    </w:tblPr>
  </w:style>
  <w:style w:type="table" w:customStyle="1" w:styleId="afff7">
    <w:basedOn w:val="a1"/>
    <w:tblPr>
      <w:tblStyleRowBandSize w:val="1"/>
      <w:tblStyleColBandSize w:val="1"/>
      <w:tblCellMar>
        <w:left w:w="115" w:type="dxa"/>
        <w:right w:w="115" w:type="dxa"/>
      </w:tblCellMar>
    </w:tblPr>
  </w:style>
  <w:style w:type="table" w:customStyle="1" w:styleId="afff8">
    <w:basedOn w:val="a1"/>
    <w:tblPr>
      <w:tblStyleRowBandSize w:val="1"/>
      <w:tblStyleColBandSize w:val="1"/>
      <w:tblCellMar>
        <w:left w:w="115" w:type="dxa"/>
        <w:right w:w="115" w:type="dxa"/>
      </w:tblCellMar>
    </w:tblPr>
  </w:style>
  <w:style w:type="table" w:customStyle="1" w:styleId="afff9">
    <w:basedOn w:val="a1"/>
    <w:pPr>
      <w:widowControl w:val="0"/>
      <w:jc w:val="both"/>
    </w:pPr>
    <w:rPr>
      <w:sz w:val="22"/>
      <w:szCs w:val="22"/>
    </w:rPr>
    <w:tblPr>
      <w:tblStyleRowBandSize w:val="1"/>
      <w:tblStyleColBandSize w:val="1"/>
    </w:tblPr>
  </w:style>
  <w:style w:type="paragraph" w:styleId="afffa">
    <w:name w:val="TOC Heading"/>
    <w:basedOn w:val="1"/>
    <w:next w:val="a"/>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xmlns:c16r2="http://schemas.microsoft.com/office/drawing/2015/06/char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xmlns:c16r2="http://schemas.microsoft.com/office/drawing/2015/06/char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xmlns:c16r2="http://schemas.microsoft.com/office/drawing/2015/06/char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xmlns:c16r2="http://schemas.microsoft.com/office/drawing/2015/06/chart">
              <c:ext xmlns:c16="http://schemas.microsoft.com/office/drawing/2014/chart" uri="{C3380CC4-5D6E-409C-BE32-E72D297353CC}">
                <c16:uniqueId val="{00000007-278F-40BA-9454-456B37D347A8}"/>
              </c:ext>
            </c:extLst>
          </c:dPt>
          <c:dLbls>
            <c:dLbl>
              <c:idx val="0"/>
              <c:delete val="1"/>
              <c:extLst xmlns:c16r2="http://schemas.microsoft.com/office/drawing/2015/06/chart">
                <c:ext xmlns:c16="http://schemas.microsoft.com/office/drawing/2014/chart" uri="{C3380CC4-5D6E-409C-BE32-E72D297353CC}">
                  <c16:uniqueId val="{00000001-278F-40BA-9454-456B37D347A8}"/>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278F-40BA-9454-456B37D347A8}"/>
                </c:ext>
                <c:ext xmlns:c15="http://schemas.microsoft.com/office/drawing/2012/chart" uri="{CE6537A1-D6FC-4f65-9D91-7224C49458BB}"/>
              </c:extLst>
            </c:dLbl>
            <c:dLbl>
              <c:idx val="2"/>
              <c:layout>
                <c:manualLayout>
                  <c:x val="-2.5000000000000001E-2"/>
                  <c:y val="6.9444444444444448E-2"/>
                </c:manualLayout>
              </c:layout>
              <c:dLblPos val="bestFit"/>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5-278F-40BA-9454-456B37D347A8}"/>
                </c:ext>
                <c:ext xmlns:c15="http://schemas.microsoft.com/office/drawing/2012/chart" uri="{CE6537A1-D6FC-4f65-9D91-7224C49458BB}"/>
              </c:extLst>
            </c:dLbl>
            <c:dLbl>
              <c:idx val="3"/>
              <c:layout>
                <c:manualLayout>
                  <c:x val="-2.777777777777803E-3"/>
                  <c:y val="-4.1666666666666664E-2"/>
                </c:manualLayout>
              </c:layout>
              <c:dLblPos val="bestFit"/>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7-278F-40BA-9454-456B37D347A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xmlns:c16r2="http://schemas.microsoft.com/office/drawing/2015/06/char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xmlns:c16r2="http://schemas.microsoft.com/office/drawing/2015/06/char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A95DD7-E934-446A-A04E-615010F4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2530</Words>
  <Characters>14423</Characters>
  <Application>Microsoft Office Word</Application>
  <DocSecurity>0</DocSecurity>
  <Lines>120</Lines>
  <Paragraphs>33</Paragraphs>
  <ScaleCrop>false</ScaleCrop>
  <Company/>
  <LinksUpToDate>false</LinksUpToDate>
  <CharactersWithSpaces>16920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Windows User</cp:lastModifiedBy>
  <cp:revision>123</cp:revision>
  <dcterms:created xsi:type="dcterms:W3CDTF">2021-10-25T05:25:00Z</dcterms:created>
  <dcterms:modified xsi:type="dcterms:W3CDTF">2022-03-08T04:35:00Z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