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331E8">
      <w:pPr>
        <w:pStyle w:val="3"/>
        <w:bidi w:val="0"/>
        <w:jc w:val="center"/>
        <w:rPr>
          <w:rFonts w:hint="eastAsia" w:ascii="宋体" w:hAnsi="宋体" w:eastAsia="宋体" w:cs="宋体"/>
          <w:color w:val="auto"/>
          <w:sz w:val="52"/>
          <w:szCs w:val="52"/>
        </w:rPr>
      </w:pPr>
      <w:r>
        <w:rPr>
          <w:rFonts w:hint="eastAsia" w:ascii="宋体" w:hAnsi="宋体" w:eastAsia="宋体" w:cs="宋体"/>
          <w:color w:val="auto"/>
          <w:sz w:val="52"/>
          <w:szCs w:val="52"/>
        </w:rPr>
        <w:t>智能日志分析系统任务清单</w:t>
      </w:r>
    </w:p>
    <w:p w14:paraId="515DE06E">
      <w:pPr>
        <w:pStyle w:val="3"/>
        <w:rPr>
          <w:rFonts w:hint="eastAsia" w:ascii="宋体" w:hAnsi="宋体" w:eastAsia="宋体" w:cs="宋体"/>
          <w:color w:val="auto"/>
        </w:rPr>
      </w:pPr>
      <w:bookmarkStart w:id="0" w:name="_GoBack"/>
      <w:bookmarkEnd w:id="0"/>
      <w:r>
        <w:rPr>
          <w:rFonts w:hint="eastAsia" w:ascii="宋体" w:hAnsi="宋体" w:eastAsia="宋体" w:cs="宋体"/>
          <w:color w:val="auto"/>
        </w:rPr>
        <w:t>一、整体协作顺序</w:t>
      </w:r>
    </w:p>
    <w:p w14:paraId="4D56B95A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第一优先：2号负责规则库与异常识别。必须最先完成异常分类、初始规则集、规则输出字段。</w:t>
      </w:r>
    </w:p>
    <w:p w14:paraId="6A9EFAEF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第二优先：4号负责模型应用与分析策略。必须尽快完成模型输出结构、提示词初版、综合可信度等级规则。</w:t>
      </w:r>
    </w:p>
    <w:p w14:paraId="4EE68011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第三优先：3号负责知识库与RAG。依赖2号的异常分类和关键词，完成知识条目模板、首批案例与检索流程。</w:t>
      </w:r>
    </w:p>
    <w:p w14:paraId="1BB04C6D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第四优先：1号负责UI / 前端 / 导出文档。可先做通用框架，但分析报告页、问题处理页、导出模板必须等字段稳定后定版。</w:t>
      </w:r>
    </w:p>
    <w:p w14:paraId="623433CE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二、系统最终UI模块归类</w:t>
      </w:r>
    </w:p>
    <w:p w14:paraId="6488984E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模块1：工作台。展示整体总览、近7天问题趋势折线图、问题类型分布条形图、最近分析结果、待处理事项。</w:t>
      </w:r>
    </w:p>
    <w:p w14:paraId="0E0FB81E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模块2：日志分析。包含上传日志、分析记录、分析报告。每份分析报告须有“问题类型分布图（数量+占比）”和“风险等级分布图”。</w:t>
      </w:r>
    </w:p>
    <w:p w14:paraId="62F7EA01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模块3：问题处理。包含问题中心和人工复核，专门处理高风险、低可信和待确认问题。</w:t>
      </w:r>
    </w:p>
    <w:p w14:paraId="1BF11428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模块4：历史与知识。包含历史日志、历史问题、知识库，承接经验沉淀。</w:t>
      </w:r>
    </w:p>
    <w:p w14:paraId="5F448C8A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模块5：系统管理。包含规则管理、实验对比、系统设置，不默认强调给普通用户。</w:t>
      </w:r>
    </w:p>
    <w:p w14:paraId="26BCA902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三、1号任务清单：UI / 前端 / 导出文档</w:t>
      </w:r>
    </w:p>
    <w:p w14:paraId="49B7F535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1. 可立即启动的任务</w:t>
      </w:r>
    </w:p>
    <w:p w14:paraId="7CB2CA72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搭建后台通用框架：左侧五大模块导航、顶部栏、主内容区、面包屑导航。</w:t>
      </w:r>
    </w:p>
    <w:p w14:paraId="3522DEB5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完成登录页：用户名/邮箱、密码、登录按钮、注册入口、忘记密码入口，全部中文。</w:t>
      </w:r>
    </w:p>
    <w:p w14:paraId="45BC6523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完成工作台基础版：欢迎区、统计卡片占位、近7天问题趋势图占位、问题类型分布图占位、最近分析结果、待处理事项。</w:t>
      </w:r>
    </w:p>
    <w:p w14:paraId="687AB1EA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完成上传日志页：拖拽/选择文件、上传、开始分析、分析进度条。</w:t>
      </w:r>
    </w:p>
    <w:p w14:paraId="2B8B6828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2. 依赖字段稳定后完成的核心页面</w:t>
      </w:r>
    </w:p>
    <w:p w14:paraId="38EFF208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分析报告页：必须展示日志基本信息、问题总数、高风险问题数、主要异常类型、建议优先处理项。</w:t>
      </w:r>
    </w:p>
    <w:p w14:paraId="01034658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分析报告页图表区：每份报告固定展示2个核心图。第一，问题类型分布图，推荐横向条形图，每一类问题同时显示数量和占比；第二，风险等级分布图，推荐环形图。</w:t>
      </w:r>
    </w:p>
    <w:p w14:paraId="32927F41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分析报告页问题明细区：按“问题”展示，而不是按“日志行”展示。每条问题包含问题名称、类型、风险等级、出现次数、原因摘要、建议摘要、查看详情。</w:t>
      </w:r>
    </w:p>
    <w:p w14:paraId="513F2C58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问题处理模块：问题中心页展示所有异常问题；人工复核页展示待复核列表、原始日志片段、系统结论、复核表单、加入知识库/规则候选按钮。</w:t>
      </w:r>
    </w:p>
    <w:p w14:paraId="0A9E9957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历史与知识模块：历史日志页、历史问题页、知识库页。知识库默认以案例标题、异常类型、原因、解决方案、来源展示。</w:t>
      </w:r>
    </w:p>
    <w:p w14:paraId="1BAB0379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 导出文档任务</w:t>
      </w:r>
    </w:p>
    <w:p w14:paraId="10608804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支持导出 Word 和 PDF。导出内容不能只是页面堆叠，必须形成正式分析报告。</w:t>
      </w:r>
    </w:p>
    <w:p w14:paraId="0E0A9053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导出文档固定结构：封面信息 → 基础信息 → 异常概览 → 核心分析结论 → 问题明细 → 参考案例 → 复核信息（如有）。</w:t>
      </w:r>
    </w:p>
    <w:p w14:paraId="5BA76751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页面与导出文档风格统一：标题层级、风险标签、表格样式、摘要卡片、页眉页脚保持一致，保证美观且不杂乱。</w:t>
      </w:r>
    </w:p>
    <w:p w14:paraId="6E5184A3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4. 1号交付物</w:t>
      </w:r>
    </w:p>
    <w:p w14:paraId="3AFA59E2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后台通用布局、登录页、工作台、上传日志页、分析报告页、问题中心页、人工复核页、历史与知识页面、Word/PDF导出模板。</w:t>
      </w:r>
    </w:p>
    <w:p w14:paraId="4E8864CB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UI规范文档：颜色、按钮、表格、标签、图表使用规范。</w:t>
      </w:r>
    </w:p>
    <w:p w14:paraId="7769CA1A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四、2号任务清单：规则库 / 异常识别</w:t>
      </w:r>
    </w:p>
    <w:p w14:paraId="275FB0C6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1. 必须率先交付的内容</w:t>
      </w:r>
    </w:p>
    <w:p w14:paraId="64BC74B4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异常分类表：至少覆盖数据库异常、网络异常、权限异常、服务启动异常、配置异常、资源不足异常、超时异常、未知异常。</w:t>
      </w:r>
    </w:p>
    <w:p w14:paraId="2FB08267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初始规则库：关键词规则、正则规则、统计/时序规则三类。</w:t>
      </w:r>
    </w:p>
    <w:p w14:paraId="2BF45DB5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规则输出字段规范：rule_id、rule_name、matched_lines、error_type、severity、keywords 等。</w:t>
      </w:r>
    </w:p>
    <w:p w14:paraId="3FC8C2E9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2. 详细任务</w:t>
      </w:r>
    </w:p>
    <w:p w14:paraId="02B1CD29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整理第一批高频关键词规则：error、exception、timeout、failed、permission denied、connection refused、500、403、OOM 等。</w:t>
      </w:r>
    </w:p>
    <w:p w14:paraId="28DCCEC3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整理正则规则：HTTP状态码、Java/Python异常、数据库错误码、traceId/requestId、IP/端口等。</w:t>
      </w:r>
    </w:p>
    <w:p w14:paraId="35E69690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设计时序/统计规则：如“1分钟内timeout激增”“短时间内retry重复出现”“warning占比异常升高”。</w:t>
      </w:r>
    </w:p>
    <w:p w14:paraId="19FFBD7F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为每条规则写依据：规则名称、匹配内容、来源依据、适用场景、建议风险等级。</w:t>
      </w:r>
    </w:p>
    <w:p w14:paraId="3E5DCFF0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建立弱异常规则入口：即使没有明显error，也能抓取高可疑模式，提升召回率，降低漏报。</w:t>
      </w:r>
    </w:p>
    <w:p w14:paraId="65CF73E2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给长日志场景制定规则策略：切块边界复扫、无命中日志抽检入口、弱异常信号补充。</w:t>
      </w:r>
    </w:p>
    <w:p w14:paraId="58F8DC46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 2号交付物</w:t>
      </w:r>
    </w:p>
    <w:p w14:paraId="343D8C97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异常分类文档、规则依据文档、初始规则集、规则结果JSON样例、规则匹配逻辑说明、测试样例。</w:t>
      </w:r>
    </w:p>
    <w:p w14:paraId="33F3AB66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五、3号任务清单：知识库 / RAG</w:t>
      </w:r>
    </w:p>
    <w:p w14:paraId="2927A767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1. 前置依赖</w:t>
      </w:r>
    </w:p>
    <w:p w14:paraId="509372DE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必须先拿到2号的异常分类、关键词和规则输出字段，再开始设计知识库分层与检索路由。</w:t>
      </w:r>
    </w:p>
    <w:p w14:paraId="5C7902B0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2. 必须完成的任务</w:t>
      </w:r>
    </w:p>
    <w:p w14:paraId="61C763B9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设计分层知识库：异常案例库、历史漏报库、运维经验库。第一版重点做前两类。</w:t>
      </w:r>
    </w:p>
    <w:p w14:paraId="0977E6C3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统一知识条目模板：title、error_type、keywords、log_excerpt、root_cause、solution、source_type、verified、updated_at。</w:t>
      </w:r>
    </w:p>
    <w:p w14:paraId="2764C0BF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先填充20–40条高质量案例，覆盖高频异常，不追求数量堆积。</w:t>
      </w:r>
    </w:p>
    <w:p w14:paraId="2AE06F86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设计RAG流程：元数据过滤 → 向量检索粗召回 → 关键词辅助过滤 → 重排 → 返回top 3~5给模型。</w:t>
      </w:r>
    </w:p>
    <w:p w14:paraId="2E9B3EBE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设计“知识库内容增多后的优化方案”：分层、分库、缓存、聚类去重、低频归档、人工确认案例优先。</w:t>
      </w:r>
    </w:p>
    <w:p w14:paraId="10C84D0A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建设历史漏报库：一旦人工复核确认漏报，沉淀为可优先检索的案例，防止同类问题再次漏报。</w:t>
      </w:r>
    </w:p>
    <w:p w14:paraId="1EF41F36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 3号交付物</w:t>
      </w:r>
    </w:p>
    <w:p w14:paraId="5A4957B9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知识库分层设计文档、知识条目模板、首批高质量知识条目、RAG流程说明、扩容优化方案、历史漏报库模板。</w:t>
      </w:r>
    </w:p>
    <w:p w14:paraId="7F3CA974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六、4号任务清单：模型应用 / 分析策略</w:t>
      </w:r>
    </w:p>
    <w:p w14:paraId="73EEB08F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1. 必须尽快完成的内容</w:t>
      </w:r>
    </w:p>
    <w:p w14:paraId="45F2C50A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统一模型输出结构：root_cause、severity、solution、evidence_lines、confidence_level、needs_review。</w:t>
      </w:r>
    </w:p>
    <w:p w14:paraId="1EE7F3B4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可信度口径统一为“综合可信度等级”，不要宣称是垂类训练得到的严格概率值。</w:t>
      </w:r>
    </w:p>
    <w:p w14:paraId="5539D699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完成常规分析Prompt和复核分析Prompt初版。</w:t>
      </w:r>
    </w:p>
    <w:p w14:paraId="4AC6C1C6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2. 详细任务</w:t>
      </w:r>
    </w:p>
    <w:p w14:paraId="3C35DD16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设计常规分析Prompt：输入日志片段、规则结果、相似案例摘要，输出结构化结论。</w:t>
      </w:r>
    </w:p>
    <w:p w14:paraId="15B01673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设计复核分析Prompt：要求不确定时明确说不确定，不允许编造，高风险问题优先保守处理。</w:t>
      </w:r>
    </w:p>
    <w:p w14:paraId="438896F0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定义综合可信度等级依据：规则命中强度、相似案例匹配度、证据行充分性、输出完整性。</w:t>
      </w:r>
    </w:p>
    <w:p w14:paraId="3C32D3EA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设计模型输出约束：没有evidence_lines不能高可信；根因不明确不能高可信；高风险优先进入人工复核；输出格式错误自动重试。</w:t>
      </w:r>
    </w:p>
    <w:p w14:paraId="75BFE89D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制定主模型 / 备模型 / 降级策略：第一版至少完成主模型 + 超时重试 + 低可信度进入人工复核；备模型可保留接口。</w:t>
      </w:r>
    </w:p>
    <w:p w14:paraId="08EAB0E0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整理最小评测集：对比规则结果、模型结果、混合结果，为实验对比页提供依据。</w:t>
      </w:r>
    </w:p>
    <w:p w14:paraId="1EF84E49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 4号交付物</w:t>
      </w:r>
    </w:p>
    <w:p w14:paraId="0316A81F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模型输出规范、Prompt文档、综合可信度等级说明、模型策略文档、最小评测结果。</w:t>
      </w:r>
    </w:p>
    <w:p w14:paraId="0A0755FE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七、四人之间的对接关系</w:t>
      </w:r>
    </w:p>
    <w:p w14:paraId="3E54E731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2号 → 4号：提供规则摘要、异常类型、关键证据行。</w:t>
      </w:r>
    </w:p>
    <w:p w14:paraId="7209A80F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2号 → 3号：提供异常分类、关键词、服务/模块标签，作为知识检索路由依据。</w:t>
      </w:r>
    </w:p>
    <w:p w14:paraId="14646449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4号 → 1号：提供分析结果字段、可信度等级、待复核状态、报告页所需文案。</w:t>
      </w:r>
    </w:p>
    <w:p w14:paraId="74D01F83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3号 → 4号：提供相似案例摘要、候选根因、处理建议、历史漏报相似项。</w:t>
      </w:r>
    </w:p>
    <w:p w14:paraId="18AFAFCE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3号 → 1号：提供知识条目展示字段、相似案例展示字段。</w:t>
      </w:r>
    </w:p>
    <w:p w14:paraId="23591604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1号整合所有人的结果，形成最终可操作系统与可导出报告。</w:t>
      </w:r>
    </w:p>
    <w:p w14:paraId="12041317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八</w:t>
      </w:r>
      <w:r>
        <w:rPr>
          <w:rFonts w:hint="eastAsia" w:ascii="宋体" w:hAnsi="宋体" w:eastAsia="宋体" w:cs="宋体"/>
          <w:color w:val="auto"/>
        </w:rPr>
        <w:t>、最终展示成果</w:t>
      </w:r>
    </w:p>
    <w:p w14:paraId="1322D7F5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工作台：统计卡片 + 近7天问题趋势折线图 + 问题类型分布条形图。</w:t>
      </w:r>
    </w:p>
    <w:p w14:paraId="20E69892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日志分析模块：上传日志、分析记录、分析报告。</w:t>
      </w:r>
    </w:p>
    <w:p w14:paraId="5D55C499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每份分析报告：必须有问题类型分布图（数量+占比）和风险等级分布图。</w:t>
      </w:r>
    </w:p>
    <w:p w14:paraId="544B1289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问题处理模块：问题中心 + 人工复核。</w:t>
      </w:r>
    </w:p>
    <w:p w14:paraId="6C869052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历史与知识模块：历史日志、历史问题、知识库。</w:t>
      </w:r>
    </w:p>
    <w:p w14:paraId="6F513A0C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系统管理模块：规则管理、实验对比、系统设置。</w:t>
      </w:r>
    </w:p>
    <w:p w14:paraId="1F971C80">
      <w:pPr>
        <w:spacing w:after="60"/>
        <w:ind w:left="259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 xml:space="preserve">• </w:t>
      </w:r>
      <w:r>
        <w:rPr>
          <w:rFonts w:hint="eastAsia" w:ascii="宋体" w:hAnsi="宋体" w:eastAsia="宋体" w:cs="宋体"/>
          <w:color w:val="auto"/>
        </w:rPr>
        <w:t>可导出的Word/PDF分析报告，格式整洁、美观、层次清晰。</w:t>
      </w:r>
    </w:p>
    <w:sectPr>
      <w:pgSz w:w="12240" w:h="15840"/>
      <w:pgMar w:top="1080" w:right="1224" w:bottom="1080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100FB9"/>
    <w:rsid w:val="71C30265"/>
    <w:rsid w:val="7743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366092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2781</Words>
  <Characters>3164</Characters>
  <Lines>0</Lines>
  <Paragraphs>0</Paragraphs>
  <TotalTime>15</TotalTime>
  <ScaleCrop>false</ScaleCrop>
  <LinksUpToDate>false</LinksUpToDate>
  <CharactersWithSpaces>3307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黑桃k</cp:lastModifiedBy>
  <dcterms:modified xsi:type="dcterms:W3CDTF">2026-03-21T14:37:31Z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eyJoZGlkIjoiMTFiMTFkNTkyMmM1ZjU3MDg0ODNhZTI2MGNiOWUyNzciLCJ1c2VySWQiOiIxNjA2NzgyMTk0In0=</vt:lpwstr>
  </property>
  <property fmtid="{D5CDD505-2E9C-101B-9397-08002B2CF9AE}" pid="3" name="KSOProductBuildVer">
    <vt:lpwstr>2052-12.1.0.23542</vt:lpwstr>
  </property>
  <property fmtid="{D5CDD505-2E9C-101B-9397-08002B2CF9AE}" pid="4" name="ICV">
    <vt:lpwstr>FA9098CFE16A436DAFE439DB9FDBADF9_12</vt:lpwstr>
  </property>
</Properties>
</file>