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73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TimeSeries</w:t>
      </w:r>
      <w:r>
        <w:t xml:space="preserve"> </w:t>
      </w:r>
      <w:r>
        <w:t xml:space="preserve">Walmart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Kenya</w:t>
      </w:r>
      <w:r>
        <w:t xml:space="preserve"> </w:t>
      </w:r>
      <w:r>
        <w:t xml:space="preserve">Roy</w:t>
      </w:r>
      <w:r>
        <w:t xml:space="preserve"> </w:t>
      </w:r>
      <w:r>
        <w:t xml:space="preserve">and</w:t>
      </w:r>
      <w:r>
        <w:t xml:space="preserve"> </w:t>
      </w:r>
      <w:r>
        <w:t xml:space="preserve">Lani</w:t>
      </w:r>
      <w:r>
        <w:t xml:space="preserve"> </w:t>
      </w:r>
      <w:r>
        <w:t xml:space="preserve">Lewis</w:t>
      </w:r>
    </w:p>
    <w:p>
      <w:pPr>
        <w:pStyle w:val="Date"/>
      </w:pPr>
      <w:r>
        <w:t xml:space="preserve">2024-11-30</w:t>
      </w:r>
    </w:p>
    <w:bookmarkStart w:id="70" w:name="eda-clean-data"/>
    <w:p>
      <w:pPr>
        <w:pStyle w:val="Heading1"/>
      </w:pPr>
      <w:r>
        <w:t xml:space="preserve">EDA &amp; CLEAN DATA</w:t>
      </w:r>
    </w:p>
    <w:bookmarkStart w:id="23" w:name="merge-data"/>
    <w:p>
      <w:pPr>
        <w:pStyle w:val="Heading2"/>
      </w:pPr>
      <w:r>
        <w:t xml:space="preserve">Merge Data</w:t>
      </w:r>
    </w:p>
    <w:bookmarkStart w:id="20" w:name="validation-dataset"/>
    <w:p>
      <w:pPr>
        <w:pStyle w:val="Heading3"/>
      </w:pPr>
      <w:r>
        <w:t xml:space="preserve">Validation Dataset</w:t>
      </w:r>
    </w:p>
    <w:bookmarkEnd w:id="20"/>
    <w:bookmarkStart w:id="21" w:name="clean-up-merge-duplicate-columns"/>
    <w:p>
      <w:pPr>
        <w:pStyle w:val="Heading3"/>
      </w:pPr>
      <w:r>
        <w:t xml:space="preserve">Clean up merge duplicate columns</w:t>
      </w:r>
    </w:p>
    <w:bookmarkEnd w:id="21"/>
    <w:bookmarkStart w:id="22" w:name="clean-up-date-types"/>
    <w:p>
      <w:pPr>
        <w:pStyle w:val="Heading3"/>
      </w:pPr>
      <w:r>
        <w:t xml:space="preserve">Clean up date types</w:t>
      </w:r>
    </w:p>
    <w:p>
      <w:pPr>
        <w:pStyle w:val="FirstParagraph"/>
      </w:pPr>
      <w:r>
        <w:rPr>
          <w:b/>
          <w:bCs/>
        </w:rPr>
        <w:t xml:space="preserve">Training Dataset</w:t>
      </w:r>
    </w:p>
    <w:p>
      <w:pPr>
        <w:pStyle w:val="BodyText"/>
      </w:pPr>
      <w:r>
        <w:rPr>
          <w:b/>
          <w:bCs/>
        </w:rPr>
        <w:t xml:space="preserve">Validation Dataset</w:t>
      </w:r>
    </w:p>
    <w:bookmarkEnd w:id="22"/>
    <w:bookmarkEnd w:id="23"/>
    <w:bookmarkStart w:id="26" w:name="na-values"/>
    <w:p>
      <w:pPr>
        <w:pStyle w:val="Heading2"/>
      </w:pPr>
      <w:r>
        <w:t xml:space="preserve">NA Values</w:t>
      </w:r>
    </w:p>
    <w:p>
      <w:pPr>
        <w:pStyle w:val="SourceCode"/>
      </w:pPr>
      <w:r>
        <w:rPr>
          <w:rStyle w:val="VerbatimChar"/>
        </w:rPr>
        <w:t xml:space="preserve">##        Store         Date         Dept Weekly_Sales    IsHoliday  Temperature </w:t>
      </w:r>
      <w:r>
        <w:br/>
      </w:r>
      <w:r>
        <w:rPr>
          <w:rStyle w:val="VerbatimChar"/>
        </w:rPr>
        <w:t xml:space="preserve">##      0.00000      0.00000      0.00000      0.00000      0.00000      0.00000 </w:t>
      </w:r>
      <w:r>
        <w:br/>
      </w:r>
      <w:r>
        <w:rPr>
          <w:rStyle w:val="VerbatimChar"/>
        </w:rPr>
        <w:t xml:space="preserve">##   Fuel_Price    MarkDown1    MarkDown2    MarkDown3    MarkDown4    MarkDown5 </w:t>
      </w:r>
      <w:r>
        <w:br/>
      </w:r>
      <w:r>
        <w:rPr>
          <w:rStyle w:val="VerbatimChar"/>
        </w:rPr>
        <w:t xml:space="preserve">##      0.00000     64.25718     73.61103     67.48085     67.98468     64.07904 </w:t>
      </w:r>
      <w:r>
        <w:br/>
      </w:r>
      <w:r>
        <w:rPr>
          <w:rStyle w:val="VerbatimChar"/>
        </w:rPr>
        <w:t xml:space="preserve">##          CPI Unemployment         Type         Size </w:t>
      </w:r>
      <w:r>
        <w:br/>
      </w:r>
      <w:r>
        <w:rPr>
          <w:rStyle w:val="VerbatimChar"/>
        </w:rPr>
        <w:t xml:space="preserve">##      0.00000      0.00000      0.00000      0.00000</w:t>
      </w:r>
    </w:p>
    <w:bookmarkStart w:id="24" w:name="remove-na-50"/>
    <w:p>
      <w:pPr>
        <w:pStyle w:val="Heading3"/>
      </w:pPr>
      <w:r>
        <w:t xml:space="preserve">Remove NA &gt;50%</w:t>
      </w:r>
    </w:p>
    <w:bookmarkEnd w:id="24"/>
    <w:bookmarkStart w:id="25" w:name="split"/>
    <w:p>
      <w:pPr>
        <w:pStyle w:val="Heading3"/>
      </w:pPr>
      <w:r>
        <w:t xml:space="preserve">SPLIT</w:t>
      </w:r>
    </w:p>
    <w:p>
      <w:pPr>
        <w:pStyle w:val="FirstParagraph"/>
      </w:pPr>
      <w:r>
        <w:rPr>
          <w:b/>
          <w:bCs/>
        </w:rPr>
        <w:t xml:space="preserve">Filtered Training Dataset</w:t>
      </w:r>
    </w:p>
    <w:bookmarkEnd w:id="25"/>
    <w:bookmarkEnd w:id="26"/>
    <w:bookmarkStart w:id="27" w:name="X505f1b0c005eeab1af074ef600a72ce09242b08"/>
    <w:p>
      <w:pPr>
        <w:pStyle w:val="Heading2"/>
      </w:pPr>
      <w:r>
        <w:t xml:space="preserve">Aggregate Weekly_Sales and retain other columns</w:t>
      </w:r>
    </w:p>
    <w:bookmarkEnd w:id="27"/>
    <w:bookmarkStart w:id="36" w:name="train-test-split"/>
    <w:p>
      <w:pPr>
        <w:pStyle w:val="Heading2"/>
      </w:pPr>
      <w:r>
        <w:t xml:space="preserve">80/20 Train Test Split</w:t>
      </w:r>
    </w:p>
    <w:p>
      <w:pPr>
        <w:pStyle w:val="SourceCode"/>
      </w:pPr>
      <w:r>
        <w:rPr>
          <w:rStyle w:val="VerbatimChar"/>
        </w:rPr>
        <w:t xml:space="preserve">## Training set dimensions: 114 8</w:t>
      </w:r>
    </w:p>
    <w:p>
      <w:pPr>
        <w:pStyle w:val="SourceCode"/>
      </w:pPr>
      <w:r>
        <w:rPr>
          <w:rStyle w:val="VerbatimChar"/>
        </w:rPr>
        <w:t xml:space="preserve">## Test set dimensions: 29 8</w:t>
      </w:r>
    </w:p>
    <w:p>
      <w:pPr>
        <w:pStyle w:val="SourceCode"/>
      </w:pPr>
      <w:r>
        <w:rPr>
          <w:rStyle w:val="VerbatimChar"/>
        </w:rPr>
        <w:t xml:space="preserve">## Training set percentage: 79.72%</w:t>
      </w:r>
    </w:p>
    <w:p>
      <w:pPr>
        <w:pStyle w:val="SourceCode"/>
      </w:pPr>
      <w:r>
        <w:rPr>
          <w:rStyle w:val="VerbatimChar"/>
        </w:rPr>
        <w:t xml:space="preserve">## Test set percentage: 20.28%</w:t>
      </w:r>
    </w:p>
    <w:bookmarkStart w:id="35" w:name="test-split-of-data"/>
    <w:p>
      <w:pPr>
        <w:pStyle w:val="Heading4"/>
      </w:pPr>
      <w:r>
        <w:t xml:space="preserve">TEST SPLIT OF DATA</w:t>
      </w:r>
    </w:p>
    <w:p>
      <w:pPr>
        <w:pStyle w:val="FirstParagraph"/>
      </w:pPr>
      <w:r>
        <w:rPr>
          <w:b/>
          <w:bCs/>
        </w:rPr>
        <w:t xml:space="preserve">Aggregated Date</w:t>
      </w:r>
    </w:p>
    <w:p>
      <w:pPr>
        <w:pStyle w:val="BodyText"/>
      </w:pPr>
      <w:r>
        <w:rPr>
          <w:b/>
          <w:bCs/>
        </w:rPr>
        <w:t xml:space="preserve">Train Test Set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Test Set</w:t>
      </w:r>
      <w:r>
        <w:t xml:space="preserve"> </w:t>
      </w:r>
      <w:r>
        <w:t xml:space="preserve">- This is different then the validation set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covert-datasets-ts"/>
    <w:p>
      <w:pPr>
        <w:pStyle w:val="Heading5"/>
      </w:pPr>
      <w:r>
        <w:t xml:space="preserve">COVERT DATASETS TS</w:t>
      </w:r>
    </w:p>
    <w:bookmarkEnd w:id="34"/>
    <w:bookmarkEnd w:id="35"/>
    <w:bookmarkEnd w:id="36"/>
    <w:bookmarkStart w:id="69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rPr>
          <w:b/>
          <w:bCs/>
        </w:rPr>
        <w:t xml:space="preserve">Variables that are highly skewed often benefit from a log transformation.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5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Look for non-linear relationships where a log transformation could help linearize the data.</w:t>
      </w:r>
      <w:r>
        <w:t xml:space="preserve"> </w:t>
      </w:r>
      <w:r>
        <w:t xml:space="preserve">- Possibly log variables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6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6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May not need to use Highly correlated data</w:t>
      </w:r>
      <w:r>
        <w:t xml:space="preserve"> </w:t>
      </w:r>
      <w:r>
        <w:t xml:space="preserve">- Keep all variables</w:t>
      </w:r>
    </w:p>
    <w:bookmarkStart w:id="68" w:name="ts-pots"/>
    <w:p>
      <w:pPr>
        <w:pStyle w:val="Heading3"/>
      </w:pPr>
      <w:r>
        <w:t xml:space="preserve">TS Pots</w:t>
      </w:r>
    </w:p>
    <w:p>
      <w:pPr>
        <w:pStyle w:val="Compact"/>
        <w:numPr>
          <w:ilvl w:val="0"/>
          <w:numId w:val="1001"/>
        </w:numPr>
      </w:pPr>
      <w:r>
        <w:t xml:space="preserve">Realization: The sharp spikes and upward or downward trends suggest that the series is non-stationary (mean and variance are not constant over time).</w:t>
      </w:r>
    </w:p>
    <w:p>
      <w:pPr>
        <w:pStyle w:val="Compact"/>
        <w:numPr>
          <w:ilvl w:val="0"/>
          <w:numId w:val="1001"/>
        </w:numPr>
      </w:pPr>
      <w:r>
        <w:t xml:space="preserve">ACF: Strong correlations at lag 1 and lag 2, gradually decreasing, also indicating non-stationarity.</w:t>
      </w:r>
    </w:p>
    <w:p>
      <w:pPr>
        <w:pStyle w:val="Compact"/>
        <w:numPr>
          <w:ilvl w:val="0"/>
          <w:numId w:val="1001"/>
        </w:numPr>
      </w:pPr>
      <w:r>
        <w:t xml:space="preserve">Spectral Density: looks like we have three high peaks the first is the strongest and we see high peaks around period 12 (13/14)</w:t>
      </w:r>
    </w:p>
    <w:p>
      <w:pPr>
        <w:pStyle w:val="Compact"/>
        <w:numPr>
          <w:ilvl w:val="0"/>
          <w:numId w:val="1001"/>
        </w:numPr>
      </w:pPr>
      <w:r>
        <w:t xml:space="preserve">The next import periods are around 3 then 2…</w:t>
      </w:r>
    </w:p>
    <w:p>
      <w:pPr>
        <w:pStyle w:val="Compact"/>
        <w:numPr>
          <w:ilvl w:val="0"/>
          <w:numId w:val="1001"/>
        </w:numPr>
      </w:pPr>
      <w:r>
        <w:t xml:space="preserve">The overall behavior indicates that differencing might be required to stabilize the series.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8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ACF | MA(q) Review</w:t>
      </w:r>
    </w:p>
    <w:p>
      <w:pPr>
        <w:pStyle w:val="Compact"/>
        <w:numPr>
          <w:ilvl w:val="0"/>
          <w:numId w:val="1001"/>
        </w:numPr>
      </w:pPr>
      <w:r>
        <w:t xml:space="preserve">Maybe MA(4)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8" w:name="pacf-arp-review"/>
    <w:p>
      <w:pPr>
        <w:pStyle w:val="Heading4"/>
      </w:pPr>
      <w:r>
        <w:t xml:space="preserve">PACF | AR(p) Review</w:t>
      </w:r>
    </w:p>
    <w:p>
      <w:pPr>
        <w:pStyle w:val="Compact"/>
        <w:numPr>
          <w:ilvl w:val="0"/>
          <w:numId w:val="1002"/>
        </w:numPr>
      </w:pPr>
      <w:r>
        <w:t xml:space="preserve">maybe a AR(4)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6" w:name="plot-for-trend"/>
    <w:p>
      <w:pPr>
        <w:pStyle w:val="Heading4"/>
      </w:pPr>
      <w:r>
        <w:t xml:space="preserve">Plot for Trend</w:t>
      </w:r>
    </w:p>
    <w:p>
      <w:pPr>
        <w:pStyle w:val="Compact"/>
        <w:numPr>
          <w:ilvl w:val="0"/>
          <w:numId w:val="1003"/>
        </w:numPr>
      </w:pPr>
      <w:r>
        <w:t xml:space="preserve">It looks like there are spike around 13(11 - Nov) and 14(12 - Dec) period?</w:t>
      </w:r>
    </w:p>
    <w:p>
      <w:pPr>
        <w:pStyle w:val="Compact"/>
        <w:numPr>
          <w:ilvl w:val="0"/>
          <w:numId w:val="1003"/>
        </w:numPr>
      </w:pPr>
      <w:r>
        <w:t xml:space="preserve">Maybe a frequency peak at around .071 - .077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1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5" w:name="decompose-time-series"/>
    <w:p>
      <w:pPr>
        <w:pStyle w:val="Heading5"/>
      </w:pPr>
      <w:r>
        <w:t xml:space="preserve">Decompose Time Series</w:t>
      </w:r>
    </w:p>
    <w:p>
      <w:pPr>
        <w:pStyle w:val="FirstParagraph"/>
      </w:pPr>
      <w:r>
        <w:rPr>
          <w:b/>
          <w:bCs/>
        </w:rPr>
        <w:t xml:space="preserve">Summary of Insights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Trend</w:t>
      </w:r>
      <w:r>
        <w:t xml:space="preserve">: A clear upward trend is present between time 2 and 3, indicating long-term growth.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Seasonality</w:t>
      </w:r>
      <w:r>
        <w:t xml:space="preserve">: The data has a strong seasonal component, which should be explicitly modeled.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Stationarity</w:t>
      </w:r>
      <w:r>
        <w:t xml:space="preserve">: The presence of both trend and seasonality suggests the series is non-stationary. First-order differencing (</w:t>
      </w:r>
      <w:r>
        <w:rPr>
          <w:rStyle w:val="VerbatimChar"/>
        </w:rPr>
        <w:t xml:space="preserve">d=1</w:t>
      </w:r>
      <w:r>
        <w:t xml:space="preserve">) and/or seasonal differencing (</w:t>
      </w:r>
      <w:r>
        <w:rPr>
          <w:rStyle w:val="VerbatimChar"/>
        </w:rPr>
        <w:t xml:space="preserve">D=1</w:t>
      </w:r>
      <w:r>
        <w:t xml:space="preserve">) may be required to stabilize the series for ARIMA modeling.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Outliers</w:t>
      </w:r>
      <w:r>
        <w:t xml:space="preserve">: The sharp spikes in the residuals suggest potential outliers or irregular events that may require further investigation or adjustments.</w:t>
      </w:r>
      <w:r>
        <w:t xml:space="preserve"> </w:t>
      </w:r>
      <w:r>
        <w:t xml:space="preserve">—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2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End w:id="66"/>
    <w:bookmarkStart w:id="67" w:name="dickey-fuller-test-for-stationarity"/>
    <w:p>
      <w:pPr>
        <w:pStyle w:val="Heading4"/>
      </w:pPr>
      <w:r>
        <w:t xml:space="preserve">Dickey-Fuller Test for Stationarity</w:t>
      </w:r>
    </w:p>
    <w:p>
      <w:pPr>
        <w:pStyle w:val="Compact"/>
        <w:numPr>
          <w:ilvl w:val="0"/>
          <w:numId w:val="1004"/>
        </w:numPr>
      </w:pPr>
      <w:r>
        <w:t xml:space="preserve">Reject the null hypothesis of Non-Stationarity</w:t>
      </w:r>
    </w:p>
    <w:p>
      <w:pPr>
        <w:pStyle w:val="Compact"/>
        <w:numPr>
          <w:ilvl w:val="0"/>
          <w:numId w:val="1004"/>
        </w:numPr>
      </w:pPr>
      <w:r>
        <w:t xml:space="preserve">This test was not as helpful as I had hopped cause we know that we need to difference the model from the plots above.</w:t>
      </w:r>
    </w:p>
    <w:p>
      <w:pPr>
        <w:pStyle w:val="Compact"/>
        <w:numPr>
          <w:ilvl w:val="0"/>
          <w:numId w:val="1004"/>
        </w:numPr>
      </w:pPr>
      <w:r>
        <w:t xml:space="preserve">This is actually a non-stationary model based off Kaggle as well. On the site they already mention this is a non-stationary model</w:t>
      </w:r>
    </w:p>
    <w:bookmarkEnd w:id="67"/>
    <w:bookmarkEnd w:id="68"/>
    <w:bookmarkEnd w:id="69"/>
    <w:bookmarkEnd w:id="70"/>
    <w:bookmarkStart w:id="97" w:name="arma-model"/>
    <w:p>
      <w:pPr>
        <w:pStyle w:val="Heading1"/>
      </w:pPr>
      <w:r>
        <w:t xml:space="preserve">ARMA MODEL</w:t>
      </w:r>
    </w:p>
    <w:bookmarkStart w:id="71" w:name="aic-model-determination"/>
    <w:p>
      <w:pPr>
        <w:pStyle w:val="Heading2"/>
      </w:pPr>
      <w:r>
        <w:t xml:space="preserve">AIC Model Determination</w:t>
      </w:r>
    </w:p>
    <w:p>
      <w:pPr>
        <w:pStyle w:val="Compact"/>
        <w:numPr>
          <w:ilvl w:val="0"/>
          <w:numId w:val="1005"/>
        </w:numPr>
      </w:pPr>
      <w:r>
        <w:t xml:space="preserve">I will test the following three models</w:t>
      </w:r>
    </w:p>
    <w:p>
      <w:pPr>
        <w:pStyle w:val="Compact"/>
        <w:numPr>
          <w:ilvl w:val="1"/>
          <w:numId w:val="1006"/>
        </w:numPr>
      </w:pPr>
      <w:r>
        <w:t xml:space="preserve">ARMA(5,1) increase the values for more options since we are at the max</w:t>
      </w:r>
    </w:p>
    <w:p>
      <w:pPr>
        <w:pStyle w:val="Compact"/>
        <w:numPr>
          <w:ilvl w:val="2"/>
          <w:numId w:val="1007"/>
        </w:numPr>
      </w:pPr>
      <w:r>
        <w:t xml:space="preserve">ARMA(5,1) is still in the top 5 so I will try this option</w:t>
      </w:r>
    </w:p>
    <w:p>
      <w:pPr>
        <w:pStyle w:val="Compact"/>
        <w:numPr>
          <w:ilvl w:val="2"/>
          <w:numId w:val="1007"/>
        </w:numPr>
      </w:pPr>
      <w:r>
        <w:t xml:space="preserve">ARMA(5,3) and ARMA(6,1) will be the next I play with.</w:t>
      </w:r>
    </w:p>
    <w:p>
      <w:pPr>
        <w:pStyle w:val="Compact"/>
        <w:numPr>
          <w:ilvl w:val="0"/>
          <w:numId w:val="1005"/>
        </w:numPr>
      </w:pPr>
      <w:r>
        <w:t xml:space="preserve">After testing I found that ARMA(5,3) performs the best</w:t>
      </w:r>
    </w:p>
    <w:bookmarkEnd w:id="71"/>
    <w:bookmarkStart w:id="72" w:name="bic-model-determination"/>
    <w:p>
      <w:pPr>
        <w:pStyle w:val="Heading2"/>
      </w:pPr>
      <w:r>
        <w:t xml:space="preserve">BIC Model Determination</w:t>
      </w:r>
    </w:p>
    <w:p>
      <w:pPr>
        <w:pStyle w:val="Compact"/>
        <w:numPr>
          <w:ilvl w:val="0"/>
          <w:numId w:val="1008"/>
        </w:numPr>
      </w:pPr>
      <w:r>
        <w:t xml:space="preserve">Not going to use this model cause we know this is not white noise. So I increased the model</w:t>
      </w:r>
    </w:p>
    <w:p>
      <w:pPr>
        <w:pStyle w:val="Compact"/>
        <w:numPr>
          <w:ilvl w:val="0"/>
          <w:numId w:val="1008"/>
        </w:numPr>
      </w:pPr>
      <w:r>
        <w:t xml:space="preserve">Still not valid options</w:t>
      </w:r>
    </w:p>
    <w:bookmarkEnd w:id="72"/>
    <w:bookmarkStart w:id="79" w:name="X06ff768fcb7bc2be8722d76c1fa4d26fe067e8c"/>
    <w:p>
      <w:pPr>
        <w:pStyle w:val="Heading2"/>
      </w:pPr>
      <w:r>
        <w:t xml:space="preserve">ARMA(5,3) Factor Table Check | Model Estimates</w:t>
      </w:r>
    </w:p>
    <w:p>
      <w:pPr>
        <w:pStyle w:val="Compact"/>
        <w:numPr>
          <w:ilvl w:val="0"/>
          <w:numId w:val="1009"/>
        </w:numPr>
      </w:pPr>
      <w:r>
        <w:t xml:space="preserve">Here the 1-B is very apparent. This might be the best model to use since I know I need to difference my model</w:t>
      </w:r>
    </w:p>
    <w:p>
      <w:pPr>
        <w:pStyle w:val="Compact"/>
        <w:numPr>
          <w:ilvl w:val="0"/>
          <w:numId w:val="1009"/>
        </w:numPr>
      </w:pPr>
      <w:r>
        <w:t xml:space="preserve">The frequency also seems to match up almost exactly with what I am seeing in the original realization</w:t>
      </w:r>
    </w:p>
    <w:bookmarkStart w:id="78" w:name="residual-checks-arma53"/>
    <w:p>
      <w:pPr>
        <w:pStyle w:val="Heading3"/>
      </w:pPr>
      <w:r>
        <w:t xml:space="preserve">RESIDUAL CHECKS ARMA(5,3)</w:t>
      </w:r>
    </w:p>
    <w:bookmarkStart w:id="76" w:name="acf-residual-check"/>
    <w:p>
      <w:pPr>
        <w:pStyle w:val="Heading4"/>
      </w:pPr>
      <w:r>
        <w:t xml:space="preserve">ACF Residual Check</w:t>
      </w:r>
    </w:p>
    <w:p>
      <w:pPr>
        <w:pStyle w:val="Compact"/>
        <w:numPr>
          <w:ilvl w:val="0"/>
          <w:numId w:val="1010"/>
        </w:numPr>
      </w:pPr>
      <w:r>
        <w:t xml:space="preserve">Passed the ACF White Noise Residual Check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7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77" w:name="ljung-residual-check"/>
    <w:p>
      <w:pPr>
        <w:pStyle w:val="Heading4"/>
      </w:pPr>
      <w:r>
        <w:t xml:space="preserve">Ljung Residual Check</w:t>
      </w:r>
    </w:p>
    <w:p>
      <w:pPr>
        <w:pStyle w:val="Compact"/>
        <w:numPr>
          <w:ilvl w:val="0"/>
          <w:numId w:val="1011"/>
        </w:numPr>
      </w:pPr>
      <w:r>
        <w:t xml:space="preserve">Fail to reject the Null Hypothesis of White Noise as the p-value is greater then .05 for both tests</w:t>
      </w:r>
    </w:p>
    <w:p>
      <w:pPr>
        <w:pStyle w:val="Compact"/>
        <w:numPr>
          <w:ilvl w:val="0"/>
          <w:numId w:val="1011"/>
        </w:numPr>
      </w:pPr>
      <w:r>
        <w:t xml:space="preserve">This is another pass for this model</w:t>
      </w:r>
    </w:p>
    <w:p>
      <w:pPr>
        <w:pStyle w:val="SourceCode"/>
      </w:pPr>
      <w:r>
        <w:rPr>
          <w:rStyle w:val="VerbatimChar"/>
        </w:rPr>
        <w:t xml:space="preserve">## p-value 0.8608568</w:t>
      </w:r>
    </w:p>
    <w:p>
      <w:pPr>
        <w:pStyle w:val="SourceCode"/>
      </w:pPr>
      <w:r>
        <w:rPr>
          <w:rStyle w:val="VerbatimChar"/>
        </w:rPr>
        <w:t xml:space="preserve">## p-value 0.9770763</w:t>
      </w:r>
    </w:p>
    <w:bookmarkEnd w:id="77"/>
    <w:bookmarkEnd w:id="78"/>
    <w:bookmarkEnd w:id="79"/>
    <w:bookmarkStart w:id="96" w:name="forecast"/>
    <w:p>
      <w:pPr>
        <w:pStyle w:val="Heading2"/>
      </w:pPr>
      <w:r>
        <w:t xml:space="preserve">Forecast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32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3" w:name="ase"/>
    <w:p>
      <w:pPr>
        <w:pStyle w:val="Heading3"/>
      </w:pPr>
      <w:r>
        <w:t xml:space="preserve">ASE</w:t>
      </w:r>
    </w:p>
    <w:bookmarkEnd w:id="83"/>
    <w:bookmarkStart w:id="87" w:name="compare-multiple-spectral-densities"/>
    <w:p>
      <w:pPr>
        <w:pStyle w:val="Heading3"/>
      </w:pPr>
      <w:r>
        <w:t xml:space="preserve">Compare Multiple Spectral Densities</w:t>
      </w:r>
    </w:p>
    <w:p>
      <w:pPr>
        <w:pStyle w:val="Compact"/>
        <w:numPr>
          <w:ilvl w:val="0"/>
          <w:numId w:val="1012"/>
        </w:numPr>
      </w:pPr>
      <w:r>
        <w:t xml:space="preserve">This model appears to perform well with generating the spectral densities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34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1" w:name="compare-multiple-acfs"/>
    <w:p>
      <w:pPr>
        <w:pStyle w:val="Heading3"/>
      </w:pPr>
      <w:r>
        <w:t xml:space="preserve">Compare Multiple ACFs</w:t>
      </w:r>
    </w:p>
    <w:p>
      <w:pPr>
        <w:pStyle w:val="Compact"/>
        <w:numPr>
          <w:ilvl w:val="0"/>
          <w:numId w:val="1013"/>
        </w:numPr>
      </w:pPr>
      <w:r>
        <w:t xml:space="preserve">Does fairly well modeling the ACFs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35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5" w:name="rolling-window-rmse"/>
    <w:p>
      <w:pPr>
        <w:pStyle w:val="Heading3"/>
      </w:pPr>
      <w:r>
        <w:t xml:space="preserve">Rolling Window RMSE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36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73" Target="media/rId73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TimeSeries Walmart Project</dc:title>
  <dc:creator>Kenya Roy and Lani Lewis</dc:creator>
  <cp:keywords/>
  <dcterms:created xsi:type="dcterms:W3CDTF">2024-12-01T03:23:51Z</dcterms:created>
  <dcterms:modified xsi:type="dcterms:W3CDTF">2024-12-01T03:23:51Z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2024-11-30</vt:lpwstr>
  </property>
  <property fmtid="{D5CDD505-2E9C-101B-9397-08002B2CF9AE}" pid="3" name="output">
    <vt:lpwstr/>
  </property>
</Properties>
</file>