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62C61" w14:textId="18282F8D" w:rsidR="000B5D9A" w:rsidRPr="00915296" w:rsidRDefault="00CE1B1A" w:rsidP="008C4B59">
      <w:pPr>
        <w:rPr>
          <w:rFonts w:ascii="Arial" w:hAnsi="Arial" w:cs="Arial"/>
          <w:b/>
          <w:sz w:val="24"/>
          <w:szCs w:val="24"/>
        </w:rPr>
      </w:pPr>
      <w:r>
        <w:rPr>
          <w:rFonts w:ascii="Arial" w:hAnsi="Arial" w:cs="Arial"/>
          <w:b/>
          <w:sz w:val="24"/>
          <w:szCs w:val="24"/>
        </w:rPr>
        <w:t>PREVALÊNCIA</w:t>
      </w:r>
      <w:r w:rsidR="00D46C23" w:rsidRPr="00915296">
        <w:rPr>
          <w:rFonts w:ascii="Arial" w:hAnsi="Arial" w:cs="Arial"/>
          <w:b/>
          <w:sz w:val="24"/>
          <w:szCs w:val="24"/>
        </w:rPr>
        <w:t xml:space="preserve"> DE AUTISMO NOS ESTADOS UNIDOS: UMA ANÁLISE COMPARATIVA ENTRE DIFERENTES </w:t>
      </w:r>
      <w:r w:rsidR="000B5D9A" w:rsidRPr="00915296">
        <w:rPr>
          <w:rFonts w:ascii="Arial" w:hAnsi="Arial" w:cs="Arial"/>
          <w:b/>
          <w:sz w:val="24"/>
          <w:szCs w:val="24"/>
        </w:rPr>
        <w:t xml:space="preserve">RECORTES </w:t>
      </w:r>
      <w:r w:rsidR="00F10847" w:rsidRPr="00915296">
        <w:rPr>
          <w:rFonts w:ascii="Arial" w:hAnsi="Arial" w:cs="Arial"/>
          <w:b/>
          <w:sz w:val="24"/>
          <w:szCs w:val="24"/>
        </w:rPr>
        <w:t>SOCIAIS</w:t>
      </w:r>
    </w:p>
    <w:p w14:paraId="76612B95" w14:textId="77777777" w:rsidR="00EA11B7" w:rsidRPr="00915296" w:rsidRDefault="00EA11B7" w:rsidP="00915296">
      <w:pPr>
        <w:spacing w:beforeLines="30" w:before="72" w:afterLines="30" w:after="72" w:line="360" w:lineRule="auto"/>
        <w:ind w:right="620"/>
        <w:jc w:val="both"/>
        <w:rPr>
          <w:rFonts w:ascii="Arial" w:hAnsi="Arial" w:cs="Arial"/>
          <w:b/>
          <w:sz w:val="24"/>
          <w:szCs w:val="24"/>
        </w:rPr>
      </w:pPr>
    </w:p>
    <w:p w14:paraId="4230409D" w14:textId="77777777" w:rsidR="00EA11B7" w:rsidRPr="00B83770" w:rsidRDefault="00EA11B7" w:rsidP="004F031E">
      <w:pPr>
        <w:spacing w:beforeLines="30" w:before="72" w:afterLines="30" w:after="72"/>
        <w:ind w:left="3197" w:right="620" w:hanging="2598"/>
        <w:jc w:val="right"/>
        <w:rPr>
          <w:rFonts w:ascii="Arial" w:hAnsi="Arial" w:cs="Arial"/>
          <w:sz w:val="20"/>
          <w:szCs w:val="20"/>
        </w:rPr>
      </w:pPr>
      <w:r w:rsidRPr="00B83770">
        <w:rPr>
          <w:rFonts w:ascii="Arial" w:hAnsi="Arial" w:cs="Arial"/>
          <w:sz w:val="20"/>
          <w:szCs w:val="20"/>
        </w:rPr>
        <w:t>André Mitioshi Koga</w:t>
      </w:r>
    </w:p>
    <w:p w14:paraId="7F53142B" w14:textId="776C7133" w:rsidR="00EA11B7" w:rsidRPr="00B83770" w:rsidRDefault="00EA11B7" w:rsidP="004F031E">
      <w:pPr>
        <w:spacing w:beforeLines="30" w:before="72" w:afterLines="30" w:after="72"/>
        <w:ind w:left="3197" w:right="620" w:hanging="2598"/>
        <w:jc w:val="right"/>
        <w:rPr>
          <w:rFonts w:ascii="Arial" w:hAnsi="Arial" w:cs="Arial"/>
          <w:sz w:val="20"/>
          <w:szCs w:val="20"/>
        </w:rPr>
      </w:pPr>
      <w:r w:rsidRPr="00B83770">
        <w:rPr>
          <w:rFonts w:ascii="Arial" w:hAnsi="Arial" w:cs="Arial"/>
          <w:sz w:val="20"/>
          <w:szCs w:val="20"/>
        </w:rPr>
        <w:t>Gabriel Monteiro Alves</w:t>
      </w:r>
    </w:p>
    <w:p w14:paraId="4440F30C" w14:textId="25158399" w:rsidR="00EA11B7" w:rsidRPr="00B83770" w:rsidRDefault="00EA11B7" w:rsidP="004F031E">
      <w:pPr>
        <w:spacing w:beforeLines="30" w:before="72" w:afterLines="30" w:after="72"/>
        <w:ind w:left="3197" w:right="620" w:hanging="2598"/>
        <w:jc w:val="right"/>
        <w:rPr>
          <w:rFonts w:ascii="Arial" w:hAnsi="Arial" w:cs="Arial"/>
          <w:sz w:val="20"/>
          <w:szCs w:val="20"/>
        </w:rPr>
      </w:pPr>
      <w:r w:rsidRPr="00B83770">
        <w:rPr>
          <w:rFonts w:ascii="Arial" w:hAnsi="Arial" w:cs="Arial"/>
          <w:sz w:val="20"/>
          <w:szCs w:val="20"/>
        </w:rPr>
        <w:t>Leandro Henrique Lopes</w:t>
      </w:r>
    </w:p>
    <w:p w14:paraId="77574DBB" w14:textId="60FB504E" w:rsidR="00EA11B7" w:rsidRPr="00B83770" w:rsidRDefault="00EA11B7" w:rsidP="004F031E">
      <w:pPr>
        <w:spacing w:beforeLines="30" w:before="72" w:afterLines="30" w:after="72"/>
        <w:ind w:left="3197" w:right="620" w:hanging="2598"/>
        <w:jc w:val="right"/>
        <w:rPr>
          <w:rFonts w:ascii="Arial" w:hAnsi="Arial" w:cs="Arial"/>
          <w:sz w:val="20"/>
          <w:szCs w:val="20"/>
        </w:rPr>
      </w:pPr>
      <w:r w:rsidRPr="00B83770">
        <w:rPr>
          <w:rFonts w:ascii="Arial" w:hAnsi="Arial" w:cs="Arial"/>
          <w:sz w:val="20"/>
          <w:szCs w:val="20"/>
        </w:rPr>
        <w:t>Marcos Vinícius Sokabe Ribeiro</w:t>
      </w:r>
    </w:p>
    <w:p w14:paraId="01521761" w14:textId="5F5D73A5" w:rsidR="005F0B67" w:rsidRPr="00B83770" w:rsidRDefault="00EA11B7" w:rsidP="004F031E">
      <w:pPr>
        <w:spacing w:beforeLines="30" w:before="72" w:afterLines="30" w:after="72"/>
        <w:ind w:left="3197" w:right="620" w:hanging="2598"/>
        <w:jc w:val="right"/>
        <w:rPr>
          <w:rFonts w:ascii="Arial" w:hAnsi="Arial" w:cs="Arial"/>
          <w:sz w:val="20"/>
          <w:szCs w:val="20"/>
        </w:rPr>
      </w:pPr>
      <w:r w:rsidRPr="00B83770">
        <w:rPr>
          <w:rFonts w:ascii="Arial" w:hAnsi="Arial" w:cs="Arial"/>
          <w:sz w:val="20"/>
          <w:szCs w:val="20"/>
        </w:rPr>
        <w:t>Mary Hellen Signer Rocha</w:t>
      </w:r>
    </w:p>
    <w:p w14:paraId="65F5F181" w14:textId="452E46F4" w:rsidR="005F0B67" w:rsidRPr="00915296" w:rsidRDefault="005F0B67" w:rsidP="00915296">
      <w:pPr>
        <w:spacing w:beforeLines="30" w:before="72" w:afterLines="30" w:after="72" w:line="360" w:lineRule="auto"/>
        <w:ind w:left="3197" w:right="620" w:hanging="2598"/>
        <w:jc w:val="both"/>
        <w:rPr>
          <w:rFonts w:ascii="Arial" w:hAnsi="Arial" w:cs="Arial"/>
          <w:b/>
          <w:sz w:val="24"/>
          <w:szCs w:val="24"/>
        </w:rPr>
      </w:pPr>
    </w:p>
    <w:p w14:paraId="094BCB93" w14:textId="05104119" w:rsidR="00DF4FFF" w:rsidRPr="00915296" w:rsidRDefault="00DF4FFF" w:rsidP="00915296">
      <w:pPr>
        <w:spacing w:beforeLines="30" w:before="72" w:afterLines="30" w:after="72" w:line="360" w:lineRule="auto"/>
        <w:ind w:right="620"/>
        <w:jc w:val="both"/>
        <w:rPr>
          <w:rFonts w:ascii="Arial" w:hAnsi="Arial" w:cs="Arial"/>
          <w:sz w:val="24"/>
          <w:szCs w:val="24"/>
        </w:rPr>
      </w:pPr>
    </w:p>
    <w:p w14:paraId="66A44BFA" w14:textId="1C9D6B94" w:rsidR="00DF4FFF" w:rsidRPr="00915296" w:rsidRDefault="00137A4E" w:rsidP="00B83770">
      <w:pPr>
        <w:spacing w:before="100" w:beforeAutospacing="1" w:after="100" w:afterAutospacing="1"/>
        <w:jc w:val="both"/>
        <w:rPr>
          <w:rFonts w:ascii="Arial" w:hAnsi="Arial" w:cs="Arial"/>
          <w:sz w:val="24"/>
          <w:szCs w:val="24"/>
        </w:rPr>
      </w:pPr>
      <w:r w:rsidRPr="00915296">
        <w:rPr>
          <w:rFonts w:ascii="Arial" w:hAnsi="Arial" w:cs="Arial"/>
          <w:b/>
          <w:sz w:val="24"/>
          <w:szCs w:val="24"/>
        </w:rPr>
        <w:t>RESUMO:</w:t>
      </w:r>
      <w:r w:rsidRPr="00915296">
        <w:rPr>
          <w:rFonts w:ascii="Arial" w:hAnsi="Arial" w:cs="Arial"/>
          <w:sz w:val="24"/>
          <w:szCs w:val="24"/>
        </w:rPr>
        <w:t xml:space="preserve"> </w:t>
      </w:r>
      <w:r w:rsidR="00280DDE" w:rsidRPr="00915296">
        <w:rPr>
          <w:rFonts w:ascii="Arial" w:hAnsi="Arial" w:cs="Arial"/>
          <w:sz w:val="24"/>
          <w:szCs w:val="24"/>
        </w:rPr>
        <w:t>Este estudo investiga a prevalência do Transtorno do Espectro Autista (TEA) nos Estados Unidos ao longo do período de 2000 a 2020, analisando dados de diferentes variáveis, incluindo gênero, etnia e estado, da fonte addmn</w:t>
      </w:r>
      <w:r w:rsidR="001E552E" w:rsidRPr="00915296">
        <w:rPr>
          <w:rFonts w:ascii="Arial" w:hAnsi="Arial" w:cs="Arial"/>
          <w:sz w:val="24"/>
          <w:szCs w:val="24"/>
        </w:rPr>
        <w:t xml:space="preserve"> obtida no Centers for Disease Control and Prevention</w:t>
      </w:r>
      <w:r w:rsidR="005E13DA" w:rsidRPr="00915296">
        <w:rPr>
          <w:rFonts w:ascii="Arial" w:hAnsi="Arial" w:cs="Arial"/>
          <w:sz w:val="24"/>
          <w:szCs w:val="24"/>
        </w:rPr>
        <w:t>, em relatório publicado em 2023</w:t>
      </w:r>
      <w:r w:rsidR="00280DDE" w:rsidRPr="00915296">
        <w:rPr>
          <w:rFonts w:ascii="Arial" w:hAnsi="Arial" w:cs="Arial"/>
          <w:sz w:val="24"/>
          <w:szCs w:val="24"/>
        </w:rPr>
        <w:t>. Utilizando uma abordagem estatística, foram calculadas médias de prevalência, identificadas tendências temporais e exploradas disparidades demográficas na ocorrência do TEA.</w:t>
      </w:r>
      <w:r w:rsidR="001E552E" w:rsidRPr="00915296">
        <w:rPr>
          <w:rFonts w:ascii="Arial" w:hAnsi="Arial" w:cs="Arial"/>
          <w:sz w:val="24"/>
          <w:szCs w:val="24"/>
        </w:rPr>
        <w:t xml:space="preserve"> Pretende-se, assim, contribuir com o avanço teórico </w:t>
      </w:r>
      <w:r w:rsidR="00C9787A" w:rsidRPr="00915296">
        <w:rPr>
          <w:rFonts w:ascii="Arial" w:hAnsi="Arial" w:cs="Arial"/>
          <w:sz w:val="24"/>
          <w:szCs w:val="24"/>
        </w:rPr>
        <w:t xml:space="preserve">e </w:t>
      </w:r>
      <w:r w:rsidR="001E552E" w:rsidRPr="00915296">
        <w:rPr>
          <w:rFonts w:ascii="Arial" w:hAnsi="Arial" w:cs="Arial"/>
          <w:sz w:val="24"/>
          <w:szCs w:val="24"/>
        </w:rPr>
        <w:t>prático do tema na esfer</w:t>
      </w:r>
      <w:r w:rsidR="00C9787A" w:rsidRPr="00915296">
        <w:rPr>
          <w:rFonts w:ascii="Arial" w:hAnsi="Arial" w:cs="Arial"/>
          <w:sz w:val="24"/>
          <w:szCs w:val="24"/>
        </w:rPr>
        <w:t>a</w:t>
      </w:r>
      <w:r w:rsidR="001E552E" w:rsidRPr="00915296">
        <w:rPr>
          <w:rFonts w:ascii="Arial" w:hAnsi="Arial" w:cs="Arial"/>
          <w:sz w:val="24"/>
          <w:szCs w:val="24"/>
        </w:rPr>
        <w:t xml:space="preserve"> pública</w:t>
      </w:r>
      <w:r w:rsidR="00C9787A" w:rsidRPr="00915296">
        <w:rPr>
          <w:rFonts w:ascii="Arial" w:hAnsi="Arial" w:cs="Arial"/>
          <w:sz w:val="24"/>
          <w:szCs w:val="24"/>
        </w:rPr>
        <w:t xml:space="preserve">, consagrando os conhecimentos da Ciência de Dados </w:t>
      </w:r>
      <w:r w:rsidR="00FD2FA4" w:rsidRPr="00915296">
        <w:rPr>
          <w:rFonts w:ascii="Arial" w:hAnsi="Arial" w:cs="Arial"/>
          <w:sz w:val="24"/>
          <w:szCs w:val="24"/>
        </w:rPr>
        <w:t>e da medicina através do</w:t>
      </w:r>
      <w:r w:rsidR="001869AA" w:rsidRPr="00915296">
        <w:rPr>
          <w:rFonts w:ascii="Arial" w:hAnsi="Arial" w:cs="Arial"/>
          <w:sz w:val="24"/>
          <w:szCs w:val="24"/>
        </w:rPr>
        <w:t xml:space="preserve"> saber transversal. </w:t>
      </w:r>
    </w:p>
    <w:p w14:paraId="2F81E470" w14:textId="0213E3A7" w:rsidR="00DF4FFF" w:rsidRDefault="00137A4E" w:rsidP="004F031E">
      <w:pPr>
        <w:spacing w:beforeLines="30" w:before="72" w:afterLines="30" w:after="72" w:line="360" w:lineRule="auto"/>
        <w:ind w:right="114"/>
        <w:jc w:val="both"/>
        <w:rPr>
          <w:rFonts w:ascii="Arial" w:hAnsi="Arial" w:cs="Arial"/>
          <w:b/>
          <w:spacing w:val="1"/>
          <w:sz w:val="24"/>
          <w:szCs w:val="24"/>
        </w:rPr>
      </w:pPr>
      <w:r w:rsidRPr="00915296">
        <w:rPr>
          <w:rFonts w:ascii="Arial" w:hAnsi="Arial" w:cs="Arial"/>
          <w:b/>
          <w:sz w:val="24"/>
          <w:szCs w:val="24"/>
        </w:rPr>
        <w:t>PALAVRAS-CHAVE:</w:t>
      </w:r>
      <w:r w:rsidRPr="00915296">
        <w:rPr>
          <w:rFonts w:ascii="Arial" w:hAnsi="Arial" w:cs="Arial"/>
          <w:b/>
          <w:spacing w:val="1"/>
          <w:sz w:val="24"/>
          <w:szCs w:val="24"/>
        </w:rPr>
        <w:t xml:space="preserve"> </w:t>
      </w:r>
    </w:p>
    <w:p w14:paraId="43CBB785" w14:textId="77777777" w:rsidR="00EF008F" w:rsidRPr="004F031E" w:rsidRDefault="00EF008F" w:rsidP="004F031E">
      <w:pPr>
        <w:spacing w:beforeLines="30" w:before="72" w:afterLines="30" w:after="72" w:line="360" w:lineRule="auto"/>
        <w:ind w:right="114"/>
        <w:jc w:val="both"/>
        <w:rPr>
          <w:rFonts w:ascii="Arial" w:hAnsi="Arial" w:cs="Arial"/>
          <w:b/>
          <w:bCs/>
          <w:sz w:val="24"/>
          <w:szCs w:val="24"/>
        </w:rPr>
      </w:pPr>
    </w:p>
    <w:p w14:paraId="15466469" w14:textId="4532A4AF" w:rsidR="005F4C43" w:rsidRPr="004836A4" w:rsidRDefault="00137A4E" w:rsidP="00915296">
      <w:pPr>
        <w:pStyle w:val="Ttulo1"/>
        <w:numPr>
          <w:ilvl w:val="0"/>
          <w:numId w:val="4"/>
        </w:numPr>
        <w:spacing w:beforeLines="30" w:before="72" w:afterLines="30" w:after="72" w:line="360" w:lineRule="auto"/>
        <w:jc w:val="both"/>
      </w:pPr>
      <w:r>
        <w:t>I</w:t>
      </w:r>
      <w:r w:rsidR="00057ABF">
        <w:t>NTRODUÇÃO</w:t>
      </w:r>
    </w:p>
    <w:p w14:paraId="7DA9E2A4" w14:textId="77777777" w:rsidR="00002392" w:rsidRDefault="00A247D4"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De origem</w:t>
      </w:r>
      <w:r w:rsidR="00EC7D84">
        <w:rPr>
          <w:rFonts w:ascii="Arial" w:hAnsi="Arial" w:cs="Arial"/>
          <w:color w:val="0D0D0D"/>
        </w:rPr>
        <w:t xml:space="preserve"> grega, a palavra </w:t>
      </w:r>
      <w:r w:rsidR="00EC7D84" w:rsidRPr="008466BA">
        <w:rPr>
          <w:rFonts w:ascii="Arial" w:hAnsi="Arial" w:cs="Arial"/>
          <w:i/>
          <w:iCs/>
          <w:color w:val="0D0D0D"/>
        </w:rPr>
        <w:t>autismo</w:t>
      </w:r>
      <w:r w:rsidR="008466BA">
        <w:rPr>
          <w:rFonts w:ascii="Arial" w:hAnsi="Arial" w:cs="Arial"/>
          <w:i/>
          <w:iCs/>
          <w:color w:val="0D0D0D"/>
        </w:rPr>
        <w:t xml:space="preserve"> </w:t>
      </w:r>
      <w:r w:rsidR="008466BA">
        <w:rPr>
          <w:rFonts w:ascii="Arial" w:hAnsi="Arial" w:cs="Arial"/>
          <w:color w:val="0D0D0D"/>
        </w:rPr>
        <w:t xml:space="preserve">deriva </w:t>
      </w:r>
      <w:r w:rsidR="00C03D1F">
        <w:rPr>
          <w:rFonts w:ascii="Arial" w:hAnsi="Arial" w:cs="Arial"/>
          <w:color w:val="0D0D0D"/>
        </w:rPr>
        <w:t xml:space="preserve">de </w:t>
      </w:r>
      <w:r w:rsidR="00C03D1F" w:rsidRPr="00C03D1F">
        <w:rPr>
          <w:rFonts w:ascii="Arial" w:hAnsi="Arial" w:cs="Arial"/>
          <w:i/>
          <w:iCs/>
          <w:color w:val="0D0D0D"/>
        </w:rPr>
        <w:t>autos</w:t>
      </w:r>
      <w:r w:rsidR="00C03D1F">
        <w:rPr>
          <w:rFonts w:ascii="Arial" w:hAnsi="Arial" w:cs="Arial"/>
          <w:color w:val="0D0D0D"/>
        </w:rPr>
        <w:t xml:space="preserve">, </w:t>
      </w:r>
      <w:r w:rsidR="00B820EF">
        <w:rPr>
          <w:rFonts w:ascii="Arial" w:hAnsi="Arial" w:cs="Arial"/>
          <w:color w:val="0D0D0D"/>
        </w:rPr>
        <w:t>“voltado para si”</w:t>
      </w:r>
      <w:r w:rsidR="006A52D8">
        <w:rPr>
          <w:rFonts w:ascii="Arial" w:hAnsi="Arial" w:cs="Arial"/>
          <w:color w:val="0D0D0D"/>
        </w:rPr>
        <w:t>, com o sufixo</w:t>
      </w:r>
      <w:r w:rsidR="005D4BFD">
        <w:rPr>
          <w:rFonts w:ascii="Arial" w:hAnsi="Arial" w:cs="Arial"/>
          <w:color w:val="0D0D0D"/>
        </w:rPr>
        <w:t xml:space="preserve"> -ismo, em alemão, que indica ação ou estado.</w:t>
      </w:r>
      <w:r w:rsidR="00054BD1">
        <w:rPr>
          <w:rFonts w:ascii="Arial" w:hAnsi="Arial" w:cs="Arial"/>
          <w:color w:val="0D0D0D"/>
        </w:rPr>
        <w:t xml:space="preserve"> </w:t>
      </w:r>
      <w:r w:rsidR="00775398">
        <w:rPr>
          <w:rFonts w:ascii="Arial" w:hAnsi="Arial" w:cs="Arial"/>
          <w:color w:val="0D0D0D"/>
        </w:rPr>
        <w:t xml:space="preserve">Paul </w:t>
      </w:r>
      <w:r w:rsidR="00271F11">
        <w:rPr>
          <w:rFonts w:ascii="Arial" w:hAnsi="Arial" w:cs="Arial"/>
          <w:color w:val="0D0D0D"/>
        </w:rPr>
        <w:t>Eu</w:t>
      </w:r>
      <w:r w:rsidR="00EB2067">
        <w:rPr>
          <w:rFonts w:ascii="Arial" w:hAnsi="Arial" w:cs="Arial"/>
          <w:color w:val="0D0D0D"/>
        </w:rPr>
        <w:t>gen Bleuler</w:t>
      </w:r>
      <w:r w:rsidR="00775398">
        <w:rPr>
          <w:rFonts w:ascii="Arial" w:hAnsi="Arial" w:cs="Arial"/>
          <w:color w:val="0D0D0D"/>
        </w:rPr>
        <w:t>¹</w:t>
      </w:r>
      <w:r w:rsidR="00EB2067">
        <w:rPr>
          <w:rFonts w:ascii="Arial" w:hAnsi="Arial" w:cs="Arial"/>
          <w:color w:val="0D0D0D"/>
        </w:rPr>
        <w:t xml:space="preserve">, em 1912, </w:t>
      </w:r>
      <w:r w:rsidR="007012D7">
        <w:rPr>
          <w:rFonts w:ascii="Arial" w:hAnsi="Arial" w:cs="Arial"/>
          <w:color w:val="0D0D0D"/>
        </w:rPr>
        <w:t>cunh</w:t>
      </w:r>
      <w:r w:rsidR="008D19CD">
        <w:rPr>
          <w:rFonts w:ascii="Arial" w:hAnsi="Arial" w:cs="Arial"/>
          <w:color w:val="0D0D0D"/>
        </w:rPr>
        <w:t>ara</w:t>
      </w:r>
      <w:r w:rsidR="007012D7">
        <w:rPr>
          <w:rFonts w:ascii="Arial" w:hAnsi="Arial" w:cs="Arial"/>
          <w:color w:val="0D0D0D"/>
        </w:rPr>
        <w:t xml:space="preserve"> o termo </w:t>
      </w:r>
      <w:proofErr w:type="spellStart"/>
      <w:r w:rsidR="007012D7" w:rsidRPr="007012D7">
        <w:rPr>
          <w:rFonts w:ascii="Arial" w:hAnsi="Arial" w:cs="Arial"/>
          <w:i/>
          <w:iCs/>
          <w:color w:val="0D0D0D"/>
        </w:rPr>
        <w:t>Autismus</w:t>
      </w:r>
      <w:proofErr w:type="spellEnd"/>
      <w:r w:rsidR="007012D7">
        <w:rPr>
          <w:rFonts w:ascii="Arial" w:hAnsi="Arial" w:cs="Arial"/>
          <w:i/>
          <w:iCs/>
          <w:color w:val="0D0D0D"/>
        </w:rPr>
        <w:t xml:space="preserve"> </w:t>
      </w:r>
      <w:r w:rsidR="007012D7">
        <w:rPr>
          <w:rFonts w:ascii="Arial" w:hAnsi="Arial" w:cs="Arial"/>
          <w:color w:val="0D0D0D"/>
        </w:rPr>
        <w:t>para</w:t>
      </w:r>
      <w:r w:rsidR="008D19CD">
        <w:rPr>
          <w:rFonts w:ascii="Arial" w:hAnsi="Arial" w:cs="Arial"/>
          <w:color w:val="0D0D0D"/>
        </w:rPr>
        <w:t xml:space="preserve"> descrever </w:t>
      </w:r>
      <w:r w:rsidR="00775398">
        <w:rPr>
          <w:rFonts w:ascii="Arial" w:hAnsi="Arial" w:cs="Arial"/>
          <w:color w:val="0D0D0D"/>
        </w:rPr>
        <w:t xml:space="preserve">o que, até então, acreditava se tratar de um sintoma relacionado à esquizofrenia. </w:t>
      </w:r>
      <w:r w:rsidR="004B7EDA">
        <w:rPr>
          <w:rFonts w:ascii="Arial" w:hAnsi="Arial" w:cs="Arial"/>
          <w:color w:val="0D0D0D"/>
        </w:rPr>
        <w:t>Através de observação d</w:t>
      </w:r>
      <w:r w:rsidR="00B268D3">
        <w:rPr>
          <w:rFonts w:ascii="Arial" w:hAnsi="Arial" w:cs="Arial"/>
          <w:color w:val="0D0D0D"/>
        </w:rPr>
        <w:t xml:space="preserve">ireta de </w:t>
      </w:r>
      <w:r w:rsidR="00E02C07">
        <w:rPr>
          <w:rFonts w:ascii="Arial" w:hAnsi="Arial" w:cs="Arial"/>
          <w:color w:val="0D0D0D"/>
        </w:rPr>
        <w:t xml:space="preserve">seus </w:t>
      </w:r>
      <w:r w:rsidR="00B268D3">
        <w:rPr>
          <w:rFonts w:ascii="Arial" w:hAnsi="Arial" w:cs="Arial"/>
          <w:color w:val="0D0D0D"/>
        </w:rPr>
        <w:t>paciente</w:t>
      </w:r>
      <w:r w:rsidR="00C85681">
        <w:rPr>
          <w:rFonts w:ascii="Arial" w:hAnsi="Arial" w:cs="Arial"/>
          <w:color w:val="0D0D0D"/>
        </w:rPr>
        <w:t>s</w:t>
      </w:r>
      <w:r w:rsidR="00B268D3">
        <w:rPr>
          <w:rFonts w:ascii="Arial" w:hAnsi="Arial" w:cs="Arial"/>
          <w:color w:val="0D0D0D"/>
        </w:rPr>
        <w:t xml:space="preserve">, </w:t>
      </w:r>
      <w:r w:rsidR="00004926">
        <w:rPr>
          <w:rFonts w:ascii="Arial" w:hAnsi="Arial" w:cs="Arial"/>
          <w:color w:val="0D0D0D"/>
        </w:rPr>
        <w:t xml:space="preserve">o psiquiatra </w:t>
      </w:r>
      <w:r w:rsidR="00E02C07">
        <w:rPr>
          <w:rFonts w:ascii="Arial" w:hAnsi="Arial" w:cs="Arial"/>
          <w:color w:val="0D0D0D"/>
        </w:rPr>
        <w:t>deduziu que havia uma tendência de fuga da realidade</w:t>
      </w:r>
      <w:r w:rsidR="00C85681">
        <w:rPr>
          <w:rFonts w:ascii="Arial" w:hAnsi="Arial" w:cs="Arial"/>
          <w:color w:val="0D0D0D"/>
        </w:rPr>
        <w:t xml:space="preserve"> em seus comportamentos</w:t>
      </w:r>
      <w:r w:rsidR="00E02C07">
        <w:rPr>
          <w:rFonts w:ascii="Arial" w:hAnsi="Arial" w:cs="Arial"/>
          <w:color w:val="0D0D0D"/>
        </w:rPr>
        <w:t>.</w:t>
      </w:r>
    </w:p>
    <w:p w14:paraId="010D6ABE" w14:textId="4087D104" w:rsidR="00065359" w:rsidRDefault="00002392" w:rsidP="00776603">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Apenas em 1943, Leo Kanner, psiquiatra suíço,</w:t>
      </w:r>
      <w:r w:rsidR="00ED6E73">
        <w:rPr>
          <w:rFonts w:ascii="Arial" w:hAnsi="Arial" w:cs="Arial"/>
          <w:color w:val="0D0D0D"/>
        </w:rPr>
        <w:t xml:space="preserve"> dividiu o diagnóstico </w:t>
      </w:r>
      <w:r w:rsidR="00266543">
        <w:rPr>
          <w:rFonts w:ascii="Arial" w:hAnsi="Arial" w:cs="Arial"/>
          <w:color w:val="0D0D0D"/>
        </w:rPr>
        <w:t>d</w:t>
      </w:r>
      <w:r w:rsidR="00245E18">
        <w:rPr>
          <w:rFonts w:ascii="Arial" w:hAnsi="Arial" w:cs="Arial"/>
          <w:color w:val="0D0D0D"/>
        </w:rPr>
        <w:t xml:space="preserve">o autismo </w:t>
      </w:r>
      <w:r w:rsidR="0059411B">
        <w:rPr>
          <w:rFonts w:ascii="Arial" w:hAnsi="Arial" w:cs="Arial"/>
          <w:color w:val="0D0D0D"/>
        </w:rPr>
        <w:t>da caracterização de</w:t>
      </w:r>
      <w:r w:rsidR="00245E18">
        <w:rPr>
          <w:rFonts w:ascii="Arial" w:hAnsi="Arial" w:cs="Arial"/>
          <w:color w:val="0D0D0D"/>
        </w:rPr>
        <w:t xml:space="preserve"> subtipo da esquizofrenia</w:t>
      </w:r>
      <w:r w:rsidR="00266543">
        <w:rPr>
          <w:rFonts w:ascii="Arial" w:hAnsi="Arial" w:cs="Arial"/>
          <w:color w:val="0D0D0D"/>
        </w:rPr>
        <w:t xml:space="preserve">, </w:t>
      </w:r>
      <w:r w:rsidR="00AD244F">
        <w:rPr>
          <w:rFonts w:ascii="Arial" w:hAnsi="Arial" w:cs="Arial"/>
          <w:color w:val="0D0D0D"/>
        </w:rPr>
        <w:t xml:space="preserve">em seu artigo intitulado “Distúrbios </w:t>
      </w:r>
      <w:proofErr w:type="spellStart"/>
      <w:r w:rsidR="00AD244F">
        <w:rPr>
          <w:rFonts w:ascii="Arial" w:hAnsi="Arial" w:cs="Arial"/>
          <w:color w:val="0D0D0D"/>
        </w:rPr>
        <w:t>autísticos</w:t>
      </w:r>
      <w:proofErr w:type="spellEnd"/>
      <w:r w:rsidR="00AD244F">
        <w:rPr>
          <w:rFonts w:ascii="Arial" w:hAnsi="Arial" w:cs="Arial"/>
          <w:color w:val="0D0D0D"/>
        </w:rPr>
        <w:t xml:space="preserve"> do contato afetivo”. </w:t>
      </w:r>
      <w:r w:rsidR="00021F67">
        <w:rPr>
          <w:rFonts w:ascii="Arial" w:hAnsi="Arial" w:cs="Arial"/>
          <w:color w:val="0D0D0D"/>
        </w:rPr>
        <w:t>O trabalho se baseava na análise de 11 crianças</w:t>
      </w:r>
      <w:r w:rsidR="00F21D6B">
        <w:rPr>
          <w:rFonts w:ascii="Arial" w:hAnsi="Arial" w:cs="Arial"/>
          <w:color w:val="0D0D0D"/>
        </w:rPr>
        <w:t xml:space="preserve">. </w:t>
      </w:r>
      <w:r w:rsidR="00573D17">
        <w:rPr>
          <w:rFonts w:ascii="Arial" w:hAnsi="Arial" w:cs="Arial"/>
          <w:color w:val="0D0D0D"/>
        </w:rPr>
        <w:t xml:space="preserve">Sua contribuição para as ciências, além da caracterização </w:t>
      </w:r>
      <w:r w:rsidR="003A3686">
        <w:rPr>
          <w:rFonts w:ascii="Arial" w:hAnsi="Arial" w:cs="Arial"/>
          <w:color w:val="0D0D0D"/>
        </w:rPr>
        <w:t>d</w:t>
      </w:r>
      <w:r w:rsidR="00651F21">
        <w:rPr>
          <w:rFonts w:ascii="Arial" w:hAnsi="Arial" w:cs="Arial"/>
          <w:color w:val="0D0D0D"/>
        </w:rPr>
        <w:t xml:space="preserve">a concepção do transtorno autista, serviu para </w:t>
      </w:r>
      <w:r w:rsidR="00E234DF">
        <w:rPr>
          <w:rFonts w:ascii="Arial" w:hAnsi="Arial" w:cs="Arial"/>
          <w:color w:val="0D0D0D"/>
        </w:rPr>
        <w:t xml:space="preserve">reorganizar e mapear outros transtornos psíquicos e comportamentais, </w:t>
      </w:r>
      <w:r w:rsidR="00AF54E2">
        <w:rPr>
          <w:rFonts w:ascii="Arial" w:hAnsi="Arial" w:cs="Arial"/>
          <w:color w:val="0D0D0D"/>
        </w:rPr>
        <w:t xml:space="preserve">assim como </w:t>
      </w:r>
      <w:r w:rsidR="00176E26">
        <w:rPr>
          <w:rFonts w:ascii="Arial" w:hAnsi="Arial" w:cs="Arial"/>
          <w:color w:val="0D0D0D"/>
        </w:rPr>
        <w:t xml:space="preserve">os limites de </w:t>
      </w:r>
      <w:r w:rsidR="00AF54E2">
        <w:rPr>
          <w:rFonts w:ascii="Arial" w:hAnsi="Arial" w:cs="Arial"/>
          <w:color w:val="0D0D0D"/>
        </w:rPr>
        <w:t>s</w:t>
      </w:r>
      <w:r w:rsidR="00176E26">
        <w:rPr>
          <w:rFonts w:ascii="Arial" w:hAnsi="Arial" w:cs="Arial"/>
          <w:color w:val="0D0D0D"/>
        </w:rPr>
        <w:t>eus universos sintomáticos</w:t>
      </w:r>
      <w:r w:rsidR="00932B6B">
        <w:rPr>
          <w:rFonts w:ascii="Arial" w:hAnsi="Arial" w:cs="Arial"/>
          <w:color w:val="0D0D0D"/>
        </w:rPr>
        <w:t xml:space="preserve">. Para Kanner, </w:t>
      </w:r>
      <w:r w:rsidR="00DE5CEE">
        <w:rPr>
          <w:rFonts w:ascii="Arial" w:hAnsi="Arial" w:cs="Arial"/>
          <w:color w:val="0D0D0D"/>
        </w:rPr>
        <w:t xml:space="preserve">o diagnóstico correto do transtorno do autismo </w:t>
      </w:r>
      <w:r w:rsidR="00352CCD">
        <w:rPr>
          <w:rFonts w:ascii="Arial" w:hAnsi="Arial" w:cs="Arial"/>
          <w:color w:val="0D0D0D"/>
        </w:rPr>
        <w:t>era</w:t>
      </w:r>
      <w:r w:rsidR="003F0B2B">
        <w:rPr>
          <w:rFonts w:ascii="Arial" w:hAnsi="Arial" w:cs="Arial"/>
          <w:color w:val="0D0D0D"/>
        </w:rPr>
        <w:t xml:space="preserve">, também, discutir os estigmas </w:t>
      </w:r>
      <w:r w:rsidR="00843ECE">
        <w:rPr>
          <w:rFonts w:ascii="Arial" w:hAnsi="Arial" w:cs="Arial"/>
          <w:color w:val="0D0D0D"/>
        </w:rPr>
        <w:t xml:space="preserve">históricos </w:t>
      </w:r>
      <w:r w:rsidR="005803DB">
        <w:rPr>
          <w:rFonts w:ascii="Arial" w:hAnsi="Arial" w:cs="Arial"/>
          <w:color w:val="0D0D0D"/>
        </w:rPr>
        <w:t>envolta da condição, principalmente em crianças</w:t>
      </w:r>
      <w:r w:rsidR="007E7C57">
        <w:rPr>
          <w:rFonts w:ascii="Arial" w:hAnsi="Arial" w:cs="Arial"/>
          <w:color w:val="0D0D0D"/>
        </w:rPr>
        <w:t>.</w:t>
      </w:r>
      <w:r w:rsidR="00776603">
        <w:rPr>
          <w:rFonts w:ascii="Arial" w:hAnsi="Arial" w:cs="Arial"/>
          <w:color w:val="0D0D0D"/>
        </w:rPr>
        <w:t xml:space="preserve"> </w:t>
      </w:r>
      <w:r w:rsidR="000E3A4E">
        <w:rPr>
          <w:rFonts w:ascii="Arial" w:hAnsi="Arial" w:cs="Arial"/>
          <w:color w:val="0D0D0D"/>
        </w:rPr>
        <w:t xml:space="preserve">Menos de duas </w:t>
      </w:r>
      <w:r w:rsidR="000E3A4E">
        <w:rPr>
          <w:rFonts w:ascii="Arial" w:hAnsi="Arial" w:cs="Arial"/>
          <w:color w:val="0D0D0D"/>
        </w:rPr>
        <w:lastRenderedPageBreak/>
        <w:t>décadas depois de Kanner, em 19</w:t>
      </w:r>
      <w:r w:rsidR="00786065">
        <w:rPr>
          <w:rFonts w:ascii="Arial" w:hAnsi="Arial" w:cs="Arial"/>
          <w:color w:val="0D0D0D"/>
        </w:rPr>
        <w:t xml:space="preserve">60, </w:t>
      </w:r>
      <w:r w:rsidR="001945B2">
        <w:rPr>
          <w:rFonts w:ascii="Arial" w:hAnsi="Arial" w:cs="Arial"/>
          <w:color w:val="0D0D0D"/>
        </w:rPr>
        <w:t xml:space="preserve">a psiquiatra infantil Stella Chess </w:t>
      </w:r>
      <w:r w:rsidR="001E7EC0">
        <w:rPr>
          <w:rFonts w:ascii="Arial" w:hAnsi="Arial" w:cs="Arial"/>
          <w:color w:val="0D0D0D"/>
        </w:rPr>
        <w:t xml:space="preserve">adotou uma </w:t>
      </w:r>
      <w:r w:rsidR="00432B74">
        <w:rPr>
          <w:rFonts w:ascii="Arial" w:hAnsi="Arial" w:cs="Arial"/>
          <w:color w:val="0D0D0D"/>
        </w:rPr>
        <w:t xml:space="preserve">perspectiva baseada na </w:t>
      </w:r>
      <w:r w:rsidR="007208F1">
        <w:rPr>
          <w:rFonts w:ascii="Arial" w:hAnsi="Arial" w:cs="Arial"/>
          <w:color w:val="0D0D0D"/>
        </w:rPr>
        <w:t xml:space="preserve">neurologia e medicina, ao </w:t>
      </w:r>
      <w:r w:rsidR="007E0ACA">
        <w:rPr>
          <w:rFonts w:ascii="Arial" w:hAnsi="Arial" w:cs="Arial"/>
          <w:color w:val="0D0D0D"/>
        </w:rPr>
        <w:t>buscar entender o comportamento biológico</w:t>
      </w:r>
      <w:r w:rsidR="00333AFB">
        <w:rPr>
          <w:rFonts w:ascii="Arial" w:hAnsi="Arial" w:cs="Arial"/>
          <w:color w:val="0D0D0D"/>
        </w:rPr>
        <w:t xml:space="preserve"> de </w:t>
      </w:r>
      <w:r w:rsidR="00F76768">
        <w:rPr>
          <w:rFonts w:ascii="Arial" w:hAnsi="Arial" w:cs="Arial"/>
          <w:color w:val="0D0D0D"/>
        </w:rPr>
        <w:t>pacientes com transtorno d</w:t>
      </w:r>
      <w:r w:rsidR="00620555">
        <w:rPr>
          <w:rFonts w:ascii="Arial" w:hAnsi="Arial" w:cs="Arial"/>
          <w:color w:val="0D0D0D"/>
        </w:rPr>
        <w:t>o autismo.</w:t>
      </w:r>
    </w:p>
    <w:p w14:paraId="303855A4" w14:textId="12B7DAE3" w:rsidR="00985D97" w:rsidRDefault="00516C4F" w:rsidP="00776603">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Atualmente, há duas fontes</w:t>
      </w:r>
      <w:r w:rsidR="00471781">
        <w:rPr>
          <w:rFonts w:ascii="Arial" w:hAnsi="Arial" w:cs="Arial"/>
          <w:color w:val="0D0D0D"/>
        </w:rPr>
        <w:t xml:space="preserve"> </w:t>
      </w:r>
      <w:r w:rsidR="00C778A8">
        <w:rPr>
          <w:rFonts w:ascii="Arial" w:hAnsi="Arial" w:cs="Arial"/>
          <w:color w:val="0D0D0D"/>
        </w:rPr>
        <w:t>principais de classificação d</w:t>
      </w:r>
      <w:r w:rsidR="00A22A7E">
        <w:rPr>
          <w:rFonts w:ascii="Arial" w:hAnsi="Arial" w:cs="Arial"/>
          <w:color w:val="0D0D0D"/>
        </w:rPr>
        <w:t xml:space="preserve">e TEA no Brasil, </w:t>
      </w:r>
      <w:r w:rsidR="00021357">
        <w:rPr>
          <w:rFonts w:ascii="Arial" w:hAnsi="Arial" w:cs="Arial"/>
          <w:color w:val="0D0D0D"/>
        </w:rPr>
        <w:t>a primeira através do órgão de Classificação Internacional de Doenças e Problemas relacionados à saúde (CID)</w:t>
      </w:r>
      <w:r w:rsidR="00306BE7">
        <w:rPr>
          <w:rFonts w:ascii="Arial" w:hAnsi="Arial" w:cs="Arial"/>
          <w:color w:val="0D0D0D"/>
        </w:rPr>
        <w:t>, publicada pela Organização Mundial de Saúde (OMS), e o Manual Diagnóstico e Estatístico</w:t>
      </w:r>
      <w:r w:rsidR="009B3FBE">
        <w:rPr>
          <w:rFonts w:ascii="Arial" w:hAnsi="Arial" w:cs="Arial"/>
          <w:color w:val="0D0D0D"/>
        </w:rPr>
        <w:t xml:space="preserve"> de Transtornos Mentais, em sua última atualização e revisão,</w:t>
      </w:r>
      <w:r w:rsidR="00F35CA3">
        <w:rPr>
          <w:rFonts w:ascii="Arial" w:hAnsi="Arial" w:cs="Arial"/>
          <w:color w:val="0D0D0D"/>
        </w:rPr>
        <w:t xml:space="preserve"> 2022,</w:t>
      </w:r>
      <w:r w:rsidR="009B3FBE">
        <w:rPr>
          <w:rFonts w:ascii="Arial" w:hAnsi="Arial" w:cs="Arial"/>
          <w:color w:val="0D0D0D"/>
        </w:rPr>
        <w:t xml:space="preserve"> o </w:t>
      </w:r>
      <w:r w:rsidR="00AE56F1">
        <w:rPr>
          <w:rFonts w:ascii="Arial" w:hAnsi="Arial" w:cs="Arial"/>
          <w:color w:val="0D0D0D"/>
        </w:rPr>
        <w:t>DSM</w:t>
      </w:r>
      <w:r w:rsidR="009B3FBE">
        <w:rPr>
          <w:rFonts w:ascii="Arial" w:hAnsi="Arial" w:cs="Arial"/>
          <w:color w:val="0D0D0D"/>
        </w:rPr>
        <w:t>-5</w:t>
      </w:r>
      <w:r w:rsidR="00AE56F1">
        <w:rPr>
          <w:rFonts w:ascii="Arial" w:hAnsi="Arial" w:cs="Arial"/>
          <w:color w:val="0D0D0D"/>
        </w:rPr>
        <w:t>-TR</w:t>
      </w:r>
      <w:r w:rsidR="009B3FBE">
        <w:rPr>
          <w:rFonts w:ascii="Arial" w:hAnsi="Arial" w:cs="Arial"/>
          <w:color w:val="0D0D0D"/>
        </w:rPr>
        <w:t>.</w:t>
      </w:r>
      <w:r w:rsidR="00F35CA3">
        <w:rPr>
          <w:rFonts w:ascii="Arial" w:hAnsi="Arial" w:cs="Arial"/>
          <w:color w:val="0D0D0D"/>
        </w:rPr>
        <w:t xml:space="preserve"> Segundo o DSM-5,</w:t>
      </w:r>
      <w:r w:rsidR="00D27AE1">
        <w:rPr>
          <w:rFonts w:ascii="Arial" w:hAnsi="Arial" w:cs="Arial"/>
          <w:color w:val="0D0D0D"/>
        </w:rPr>
        <w:t xml:space="preserve"> o TEA é entendido em três níveis: leve, moderado e severo, abrangendo sintomas característicos em três áreas de desenvolvimento: </w:t>
      </w:r>
      <w:r w:rsidR="009A0B68">
        <w:rPr>
          <w:rFonts w:ascii="Arial" w:hAnsi="Arial" w:cs="Arial"/>
          <w:color w:val="0D0D0D"/>
        </w:rPr>
        <w:t>déficits de habilidades sociais, déficits de habilidades comunicativas e presença de comportamentos, interesses ou atividades restritos, repetiti</w:t>
      </w:r>
      <w:r w:rsidR="003C55A7">
        <w:rPr>
          <w:rFonts w:ascii="Arial" w:hAnsi="Arial" w:cs="Arial"/>
          <w:color w:val="0D0D0D"/>
        </w:rPr>
        <w:t>vos e estereotipados</w:t>
      </w:r>
      <w:r w:rsidR="009B259C">
        <w:rPr>
          <w:rFonts w:ascii="Arial" w:hAnsi="Arial" w:cs="Arial"/>
          <w:color w:val="0D0D0D"/>
        </w:rPr>
        <w:t xml:space="preserve"> (</w:t>
      </w:r>
      <w:r w:rsidR="009B259C" w:rsidRPr="00A17A06">
        <w:rPr>
          <w:rFonts w:ascii="Arial" w:hAnsi="Arial" w:cs="Arial"/>
          <w:color w:val="0D0D0D"/>
        </w:rPr>
        <w:t>S</w:t>
      </w:r>
      <w:r w:rsidR="009B259C">
        <w:rPr>
          <w:rFonts w:ascii="Arial" w:hAnsi="Arial" w:cs="Arial"/>
          <w:color w:val="0D0D0D"/>
        </w:rPr>
        <w:t>ILVA &amp; MULICK, 2009)</w:t>
      </w:r>
      <w:r w:rsidR="003C55A7">
        <w:rPr>
          <w:rFonts w:ascii="Arial" w:hAnsi="Arial" w:cs="Arial"/>
          <w:color w:val="0D0D0D"/>
        </w:rPr>
        <w:t xml:space="preserve">. Especificamente, </w:t>
      </w:r>
      <w:r w:rsidR="00A627DE">
        <w:rPr>
          <w:rFonts w:ascii="Arial" w:hAnsi="Arial" w:cs="Arial"/>
          <w:color w:val="0D0D0D"/>
        </w:rPr>
        <w:t xml:space="preserve">no que se refere à dificuldade de interação social: tendência ao isolamento, pouco contato visual, </w:t>
      </w:r>
      <w:r w:rsidR="00EC4267">
        <w:rPr>
          <w:rFonts w:ascii="Arial" w:hAnsi="Arial" w:cs="Arial"/>
          <w:color w:val="0D0D0D"/>
        </w:rPr>
        <w:t xml:space="preserve">indiferença afetiva, </w:t>
      </w:r>
      <w:r w:rsidR="00DC6275">
        <w:rPr>
          <w:rFonts w:ascii="Arial" w:hAnsi="Arial" w:cs="Arial"/>
          <w:color w:val="0D0D0D"/>
        </w:rPr>
        <w:t xml:space="preserve">autopercepção e percepção alterada, </w:t>
      </w:r>
      <w:r w:rsidR="004148D7">
        <w:rPr>
          <w:rFonts w:ascii="Arial" w:hAnsi="Arial" w:cs="Arial"/>
          <w:color w:val="0D0D0D"/>
        </w:rPr>
        <w:t>comportamento antissocial</w:t>
      </w:r>
      <w:r w:rsidR="002765E7">
        <w:rPr>
          <w:rFonts w:ascii="Arial" w:hAnsi="Arial" w:cs="Arial"/>
          <w:color w:val="0D0D0D"/>
        </w:rPr>
        <w:t xml:space="preserve">, etc. </w:t>
      </w:r>
      <w:r w:rsidR="00527900">
        <w:rPr>
          <w:rFonts w:ascii="Arial" w:hAnsi="Arial" w:cs="Arial"/>
          <w:color w:val="0D0D0D"/>
        </w:rPr>
        <w:t xml:space="preserve">Movimentos repetitivos, </w:t>
      </w:r>
      <w:r w:rsidR="005F4EDB">
        <w:rPr>
          <w:rFonts w:ascii="Arial" w:hAnsi="Arial" w:cs="Arial"/>
          <w:color w:val="0D0D0D"/>
        </w:rPr>
        <w:t xml:space="preserve">presença de padrões ritualísticos, </w:t>
      </w:r>
      <w:proofErr w:type="spellStart"/>
      <w:r w:rsidR="006C7622">
        <w:rPr>
          <w:rFonts w:ascii="Arial" w:hAnsi="Arial" w:cs="Arial"/>
          <w:color w:val="0D0D0D"/>
        </w:rPr>
        <w:t>hiperfoco</w:t>
      </w:r>
      <w:proofErr w:type="spellEnd"/>
      <w:r w:rsidR="006C7622">
        <w:rPr>
          <w:rFonts w:ascii="Arial" w:hAnsi="Arial" w:cs="Arial"/>
          <w:color w:val="0D0D0D"/>
        </w:rPr>
        <w:t xml:space="preserve"> e déficit de atenção, colecionismo, </w:t>
      </w:r>
      <w:proofErr w:type="spellStart"/>
      <w:r w:rsidR="00C26BB1">
        <w:rPr>
          <w:rFonts w:ascii="Arial" w:hAnsi="Arial" w:cs="Arial"/>
          <w:color w:val="0D0D0D"/>
        </w:rPr>
        <w:t>etc</w:t>
      </w:r>
      <w:proofErr w:type="spellEnd"/>
      <w:r w:rsidR="00C26BB1">
        <w:rPr>
          <w:rFonts w:ascii="Arial" w:hAnsi="Arial" w:cs="Arial"/>
          <w:color w:val="0D0D0D"/>
        </w:rPr>
        <w:t xml:space="preserve">, compõem a amálgama de sintomas relacionados </w:t>
      </w:r>
      <w:r w:rsidR="009243A3">
        <w:rPr>
          <w:rFonts w:ascii="Arial" w:hAnsi="Arial" w:cs="Arial"/>
          <w:color w:val="0D0D0D"/>
        </w:rPr>
        <w:t>ao comportamento.</w:t>
      </w:r>
      <w:r w:rsidR="006C7622">
        <w:rPr>
          <w:rFonts w:ascii="Arial" w:hAnsi="Arial" w:cs="Arial"/>
          <w:color w:val="0D0D0D"/>
        </w:rPr>
        <w:t xml:space="preserve"> </w:t>
      </w:r>
      <w:r w:rsidR="002765E7">
        <w:rPr>
          <w:rFonts w:ascii="Arial" w:hAnsi="Arial" w:cs="Arial"/>
          <w:color w:val="0D0D0D"/>
        </w:rPr>
        <w:t>Em sua última atualização, o DSM</w:t>
      </w:r>
      <w:r w:rsidR="009243A3">
        <w:rPr>
          <w:rFonts w:ascii="Arial" w:hAnsi="Arial" w:cs="Arial"/>
          <w:color w:val="0D0D0D"/>
        </w:rPr>
        <w:t xml:space="preserve"> </w:t>
      </w:r>
      <w:r w:rsidR="00396D08">
        <w:rPr>
          <w:rFonts w:ascii="Arial" w:hAnsi="Arial" w:cs="Arial"/>
          <w:color w:val="0D0D0D"/>
        </w:rPr>
        <w:t xml:space="preserve">aumentou o número de subcategorias de sintomas observáveis no </w:t>
      </w:r>
      <w:r w:rsidR="00192CC1">
        <w:rPr>
          <w:rFonts w:ascii="Arial" w:hAnsi="Arial" w:cs="Arial"/>
          <w:color w:val="0D0D0D"/>
        </w:rPr>
        <w:t>que chama de déficit na comunicação social</w:t>
      </w:r>
      <w:r w:rsidR="00396D08">
        <w:rPr>
          <w:rFonts w:ascii="Arial" w:hAnsi="Arial" w:cs="Arial"/>
          <w:color w:val="0D0D0D"/>
        </w:rPr>
        <w:t xml:space="preserve">, </w:t>
      </w:r>
      <w:r w:rsidR="004E63B0">
        <w:rPr>
          <w:rFonts w:ascii="Arial" w:hAnsi="Arial" w:cs="Arial"/>
          <w:color w:val="0D0D0D"/>
        </w:rPr>
        <w:t xml:space="preserve">tornando-a mais criteriosa e </w:t>
      </w:r>
      <w:r w:rsidR="00192CC1">
        <w:rPr>
          <w:rFonts w:ascii="Arial" w:hAnsi="Arial" w:cs="Arial"/>
          <w:color w:val="0D0D0D"/>
        </w:rPr>
        <w:t xml:space="preserve">específica. Para o documento, </w:t>
      </w:r>
      <w:r w:rsidR="002F4DAB">
        <w:rPr>
          <w:rFonts w:ascii="Arial" w:hAnsi="Arial" w:cs="Arial"/>
          <w:color w:val="0D0D0D"/>
        </w:rPr>
        <w:t>o paciente deve atender a todas os sintomas</w:t>
      </w:r>
      <w:r w:rsidR="00F33FC8">
        <w:rPr>
          <w:rFonts w:ascii="Arial" w:hAnsi="Arial" w:cs="Arial"/>
          <w:color w:val="0D0D0D"/>
        </w:rPr>
        <w:t xml:space="preserve"> </w:t>
      </w:r>
      <w:r w:rsidR="00B35671">
        <w:rPr>
          <w:rFonts w:ascii="Arial" w:hAnsi="Arial" w:cs="Arial"/>
          <w:color w:val="0D0D0D"/>
        </w:rPr>
        <w:t xml:space="preserve">para ser </w:t>
      </w:r>
      <w:r w:rsidR="00FF2DC3">
        <w:rPr>
          <w:rFonts w:ascii="Arial" w:hAnsi="Arial" w:cs="Arial"/>
          <w:color w:val="0D0D0D"/>
        </w:rPr>
        <w:t xml:space="preserve">diagnosticado como TEA. Elas: linguagem imatura, ecolalia, jargão, repetição de pronome sem reversão, </w:t>
      </w:r>
      <w:r w:rsidR="00604073">
        <w:rPr>
          <w:rFonts w:ascii="Arial" w:hAnsi="Arial" w:cs="Arial"/>
          <w:color w:val="0D0D0D"/>
        </w:rPr>
        <w:t xml:space="preserve">linguagem </w:t>
      </w:r>
      <w:r w:rsidR="00437EB9">
        <w:rPr>
          <w:rFonts w:ascii="Arial" w:hAnsi="Arial" w:cs="Arial"/>
          <w:color w:val="0D0D0D"/>
        </w:rPr>
        <w:t xml:space="preserve">com tom neutro independente de contexto, comprometimento de linguagem figurada, </w:t>
      </w:r>
      <w:r w:rsidR="001D4C0F">
        <w:rPr>
          <w:rFonts w:ascii="Arial" w:hAnsi="Arial" w:cs="Arial"/>
          <w:color w:val="0D0D0D"/>
        </w:rPr>
        <w:t>dificuldade na compreensão de expressões faciais e corporais e fala mecânica</w:t>
      </w:r>
      <w:r w:rsidR="009B259C">
        <w:rPr>
          <w:rFonts w:ascii="Arial" w:hAnsi="Arial" w:cs="Arial"/>
          <w:color w:val="0D0D0D"/>
        </w:rPr>
        <w:t xml:space="preserve"> (DSM-5, 2013)</w:t>
      </w:r>
      <w:r w:rsidR="001D4C0F">
        <w:rPr>
          <w:rFonts w:ascii="Arial" w:hAnsi="Arial" w:cs="Arial"/>
          <w:color w:val="0D0D0D"/>
        </w:rPr>
        <w:t xml:space="preserve">. </w:t>
      </w:r>
    </w:p>
    <w:p w14:paraId="2359700A" w14:textId="05A62D29" w:rsidR="00147045" w:rsidRDefault="00FB27C9" w:rsidP="004608A2">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O DSM-5</w:t>
      </w:r>
      <w:r w:rsidRPr="00FB27C9">
        <w:rPr>
          <w:rFonts w:ascii="Arial" w:hAnsi="Arial" w:cs="Arial"/>
          <w:color w:val="0D0D0D"/>
        </w:rPr>
        <w:t xml:space="preserve"> acompanhou um comentário do psiquiatra Michael </w:t>
      </w:r>
      <w:proofErr w:type="spellStart"/>
      <w:r w:rsidRPr="00FB27C9">
        <w:rPr>
          <w:rFonts w:ascii="Arial" w:hAnsi="Arial" w:cs="Arial"/>
          <w:color w:val="0D0D0D"/>
        </w:rPr>
        <w:t>First</w:t>
      </w:r>
      <w:proofErr w:type="spellEnd"/>
      <w:r w:rsidRPr="00FB27C9">
        <w:rPr>
          <w:rFonts w:ascii="Arial" w:hAnsi="Arial" w:cs="Arial"/>
          <w:color w:val="0D0D0D"/>
        </w:rPr>
        <w:t xml:space="preserve"> que gerou debate na comunidade do autismo. Em uma entrevista dada para o The </w:t>
      </w:r>
      <w:proofErr w:type="spellStart"/>
      <w:r w:rsidRPr="00FB27C9">
        <w:rPr>
          <w:rFonts w:ascii="Arial" w:hAnsi="Arial" w:cs="Arial"/>
          <w:color w:val="0D0D0D"/>
        </w:rPr>
        <w:t>Modern</w:t>
      </w:r>
      <w:proofErr w:type="spellEnd"/>
      <w:r w:rsidRPr="00FB27C9">
        <w:rPr>
          <w:rFonts w:ascii="Arial" w:hAnsi="Arial" w:cs="Arial"/>
          <w:color w:val="0D0D0D"/>
        </w:rPr>
        <w:t xml:space="preserve"> </w:t>
      </w:r>
      <w:proofErr w:type="spellStart"/>
      <w:r w:rsidRPr="00FB27C9">
        <w:rPr>
          <w:rFonts w:ascii="Arial" w:hAnsi="Arial" w:cs="Arial"/>
          <w:color w:val="0D0D0D"/>
        </w:rPr>
        <w:t>Therapist’s</w:t>
      </w:r>
      <w:proofErr w:type="spellEnd"/>
      <w:r w:rsidRPr="00FB27C9">
        <w:rPr>
          <w:rFonts w:ascii="Arial" w:hAnsi="Arial" w:cs="Arial"/>
          <w:color w:val="0D0D0D"/>
        </w:rPr>
        <w:t xml:space="preserve"> </w:t>
      </w:r>
      <w:proofErr w:type="spellStart"/>
      <w:r w:rsidRPr="00FB27C9">
        <w:rPr>
          <w:rFonts w:ascii="Arial" w:hAnsi="Arial" w:cs="Arial"/>
          <w:color w:val="0D0D0D"/>
        </w:rPr>
        <w:t>Survival</w:t>
      </w:r>
      <w:proofErr w:type="spellEnd"/>
      <w:r w:rsidRPr="00FB27C9">
        <w:rPr>
          <w:rFonts w:ascii="Arial" w:hAnsi="Arial" w:cs="Arial"/>
          <w:color w:val="0D0D0D"/>
        </w:rPr>
        <w:t xml:space="preserve"> </w:t>
      </w:r>
      <w:proofErr w:type="spellStart"/>
      <w:r w:rsidRPr="00FB27C9">
        <w:rPr>
          <w:rFonts w:ascii="Arial" w:hAnsi="Arial" w:cs="Arial"/>
          <w:color w:val="0D0D0D"/>
        </w:rPr>
        <w:t>Guide</w:t>
      </w:r>
      <w:proofErr w:type="spellEnd"/>
      <w:r w:rsidRPr="00FB27C9">
        <w:rPr>
          <w:rFonts w:ascii="Arial" w:hAnsi="Arial" w:cs="Arial"/>
          <w:color w:val="0D0D0D"/>
        </w:rPr>
        <w:t>, o médico afirmou que os critérios agora são mais “conservadores”, para evitar um “</w:t>
      </w:r>
      <w:proofErr w:type="spellStart"/>
      <w:r w:rsidRPr="00FB27C9">
        <w:rPr>
          <w:rFonts w:ascii="Arial" w:hAnsi="Arial" w:cs="Arial"/>
          <w:color w:val="0D0D0D"/>
        </w:rPr>
        <w:t>sobrediagnóstico</w:t>
      </w:r>
      <w:proofErr w:type="spellEnd"/>
      <w:r w:rsidRPr="00FB27C9">
        <w:rPr>
          <w:rFonts w:ascii="Arial" w:hAnsi="Arial" w:cs="Arial"/>
          <w:color w:val="0D0D0D"/>
        </w:rPr>
        <w:t>” e “banalização” do autismo.</w:t>
      </w:r>
    </w:p>
    <w:p w14:paraId="4B10F7F6" w14:textId="715069AD" w:rsidR="007377E3" w:rsidRDefault="009B2311"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 xml:space="preserve">Discutir o TEA é discutir </w:t>
      </w:r>
      <w:r w:rsidR="00C06D31">
        <w:rPr>
          <w:rFonts w:ascii="Arial" w:hAnsi="Arial" w:cs="Arial"/>
          <w:color w:val="0D0D0D"/>
        </w:rPr>
        <w:t>o seu diagnóstico.</w:t>
      </w:r>
      <w:r w:rsidR="006034C1">
        <w:rPr>
          <w:rFonts w:ascii="Arial" w:hAnsi="Arial" w:cs="Arial"/>
          <w:color w:val="0D0D0D"/>
        </w:rPr>
        <w:t xml:space="preserve"> </w:t>
      </w:r>
      <w:r w:rsidR="002A0853">
        <w:rPr>
          <w:rFonts w:ascii="Arial" w:hAnsi="Arial" w:cs="Arial"/>
          <w:color w:val="0D0D0D"/>
        </w:rPr>
        <w:t xml:space="preserve">Como </w:t>
      </w:r>
      <w:r w:rsidR="00C13E7D">
        <w:rPr>
          <w:rFonts w:ascii="Arial" w:hAnsi="Arial" w:cs="Arial"/>
          <w:color w:val="0D0D0D"/>
        </w:rPr>
        <w:t>é notável, a discussão sobre o TEA</w:t>
      </w:r>
      <w:r w:rsidR="00DD1C2B">
        <w:rPr>
          <w:rFonts w:ascii="Arial" w:hAnsi="Arial" w:cs="Arial"/>
          <w:color w:val="0D0D0D"/>
        </w:rPr>
        <w:t xml:space="preserve"> é historicamente </w:t>
      </w:r>
      <w:r w:rsidR="00EE0842">
        <w:rPr>
          <w:rFonts w:ascii="Arial" w:hAnsi="Arial" w:cs="Arial"/>
          <w:color w:val="0D0D0D"/>
        </w:rPr>
        <w:t xml:space="preserve">divergente </w:t>
      </w:r>
      <w:r w:rsidR="00B668A5">
        <w:rPr>
          <w:rFonts w:ascii="Arial" w:hAnsi="Arial" w:cs="Arial"/>
          <w:color w:val="0D0D0D"/>
        </w:rPr>
        <w:t>e</w:t>
      </w:r>
      <w:r w:rsidR="00DD1C2B">
        <w:rPr>
          <w:rFonts w:ascii="Arial" w:hAnsi="Arial" w:cs="Arial"/>
          <w:color w:val="0D0D0D"/>
        </w:rPr>
        <w:t xml:space="preserve"> relativamente nova</w:t>
      </w:r>
      <w:r w:rsidR="00B668A5">
        <w:rPr>
          <w:rFonts w:ascii="Arial" w:hAnsi="Arial" w:cs="Arial"/>
          <w:color w:val="0D0D0D"/>
        </w:rPr>
        <w:t xml:space="preserve">, de modo que </w:t>
      </w:r>
      <w:r w:rsidR="009A365C">
        <w:rPr>
          <w:rFonts w:ascii="Arial" w:hAnsi="Arial" w:cs="Arial"/>
          <w:color w:val="0D0D0D"/>
        </w:rPr>
        <w:t>o fenômeno, hoje, deve ser tratado como um objeto de grande complexidade pelos estudos contemporâneos.</w:t>
      </w:r>
      <w:r w:rsidR="004B1250">
        <w:rPr>
          <w:rFonts w:ascii="Arial" w:hAnsi="Arial" w:cs="Arial"/>
          <w:color w:val="0D0D0D"/>
        </w:rPr>
        <w:t xml:space="preserve"> Embora o tema esteja mais relacionado à área médica, </w:t>
      </w:r>
      <w:r w:rsidR="008D1173">
        <w:rPr>
          <w:rFonts w:ascii="Arial" w:hAnsi="Arial" w:cs="Arial"/>
          <w:color w:val="0D0D0D"/>
        </w:rPr>
        <w:t xml:space="preserve">entende-se que o TEA é um assunto de extrema relevância para a sociedade como um todo, </w:t>
      </w:r>
      <w:r w:rsidR="008D1173">
        <w:rPr>
          <w:rFonts w:ascii="Arial" w:hAnsi="Arial" w:cs="Arial"/>
          <w:color w:val="0D0D0D"/>
        </w:rPr>
        <w:lastRenderedPageBreak/>
        <w:t xml:space="preserve">de modo </w:t>
      </w:r>
      <w:r w:rsidR="000D22E6">
        <w:rPr>
          <w:rFonts w:ascii="Arial" w:hAnsi="Arial" w:cs="Arial"/>
          <w:color w:val="0D0D0D"/>
        </w:rPr>
        <w:t xml:space="preserve">que a contribuição pode </w:t>
      </w:r>
      <w:r w:rsidR="00602DBA">
        <w:rPr>
          <w:rFonts w:ascii="Arial" w:hAnsi="Arial" w:cs="Arial"/>
          <w:color w:val="0D0D0D"/>
        </w:rPr>
        <w:t>ser advinda dos mais diversos campos do saber</w:t>
      </w:r>
      <w:r w:rsidR="00711B2A">
        <w:rPr>
          <w:rFonts w:ascii="Arial" w:hAnsi="Arial" w:cs="Arial"/>
          <w:color w:val="0D0D0D"/>
        </w:rPr>
        <w:t xml:space="preserve"> por meio de esforços coletivos</w:t>
      </w:r>
      <w:r w:rsidR="00602DBA">
        <w:rPr>
          <w:rFonts w:ascii="Arial" w:hAnsi="Arial" w:cs="Arial"/>
          <w:color w:val="0D0D0D"/>
        </w:rPr>
        <w:t xml:space="preserve">. </w:t>
      </w:r>
      <w:r w:rsidR="00D11ECF">
        <w:rPr>
          <w:rFonts w:ascii="Arial" w:hAnsi="Arial" w:cs="Arial"/>
          <w:color w:val="0D0D0D"/>
        </w:rPr>
        <w:t>E</w:t>
      </w:r>
      <w:r w:rsidR="00602DBA">
        <w:rPr>
          <w:rFonts w:ascii="Arial" w:hAnsi="Arial" w:cs="Arial"/>
          <w:color w:val="0D0D0D"/>
        </w:rPr>
        <w:t xml:space="preserve">ste trabalho </w:t>
      </w:r>
      <w:r w:rsidR="00FA6E8A">
        <w:rPr>
          <w:rFonts w:ascii="Arial" w:hAnsi="Arial" w:cs="Arial"/>
          <w:color w:val="0D0D0D"/>
        </w:rPr>
        <w:t xml:space="preserve">procura utilizar a Ciência de Dados como </w:t>
      </w:r>
      <w:r w:rsidR="004276E1">
        <w:rPr>
          <w:rFonts w:ascii="Arial" w:hAnsi="Arial" w:cs="Arial"/>
          <w:color w:val="0D0D0D"/>
        </w:rPr>
        <w:t xml:space="preserve">ferramenta intelectual </w:t>
      </w:r>
      <w:r w:rsidR="00E16E12">
        <w:rPr>
          <w:rFonts w:ascii="Arial" w:hAnsi="Arial" w:cs="Arial"/>
          <w:color w:val="0D0D0D"/>
        </w:rPr>
        <w:t xml:space="preserve">e científica para análise do Transtorno do Espectro do Autismo, </w:t>
      </w:r>
      <w:r w:rsidR="00CF31F4">
        <w:rPr>
          <w:rFonts w:ascii="Arial" w:hAnsi="Arial" w:cs="Arial"/>
          <w:color w:val="0D0D0D"/>
        </w:rPr>
        <w:t>entendendo a sua posição</w:t>
      </w:r>
      <w:r w:rsidR="007D25F9">
        <w:rPr>
          <w:rFonts w:ascii="Arial" w:hAnsi="Arial" w:cs="Arial"/>
          <w:color w:val="0D0D0D"/>
        </w:rPr>
        <w:t xml:space="preserve"> </w:t>
      </w:r>
      <w:r w:rsidR="00CC0A29">
        <w:rPr>
          <w:rFonts w:ascii="Arial" w:hAnsi="Arial" w:cs="Arial"/>
          <w:color w:val="0D0D0D"/>
        </w:rPr>
        <w:t xml:space="preserve">de contribuinte </w:t>
      </w:r>
      <w:r w:rsidR="000E41D3">
        <w:rPr>
          <w:rFonts w:ascii="Arial" w:hAnsi="Arial" w:cs="Arial"/>
          <w:color w:val="0D0D0D"/>
        </w:rPr>
        <w:t xml:space="preserve">no novelo teórico médico e social. </w:t>
      </w:r>
      <w:r w:rsidR="00C65AAF">
        <w:rPr>
          <w:rFonts w:ascii="Arial" w:hAnsi="Arial" w:cs="Arial"/>
          <w:color w:val="0D0D0D"/>
        </w:rPr>
        <w:t xml:space="preserve">Como uma área relacionada à comunicação, </w:t>
      </w:r>
      <w:r w:rsidR="001E3CE3">
        <w:rPr>
          <w:rFonts w:ascii="Arial" w:hAnsi="Arial" w:cs="Arial"/>
          <w:color w:val="0D0D0D"/>
        </w:rPr>
        <w:t xml:space="preserve">a Ciência de Dados se vale de suas ferramentas tecnológicas e linguísticas para democratizar a informação </w:t>
      </w:r>
      <w:r w:rsidR="00504CA6">
        <w:rPr>
          <w:rFonts w:ascii="Arial" w:hAnsi="Arial" w:cs="Arial"/>
          <w:color w:val="0D0D0D"/>
        </w:rPr>
        <w:t xml:space="preserve">e transformar dados em insights com impacto no mundo. </w:t>
      </w:r>
    </w:p>
    <w:p w14:paraId="65E17FF1" w14:textId="433A4016" w:rsidR="00CD69CD" w:rsidRDefault="00CF31F4" w:rsidP="0003254B">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 xml:space="preserve"> </w:t>
      </w:r>
      <w:r w:rsidR="00FA6E8A">
        <w:rPr>
          <w:rFonts w:ascii="Arial" w:hAnsi="Arial" w:cs="Arial"/>
          <w:color w:val="0D0D0D"/>
        </w:rPr>
        <w:t xml:space="preserve"> </w:t>
      </w:r>
      <w:r w:rsidR="001275A8" w:rsidRPr="00905E88">
        <w:rPr>
          <w:rFonts w:ascii="Arial" w:hAnsi="Arial" w:cs="Arial"/>
          <w:color w:val="0D0D0D"/>
        </w:rPr>
        <w:t>Nos últimos anos, tem-se observado uma crescente busca por métodos mais eficazes de diagnóstico para o TEA, uma prioridade tanto na comunidade médica quanto científica.</w:t>
      </w:r>
      <w:r w:rsidR="004B5E17">
        <w:rPr>
          <w:rFonts w:ascii="Arial" w:hAnsi="Arial" w:cs="Arial"/>
          <w:color w:val="0D0D0D"/>
        </w:rPr>
        <w:t xml:space="preserve"> </w:t>
      </w:r>
      <w:r w:rsidR="00D31576">
        <w:rPr>
          <w:rFonts w:ascii="Arial" w:hAnsi="Arial" w:cs="Arial"/>
          <w:color w:val="0D0D0D"/>
        </w:rPr>
        <w:t xml:space="preserve">Embora haja </w:t>
      </w:r>
      <w:r w:rsidR="002E3007">
        <w:rPr>
          <w:rFonts w:ascii="Arial" w:hAnsi="Arial" w:cs="Arial"/>
          <w:color w:val="0D0D0D"/>
        </w:rPr>
        <w:t>descrições robustas sobre os sintomas do TEA</w:t>
      </w:r>
      <w:r w:rsidR="00D01473">
        <w:rPr>
          <w:rFonts w:ascii="Arial" w:hAnsi="Arial" w:cs="Arial"/>
          <w:color w:val="0D0D0D"/>
        </w:rPr>
        <w:t xml:space="preserve"> pelas publicações canônicas como o DSM ou o CID, entende-se que a própria natureza da condição </w:t>
      </w:r>
      <w:r w:rsidR="00273014">
        <w:rPr>
          <w:rFonts w:ascii="Arial" w:hAnsi="Arial" w:cs="Arial"/>
          <w:color w:val="0D0D0D"/>
        </w:rPr>
        <w:t>envolve aparições específicas, em menor ou maior grau,</w:t>
      </w:r>
      <w:r w:rsidR="00402940">
        <w:rPr>
          <w:rFonts w:ascii="Arial" w:hAnsi="Arial" w:cs="Arial"/>
          <w:color w:val="0D0D0D"/>
        </w:rPr>
        <w:t xml:space="preserve"> em cada diagnóstico e em cada paciente. </w:t>
      </w:r>
      <w:r w:rsidR="001275A8" w:rsidRPr="00905E88">
        <w:rPr>
          <w:rFonts w:ascii="Arial" w:hAnsi="Arial" w:cs="Arial"/>
          <w:color w:val="0D0D0D"/>
        </w:rPr>
        <w:t xml:space="preserve">Uma abordagem promissora </w:t>
      </w:r>
      <w:r w:rsidR="00CD69CD">
        <w:rPr>
          <w:rFonts w:ascii="Arial" w:hAnsi="Arial" w:cs="Arial"/>
          <w:color w:val="0D0D0D"/>
        </w:rPr>
        <w:t xml:space="preserve">na área da saúde </w:t>
      </w:r>
      <w:r w:rsidR="001275A8" w:rsidRPr="00905E88">
        <w:rPr>
          <w:rFonts w:ascii="Arial" w:hAnsi="Arial" w:cs="Arial"/>
          <w:color w:val="0D0D0D"/>
        </w:rPr>
        <w:t xml:space="preserve">tem sido o emprego </w:t>
      </w:r>
      <w:r w:rsidR="00CD69CD">
        <w:rPr>
          <w:rFonts w:ascii="Arial" w:hAnsi="Arial" w:cs="Arial"/>
          <w:color w:val="0D0D0D"/>
        </w:rPr>
        <w:t xml:space="preserve">de perspectivas </w:t>
      </w:r>
      <w:r w:rsidR="00C21563">
        <w:rPr>
          <w:rFonts w:ascii="Arial" w:hAnsi="Arial" w:cs="Arial"/>
          <w:color w:val="0D0D0D"/>
        </w:rPr>
        <w:t xml:space="preserve">mistas entre a medicina, a estatística e a tecnologia. </w:t>
      </w:r>
      <w:r w:rsidR="005300A1">
        <w:rPr>
          <w:rFonts w:ascii="Arial" w:hAnsi="Arial" w:cs="Arial"/>
          <w:color w:val="0D0D0D"/>
        </w:rPr>
        <w:t xml:space="preserve">Com a análise de dados, </w:t>
      </w:r>
      <w:r w:rsidR="004A5490">
        <w:rPr>
          <w:rFonts w:ascii="Arial" w:hAnsi="Arial" w:cs="Arial"/>
          <w:color w:val="0D0D0D"/>
        </w:rPr>
        <w:t>é</w:t>
      </w:r>
      <w:r w:rsidR="005300A1">
        <w:rPr>
          <w:rFonts w:ascii="Arial" w:hAnsi="Arial" w:cs="Arial"/>
          <w:color w:val="0D0D0D"/>
        </w:rPr>
        <w:t xml:space="preserve"> possível que </w:t>
      </w:r>
      <w:r w:rsidR="004A5490">
        <w:rPr>
          <w:rFonts w:ascii="Arial" w:hAnsi="Arial" w:cs="Arial"/>
          <w:color w:val="0D0D0D"/>
        </w:rPr>
        <w:t>mapeemos</w:t>
      </w:r>
      <w:r w:rsidR="007A6BEB">
        <w:rPr>
          <w:rFonts w:ascii="Arial" w:hAnsi="Arial" w:cs="Arial"/>
          <w:color w:val="0D0D0D"/>
        </w:rPr>
        <w:t xml:space="preserve"> </w:t>
      </w:r>
      <w:r w:rsidR="00FC6A68">
        <w:rPr>
          <w:rFonts w:ascii="Arial" w:hAnsi="Arial" w:cs="Arial"/>
          <w:color w:val="0D0D0D"/>
        </w:rPr>
        <w:t>uma série de características e comportamentos de determinadas condições</w:t>
      </w:r>
      <w:r w:rsidR="00DB06BC">
        <w:rPr>
          <w:rFonts w:ascii="Arial" w:hAnsi="Arial" w:cs="Arial"/>
          <w:color w:val="0D0D0D"/>
        </w:rPr>
        <w:t xml:space="preserve"> cujo </w:t>
      </w:r>
      <w:r w:rsidR="004A5490">
        <w:rPr>
          <w:rFonts w:ascii="Arial" w:hAnsi="Arial" w:cs="Arial"/>
          <w:color w:val="0D0D0D"/>
        </w:rPr>
        <w:t>potencial inicial</w:t>
      </w:r>
      <w:r w:rsidR="00DB06BC">
        <w:rPr>
          <w:rFonts w:ascii="Arial" w:hAnsi="Arial" w:cs="Arial"/>
          <w:color w:val="0D0D0D"/>
        </w:rPr>
        <w:t xml:space="preserve"> </w:t>
      </w:r>
      <w:r w:rsidR="004A5490">
        <w:rPr>
          <w:rFonts w:ascii="Arial" w:hAnsi="Arial" w:cs="Arial"/>
          <w:color w:val="0D0D0D"/>
        </w:rPr>
        <w:t>é</w:t>
      </w:r>
      <w:r w:rsidR="00DB06BC">
        <w:rPr>
          <w:rFonts w:ascii="Arial" w:hAnsi="Arial" w:cs="Arial"/>
          <w:color w:val="0D0D0D"/>
        </w:rPr>
        <w:t xml:space="preserve"> o melhor diagnóstico precoce e as formas de tratamento mais efetivas.</w:t>
      </w:r>
    </w:p>
    <w:p w14:paraId="481D79ED" w14:textId="77777777" w:rsidR="00DC62F4" w:rsidRDefault="001275A8"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905E88">
        <w:rPr>
          <w:rFonts w:ascii="Arial" w:hAnsi="Arial" w:cs="Arial"/>
          <w:color w:val="0D0D0D"/>
        </w:rPr>
        <w:t xml:space="preserve">Este artigo se propõe a explorar a relevância dessa abordagem inovadora para o diagnóstico do TEA, utilizando </w:t>
      </w:r>
      <w:r w:rsidR="00480DDB">
        <w:rPr>
          <w:rFonts w:ascii="Arial" w:hAnsi="Arial" w:cs="Arial"/>
          <w:color w:val="0D0D0D"/>
        </w:rPr>
        <w:t xml:space="preserve">a base de dados </w:t>
      </w:r>
      <w:r w:rsidR="002F01A2">
        <w:rPr>
          <w:rFonts w:ascii="Arial" w:hAnsi="Arial" w:cs="Arial"/>
          <w:color w:val="0D0D0D"/>
        </w:rPr>
        <w:t>de 202</w:t>
      </w:r>
      <w:r w:rsidR="00216CF3">
        <w:rPr>
          <w:rFonts w:ascii="Arial" w:hAnsi="Arial" w:cs="Arial"/>
          <w:color w:val="0D0D0D"/>
        </w:rPr>
        <w:t>3</w:t>
      </w:r>
      <w:r w:rsidR="002F01A2">
        <w:rPr>
          <w:rFonts w:ascii="Arial" w:hAnsi="Arial" w:cs="Arial"/>
          <w:color w:val="0D0D0D"/>
        </w:rPr>
        <w:t xml:space="preserve"> </w:t>
      </w:r>
      <w:r w:rsidR="00765CAF">
        <w:rPr>
          <w:rFonts w:ascii="Arial" w:hAnsi="Arial" w:cs="Arial"/>
          <w:color w:val="0D0D0D"/>
        </w:rPr>
        <w:t xml:space="preserve">do </w:t>
      </w:r>
      <w:r w:rsidR="00A25DFF">
        <w:rPr>
          <w:rFonts w:ascii="Arial" w:hAnsi="Arial" w:cs="Arial"/>
          <w:color w:val="0D0D0D"/>
        </w:rPr>
        <w:t xml:space="preserve">Center for </w:t>
      </w:r>
      <w:proofErr w:type="spellStart"/>
      <w:r w:rsidR="00A25DFF">
        <w:rPr>
          <w:rFonts w:ascii="Arial" w:hAnsi="Arial" w:cs="Arial"/>
          <w:color w:val="0D0D0D"/>
        </w:rPr>
        <w:t>Disease</w:t>
      </w:r>
      <w:proofErr w:type="spellEnd"/>
      <w:r w:rsidR="00A25DFF">
        <w:rPr>
          <w:rFonts w:ascii="Arial" w:hAnsi="Arial" w:cs="Arial"/>
          <w:color w:val="0D0D0D"/>
        </w:rPr>
        <w:t xml:space="preserve"> </w:t>
      </w:r>
      <w:proofErr w:type="spellStart"/>
      <w:r w:rsidR="00A25DFF">
        <w:rPr>
          <w:rFonts w:ascii="Arial" w:hAnsi="Arial" w:cs="Arial"/>
          <w:color w:val="0D0D0D"/>
        </w:rPr>
        <w:t>Control</w:t>
      </w:r>
      <w:proofErr w:type="spellEnd"/>
      <w:r w:rsidR="00A25DFF">
        <w:rPr>
          <w:rFonts w:ascii="Arial" w:hAnsi="Arial" w:cs="Arial"/>
          <w:color w:val="0D0D0D"/>
        </w:rPr>
        <w:t xml:space="preserve"> </w:t>
      </w:r>
      <w:proofErr w:type="spellStart"/>
      <w:r w:rsidR="00A25DFF">
        <w:rPr>
          <w:rFonts w:ascii="Arial" w:hAnsi="Arial" w:cs="Arial"/>
          <w:color w:val="0D0D0D"/>
        </w:rPr>
        <w:t>and</w:t>
      </w:r>
      <w:proofErr w:type="spellEnd"/>
      <w:r w:rsidR="00A25DFF">
        <w:rPr>
          <w:rFonts w:ascii="Arial" w:hAnsi="Arial" w:cs="Arial"/>
          <w:color w:val="0D0D0D"/>
        </w:rPr>
        <w:t xml:space="preserve"> </w:t>
      </w:r>
      <w:proofErr w:type="spellStart"/>
      <w:r w:rsidR="00A25DFF">
        <w:rPr>
          <w:rFonts w:ascii="Arial" w:hAnsi="Arial" w:cs="Arial"/>
          <w:color w:val="0D0D0D"/>
        </w:rPr>
        <w:t>Prevention</w:t>
      </w:r>
      <w:proofErr w:type="spellEnd"/>
      <w:r w:rsidR="00A25DFF">
        <w:rPr>
          <w:rFonts w:ascii="Arial" w:hAnsi="Arial" w:cs="Arial"/>
          <w:color w:val="0D0D0D"/>
        </w:rPr>
        <w:t xml:space="preserve"> (CDC) dos Estados Unidos.</w:t>
      </w:r>
      <w:r w:rsidR="00216CF3">
        <w:rPr>
          <w:rFonts w:ascii="Arial" w:hAnsi="Arial" w:cs="Arial"/>
          <w:color w:val="0D0D0D"/>
        </w:rPr>
        <w:t xml:space="preserve"> O CDC é um importante órgão</w:t>
      </w:r>
      <w:r w:rsidR="00A87804">
        <w:rPr>
          <w:rFonts w:ascii="Arial" w:hAnsi="Arial" w:cs="Arial"/>
          <w:color w:val="0D0D0D"/>
        </w:rPr>
        <w:t xml:space="preserve"> federal</w:t>
      </w:r>
      <w:r w:rsidR="00216CF3">
        <w:rPr>
          <w:rFonts w:ascii="Arial" w:hAnsi="Arial" w:cs="Arial"/>
          <w:color w:val="0D0D0D"/>
        </w:rPr>
        <w:t xml:space="preserve"> estadunidense de </w:t>
      </w:r>
      <w:r w:rsidR="00A04688">
        <w:rPr>
          <w:rFonts w:ascii="Arial" w:hAnsi="Arial" w:cs="Arial"/>
          <w:color w:val="0D0D0D"/>
        </w:rPr>
        <w:t xml:space="preserve">controle e prevenção de doenças no país, tendo uma história rica em campanhas de </w:t>
      </w:r>
      <w:r w:rsidR="007C77A1">
        <w:rPr>
          <w:rFonts w:ascii="Arial" w:hAnsi="Arial" w:cs="Arial"/>
          <w:color w:val="0D0D0D"/>
        </w:rPr>
        <w:t>combate à poliomielite,</w:t>
      </w:r>
      <w:r w:rsidR="00A87804">
        <w:rPr>
          <w:rFonts w:ascii="Arial" w:hAnsi="Arial" w:cs="Arial"/>
          <w:color w:val="0D0D0D"/>
        </w:rPr>
        <w:t xml:space="preserve"> sarampo e outras doenças infecciosas nos Estados Unidos, desde as décadas de 1950 e 1960.</w:t>
      </w:r>
      <w:r w:rsidR="00625CF6">
        <w:rPr>
          <w:rFonts w:ascii="Arial" w:hAnsi="Arial" w:cs="Arial"/>
          <w:color w:val="0D0D0D"/>
        </w:rPr>
        <w:t xml:space="preserve"> </w:t>
      </w:r>
      <w:r w:rsidR="008E79DE">
        <w:rPr>
          <w:rFonts w:ascii="Arial" w:hAnsi="Arial" w:cs="Arial"/>
          <w:color w:val="0D0D0D"/>
        </w:rPr>
        <w:t>Esta base de dados</w:t>
      </w:r>
      <w:r w:rsidR="00C520B1">
        <w:rPr>
          <w:rFonts w:ascii="Arial" w:hAnsi="Arial" w:cs="Arial"/>
          <w:color w:val="0D0D0D"/>
        </w:rPr>
        <w:t xml:space="preserve"> </w:t>
      </w:r>
      <w:r w:rsidR="00BD0716">
        <w:rPr>
          <w:rFonts w:ascii="Arial" w:hAnsi="Arial" w:cs="Arial"/>
          <w:color w:val="0D0D0D"/>
        </w:rPr>
        <w:t xml:space="preserve">foi publicada conjuntamente com </w:t>
      </w:r>
      <w:r w:rsidR="00B45B15">
        <w:rPr>
          <w:rFonts w:ascii="Arial" w:hAnsi="Arial" w:cs="Arial"/>
          <w:color w:val="0D0D0D"/>
        </w:rPr>
        <w:t xml:space="preserve">um relatório </w:t>
      </w:r>
      <w:r w:rsidR="00C0241B">
        <w:rPr>
          <w:rFonts w:ascii="Arial" w:hAnsi="Arial" w:cs="Arial"/>
          <w:color w:val="0D0D0D"/>
        </w:rPr>
        <w:t xml:space="preserve">nominado “Community </w:t>
      </w:r>
      <w:proofErr w:type="spellStart"/>
      <w:r w:rsidR="00C0241B">
        <w:rPr>
          <w:rFonts w:ascii="Arial" w:hAnsi="Arial" w:cs="Arial"/>
          <w:color w:val="0D0D0D"/>
        </w:rPr>
        <w:t>report</w:t>
      </w:r>
      <w:proofErr w:type="spellEnd"/>
      <w:r w:rsidR="00C0241B">
        <w:rPr>
          <w:rFonts w:ascii="Arial" w:hAnsi="Arial" w:cs="Arial"/>
          <w:color w:val="0D0D0D"/>
        </w:rPr>
        <w:t xml:space="preserve"> </w:t>
      </w:r>
      <w:proofErr w:type="spellStart"/>
      <w:r w:rsidR="00C0241B">
        <w:rPr>
          <w:rFonts w:ascii="Arial" w:hAnsi="Arial" w:cs="Arial"/>
          <w:color w:val="0D0D0D"/>
        </w:rPr>
        <w:t>on</w:t>
      </w:r>
      <w:proofErr w:type="spellEnd"/>
      <w:r w:rsidR="00C0241B">
        <w:rPr>
          <w:rFonts w:ascii="Arial" w:hAnsi="Arial" w:cs="Arial"/>
          <w:color w:val="0D0D0D"/>
        </w:rPr>
        <w:t xml:space="preserve"> </w:t>
      </w:r>
      <w:proofErr w:type="spellStart"/>
      <w:r w:rsidR="00C0241B">
        <w:rPr>
          <w:rFonts w:ascii="Arial" w:hAnsi="Arial" w:cs="Arial"/>
          <w:color w:val="0D0D0D"/>
        </w:rPr>
        <w:t>autism</w:t>
      </w:r>
      <w:proofErr w:type="spellEnd"/>
      <w:r w:rsidR="00C0241B">
        <w:rPr>
          <w:rFonts w:ascii="Arial" w:hAnsi="Arial" w:cs="Arial"/>
          <w:color w:val="0D0D0D"/>
        </w:rPr>
        <w:t xml:space="preserve">: </w:t>
      </w:r>
      <w:proofErr w:type="spellStart"/>
      <w:r w:rsidR="00C0241B">
        <w:rPr>
          <w:rFonts w:ascii="Arial" w:hAnsi="Arial" w:cs="Arial"/>
          <w:color w:val="0D0D0D"/>
        </w:rPr>
        <w:t>Autism</w:t>
      </w:r>
      <w:proofErr w:type="spellEnd"/>
      <w:r w:rsidR="00C0241B">
        <w:rPr>
          <w:rFonts w:ascii="Arial" w:hAnsi="Arial" w:cs="Arial"/>
          <w:color w:val="0D0D0D"/>
        </w:rPr>
        <w:t xml:space="preserve"> </w:t>
      </w:r>
      <w:proofErr w:type="spellStart"/>
      <w:r w:rsidR="00C0241B">
        <w:rPr>
          <w:rFonts w:ascii="Arial" w:hAnsi="Arial" w:cs="Arial"/>
          <w:color w:val="0D0D0D"/>
        </w:rPr>
        <w:t>and</w:t>
      </w:r>
      <w:proofErr w:type="spellEnd"/>
      <w:r w:rsidR="00C0241B">
        <w:rPr>
          <w:rFonts w:ascii="Arial" w:hAnsi="Arial" w:cs="Arial"/>
          <w:color w:val="0D0D0D"/>
        </w:rPr>
        <w:t xml:space="preserve"> </w:t>
      </w:r>
      <w:proofErr w:type="spellStart"/>
      <w:r w:rsidR="00C0241B">
        <w:rPr>
          <w:rFonts w:ascii="Arial" w:hAnsi="Arial" w:cs="Arial"/>
          <w:color w:val="0D0D0D"/>
        </w:rPr>
        <w:t>developmental</w:t>
      </w:r>
      <w:proofErr w:type="spellEnd"/>
      <w:r w:rsidR="00C0241B">
        <w:rPr>
          <w:rFonts w:ascii="Arial" w:hAnsi="Arial" w:cs="Arial"/>
          <w:color w:val="0D0D0D"/>
        </w:rPr>
        <w:t xml:space="preserve"> </w:t>
      </w:r>
      <w:proofErr w:type="spellStart"/>
      <w:r w:rsidR="00C0241B">
        <w:rPr>
          <w:rFonts w:ascii="Arial" w:hAnsi="Arial" w:cs="Arial"/>
          <w:color w:val="0D0D0D"/>
        </w:rPr>
        <w:t>disabilities</w:t>
      </w:r>
      <w:proofErr w:type="spellEnd"/>
      <w:r w:rsidR="00C0241B">
        <w:rPr>
          <w:rFonts w:ascii="Arial" w:hAnsi="Arial" w:cs="Arial"/>
          <w:color w:val="0D0D0D"/>
        </w:rPr>
        <w:t xml:space="preserve"> </w:t>
      </w:r>
      <w:proofErr w:type="spellStart"/>
      <w:r w:rsidR="00C0241B">
        <w:rPr>
          <w:rFonts w:ascii="Arial" w:hAnsi="Arial" w:cs="Arial"/>
          <w:color w:val="0D0D0D"/>
        </w:rPr>
        <w:t>monitoring</w:t>
      </w:r>
      <w:proofErr w:type="spellEnd"/>
      <w:r w:rsidR="00C0241B">
        <w:rPr>
          <w:rFonts w:ascii="Arial" w:hAnsi="Arial" w:cs="Arial"/>
          <w:color w:val="0D0D0D"/>
        </w:rPr>
        <w:t xml:space="preserve"> (ADDM) network”.</w:t>
      </w:r>
    </w:p>
    <w:p w14:paraId="0094D2E2" w14:textId="25B4F286" w:rsidR="00A56B59" w:rsidRDefault="009F7DA4"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Em princípio, este estudo optara pela replicação d</w:t>
      </w:r>
      <w:r w:rsidR="00C072F2">
        <w:rPr>
          <w:rFonts w:ascii="Arial" w:hAnsi="Arial" w:cs="Arial"/>
          <w:color w:val="0D0D0D"/>
        </w:rPr>
        <w:t xml:space="preserve">as análises gráficas e estatísticas publicadas pelo órgão </w:t>
      </w:r>
      <w:r w:rsidR="00B100A7">
        <w:rPr>
          <w:rFonts w:ascii="Arial" w:hAnsi="Arial" w:cs="Arial"/>
          <w:color w:val="0D0D0D"/>
        </w:rPr>
        <w:t>como uma forma de</w:t>
      </w:r>
      <w:r w:rsidR="00A56B59">
        <w:rPr>
          <w:rFonts w:ascii="Arial" w:hAnsi="Arial" w:cs="Arial"/>
          <w:color w:val="0D0D0D"/>
        </w:rPr>
        <w:t xml:space="preserve"> publicizar </w:t>
      </w:r>
      <w:r w:rsidR="00CB5439">
        <w:rPr>
          <w:rFonts w:ascii="Arial" w:hAnsi="Arial" w:cs="Arial"/>
          <w:color w:val="0D0D0D"/>
        </w:rPr>
        <w:t xml:space="preserve">o tema na esfera pública. Para isso, ele parte, inicialmente, do estudo replicado dos mesmos processos metodológicos </w:t>
      </w:r>
      <w:r w:rsidR="003E35D6">
        <w:rPr>
          <w:rFonts w:ascii="Arial" w:hAnsi="Arial" w:cs="Arial"/>
          <w:color w:val="0D0D0D"/>
        </w:rPr>
        <w:t xml:space="preserve">para teste de validade dos resultados apresentados. Em sequência, ele aprofunda a análise sobre categorias </w:t>
      </w:r>
      <w:r w:rsidR="00AE06A3">
        <w:rPr>
          <w:rFonts w:ascii="Arial" w:hAnsi="Arial" w:cs="Arial"/>
          <w:color w:val="0D0D0D"/>
        </w:rPr>
        <w:t xml:space="preserve">contidas na base de dados, como raça e gênero, a fim de </w:t>
      </w:r>
      <w:r w:rsidR="008029A6">
        <w:rPr>
          <w:rFonts w:ascii="Arial" w:hAnsi="Arial" w:cs="Arial"/>
          <w:color w:val="0D0D0D"/>
        </w:rPr>
        <w:t xml:space="preserve">contribuir com o estudo original ao derivar </w:t>
      </w:r>
      <w:r w:rsidR="00DD0A3A">
        <w:rPr>
          <w:rFonts w:ascii="Arial" w:hAnsi="Arial" w:cs="Arial"/>
          <w:color w:val="0D0D0D"/>
        </w:rPr>
        <w:t>nov</w:t>
      </w:r>
      <w:r w:rsidR="006251D1">
        <w:rPr>
          <w:rFonts w:ascii="Arial" w:hAnsi="Arial" w:cs="Arial"/>
          <w:color w:val="0D0D0D"/>
        </w:rPr>
        <w:t xml:space="preserve">as análises e conclusões. </w:t>
      </w:r>
    </w:p>
    <w:p w14:paraId="445C0C98" w14:textId="10E27171" w:rsidR="00A3579E" w:rsidRDefault="00A3579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A3579E">
        <w:rPr>
          <w:rFonts w:ascii="Arial" w:hAnsi="Arial" w:cs="Arial"/>
          <w:color w:val="0D0D0D"/>
        </w:rPr>
        <w:lastRenderedPageBreak/>
        <w:t>Nossa principal hipótese é a de que o índice de prevalência de TEA nos EUA aumenta conforme a passagem dos anos, catalogada entre 2000 e 2020. Acreditamos que o aumento da popularidade do tema na esfera pública, assim como o desenvolvimento tecnológico e médico, acarretaram o aumento significativo de diagnósticos de crianças com a condição no país.</w:t>
      </w:r>
      <w:r>
        <w:rPr>
          <w:rFonts w:ascii="Arial" w:hAnsi="Arial" w:cs="Arial"/>
          <w:color w:val="0D0D0D"/>
        </w:rPr>
        <w:t xml:space="preserve"> </w:t>
      </w:r>
    </w:p>
    <w:p w14:paraId="76E4C66C" w14:textId="301686FB" w:rsidR="00137A4E" w:rsidRDefault="00137A4E" w:rsidP="00915296">
      <w:pPr>
        <w:pStyle w:val="Ttulo1"/>
        <w:numPr>
          <w:ilvl w:val="0"/>
          <w:numId w:val="4"/>
        </w:numPr>
        <w:spacing w:beforeLines="30" w:before="72" w:afterLines="30" w:after="72" w:line="360" w:lineRule="auto"/>
        <w:jc w:val="both"/>
      </w:pPr>
      <w:r>
        <w:t>FUNDAMENTAÇÃO TEÓRICA</w:t>
      </w:r>
    </w:p>
    <w:p w14:paraId="5DCBAC6F" w14:textId="77777777" w:rsidR="005C626E" w:rsidRPr="005C626E"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t>O Transtorno do Espectro do Autismo (TEA), conhecido também como autismo, é uma condição complexa de desenvolvimento neurológico que afeta diversas habilidades cognitivas e sociais das pessoas afetadas. Conforme afirma Silva (2018), "O TEA é caracterizado por um conjunto de sintomas que afetam a capacidade de uma pessoa interagir socialmente, comunicar-se e se comportar de forma flexível e adaptativa."</w:t>
      </w:r>
    </w:p>
    <w:p w14:paraId="73DE91DC" w14:textId="77777777" w:rsidR="00DC05E4"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t>A condição é frequentemente identificada durante a infância e possui uma maior incidência em meninos do que em meninas. Indivíduos dentro do espectro autista podem apresentar uma ampla gama de sintomas, tais como dificuldades na linguagem, comunicação, interação social e comportamentos repetitivos. Como aponta Almeida (2020), "Os sintomas do TEA podem variar significativamente em gravidade e impacto na vida diária do indivíduo, exigindo abordagens personalizadas de suporte e intervenção."</w:t>
      </w:r>
    </w:p>
    <w:p w14:paraId="66BBA551" w14:textId="2074801A" w:rsidR="009B48E9" w:rsidRDefault="00D90926"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 xml:space="preserve">Apesar </w:t>
      </w:r>
      <w:r w:rsidR="00792848">
        <w:rPr>
          <w:rFonts w:ascii="Arial" w:hAnsi="Arial" w:cs="Arial"/>
          <w:color w:val="0D0D0D"/>
        </w:rPr>
        <w:t>da frequência de diagnósticos ser maior em ind</w:t>
      </w:r>
      <w:r w:rsidR="00AD3D74">
        <w:rPr>
          <w:rFonts w:ascii="Arial" w:hAnsi="Arial" w:cs="Arial"/>
          <w:color w:val="0D0D0D"/>
        </w:rPr>
        <w:t xml:space="preserve">ivíduos do sexo masculino, </w:t>
      </w:r>
      <w:r w:rsidR="00A81BB4">
        <w:rPr>
          <w:rFonts w:ascii="Arial" w:hAnsi="Arial" w:cs="Arial"/>
          <w:color w:val="0D0D0D"/>
        </w:rPr>
        <w:t xml:space="preserve">não há </w:t>
      </w:r>
      <w:r w:rsidR="001402AC">
        <w:rPr>
          <w:rFonts w:ascii="Arial" w:hAnsi="Arial" w:cs="Arial"/>
          <w:color w:val="0D0D0D"/>
        </w:rPr>
        <w:t xml:space="preserve">estudos que associem </w:t>
      </w:r>
      <w:r w:rsidR="002367DA">
        <w:rPr>
          <w:rFonts w:ascii="Arial" w:hAnsi="Arial" w:cs="Arial"/>
          <w:color w:val="0D0D0D"/>
        </w:rPr>
        <w:t xml:space="preserve">o </w:t>
      </w:r>
      <w:r w:rsidR="00234288">
        <w:rPr>
          <w:rFonts w:ascii="Arial" w:hAnsi="Arial" w:cs="Arial"/>
          <w:color w:val="0D0D0D"/>
        </w:rPr>
        <w:t>gênero</w:t>
      </w:r>
      <w:r w:rsidR="001402AC">
        <w:rPr>
          <w:rFonts w:ascii="Arial" w:hAnsi="Arial" w:cs="Arial"/>
          <w:color w:val="0D0D0D"/>
        </w:rPr>
        <w:t xml:space="preserve"> </w:t>
      </w:r>
      <w:r w:rsidR="00C801DE">
        <w:rPr>
          <w:rFonts w:ascii="Arial" w:hAnsi="Arial" w:cs="Arial"/>
          <w:color w:val="0D0D0D"/>
        </w:rPr>
        <w:t>como um fator contribuinte para o desenvolvimento da doença, tampouco para o seu grau de severidade</w:t>
      </w:r>
      <w:r w:rsidR="00280087">
        <w:rPr>
          <w:rFonts w:ascii="Arial" w:hAnsi="Arial" w:cs="Arial"/>
          <w:color w:val="0D0D0D"/>
        </w:rPr>
        <w:t xml:space="preserve">. Entretanto, observou-se que indivíduos do gênero masculinos apresentam </w:t>
      </w:r>
      <w:r w:rsidR="00634C3A">
        <w:rPr>
          <w:rFonts w:ascii="Arial" w:hAnsi="Arial" w:cs="Arial"/>
          <w:color w:val="0D0D0D"/>
        </w:rPr>
        <w:t xml:space="preserve">sintomas externos mais </w:t>
      </w:r>
      <w:r w:rsidR="00EB4A37">
        <w:rPr>
          <w:rFonts w:ascii="Arial" w:hAnsi="Arial" w:cs="Arial"/>
          <w:color w:val="0D0D0D"/>
        </w:rPr>
        <w:t>evidentes</w:t>
      </w:r>
      <w:r w:rsidR="00634C3A">
        <w:rPr>
          <w:rFonts w:ascii="Arial" w:hAnsi="Arial" w:cs="Arial"/>
          <w:color w:val="0D0D0D"/>
        </w:rPr>
        <w:t>, como</w:t>
      </w:r>
      <w:r w:rsidR="00280087">
        <w:rPr>
          <w:rFonts w:ascii="Arial" w:hAnsi="Arial" w:cs="Arial"/>
          <w:color w:val="0D0D0D"/>
        </w:rPr>
        <w:t xml:space="preserve"> </w:t>
      </w:r>
      <w:r w:rsidR="00A90672">
        <w:rPr>
          <w:rFonts w:ascii="Arial" w:hAnsi="Arial" w:cs="Arial"/>
          <w:color w:val="0D0D0D"/>
        </w:rPr>
        <w:t>agressividade</w:t>
      </w:r>
      <w:r w:rsidR="009D7EC3">
        <w:rPr>
          <w:rFonts w:ascii="Arial" w:hAnsi="Arial" w:cs="Arial"/>
          <w:color w:val="0D0D0D"/>
        </w:rPr>
        <w:t xml:space="preserve"> e hiperatividade</w:t>
      </w:r>
      <w:r w:rsidR="0083202D">
        <w:rPr>
          <w:rFonts w:ascii="Arial" w:hAnsi="Arial" w:cs="Arial"/>
          <w:color w:val="0D0D0D"/>
        </w:rPr>
        <w:t xml:space="preserve">, enquanto os indivíduos do gênero feminino apresentam </w:t>
      </w:r>
      <w:r w:rsidR="006B7028">
        <w:rPr>
          <w:rFonts w:ascii="Arial" w:hAnsi="Arial" w:cs="Arial"/>
          <w:color w:val="0D0D0D"/>
        </w:rPr>
        <w:t xml:space="preserve">sintomas mais relacionados a distúrbios do humor, como </w:t>
      </w:r>
      <w:r w:rsidR="000D75DC">
        <w:rPr>
          <w:rFonts w:ascii="Arial" w:hAnsi="Arial" w:cs="Arial"/>
          <w:color w:val="0D0D0D"/>
        </w:rPr>
        <w:t>ansiedade e depressão</w:t>
      </w:r>
      <w:r w:rsidR="00B542E9">
        <w:rPr>
          <w:rFonts w:ascii="Arial" w:hAnsi="Arial" w:cs="Arial"/>
          <w:color w:val="0D0D0D"/>
        </w:rPr>
        <w:t xml:space="preserve"> (RIBEIRO, 20</w:t>
      </w:r>
      <w:r w:rsidR="00A816B5">
        <w:rPr>
          <w:rFonts w:ascii="Arial" w:hAnsi="Arial" w:cs="Arial"/>
          <w:color w:val="0D0D0D"/>
        </w:rPr>
        <w:t>18).</w:t>
      </w:r>
    </w:p>
    <w:p w14:paraId="649A8916" w14:textId="0ED3F3FF" w:rsidR="00A816B5" w:rsidRDefault="00182527"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t>Sendo assi</w:t>
      </w:r>
      <w:r w:rsidR="00193C02">
        <w:rPr>
          <w:rFonts w:ascii="Arial" w:hAnsi="Arial" w:cs="Arial"/>
          <w:color w:val="0D0D0D"/>
        </w:rPr>
        <w:t xml:space="preserve">m, uma vez que o diagnóstico do TEA </w:t>
      </w:r>
      <w:r w:rsidR="006A5240">
        <w:rPr>
          <w:rFonts w:ascii="Arial" w:hAnsi="Arial" w:cs="Arial"/>
          <w:color w:val="0D0D0D"/>
        </w:rPr>
        <w:t xml:space="preserve">é fundamentado </w:t>
      </w:r>
      <w:r w:rsidR="009351D8">
        <w:rPr>
          <w:rFonts w:ascii="Arial" w:hAnsi="Arial" w:cs="Arial"/>
          <w:color w:val="0D0D0D"/>
        </w:rPr>
        <w:t xml:space="preserve">basicamente em </w:t>
      </w:r>
      <w:r w:rsidR="001A7F4C">
        <w:rPr>
          <w:rFonts w:ascii="Arial" w:hAnsi="Arial" w:cs="Arial"/>
          <w:color w:val="0D0D0D"/>
        </w:rPr>
        <w:t xml:space="preserve">avaliações </w:t>
      </w:r>
      <w:r w:rsidR="00CA1B61">
        <w:rPr>
          <w:rFonts w:ascii="Arial" w:hAnsi="Arial" w:cs="Arial"/>
          <w:color w:val="0D0D0D"/>
        </w:rPr>
        <w:t>comportamentais de sintomas</w:t>
      </w:r>
      <w:r w:rsidR="008765A3">
        <w:rPr>
          <w:rFonts w:ascii="Arial" w:hAnsi="Arial" w:cs="Arial"/>
          <w:color w:val="0D0D0D"/>
        </w:rPr>
        <w:t xml:space="preserve"> e que o</w:t>
      </w:r>
      <w:r w:rsidR="009831E8">
        <w:rPr>
          <w:rFonts w:ascii="Arial" w:hAnsi="Arial" w:cs="Arial"/>
          <w:color w:val="0D0D0D"/>
        </w:rPr>
        <w:t xml:space="preserve"> comportamento de indivíduos do gênero feminino é menos perceptível,</w:t>
      </w:r>
      <w:r w:rsidR="00361256">
        <w:rPr>
          <w:rFonts w:ascii="Arial" w:hAnsi="Arial" w:cs="Arial"/>
          <w:color w:val="0D0D0D"/>
        </w:rPr>
        <w:t xml:space="preserve"> </w:t>
      </w:r>
      <w:r w:rsidR="00BE6AAD">
        <w:rPr>
          <w:rFonts w:ascii="Arial" w:hAnsi="Arial" w:cs="Arial"/>
          <w:color w:val="0D0D0D"/>
        </w:rPr>
        <w:t xml:space="preserve">é questionável se de fato </w:t>
      </w:r>
      <w:r w:rsidR="00FB6E52">
        <w:rPr>
          <w:rFonts w:ascii="Arial" w:hAnsi="Arial" w:cs="Arial"/>
          <w:color w:val="0D0D0D"/>
        </w:rPr>
        <w:t>essa maior taxa de incidência encontrada em indivíduos do gênero masculino está</w:t>
      </w:r>
      <w:r w:rsidR="00252858">
        <w:rPr>
          <w:rFonts w:ascii="Arial" w:hAnsi="Arial" w:cs="Arial"/>
          <w:color w:val="0D0D0D"/>
        </w:rPr>
        <w:t xml:space="preserve"> relacionada à fatores biológicos</w:t>
      </w:r>
      <w:r w:rsidR="00AC4EA1">
        <w:rPr>
          <w:rFonts w:ascii="Arial" w:hAnsi="Arial" w:cs="Arial"/>
          <w:color w:val="0D0D0D"/>
        </w:rPr>
        <w:t xml:space="preserve"> ligados ao sexo</w:t>
      </w:r>
      <w:r w:rsidR="00FB6E52">
        <w:rPr>
          <w:rFonts w:ascii="Arial" w:hAnsi="Arial" w:cs="Arial"/>
          <w:color w:val="0D0D0D"/>
        </w:rPr>
        <w:t xml:space="preserve"> e de que o autismo se manifesta</w:t>
      </w:r>
      <w:r w:rsidR="00031E4B">
        <w:rPr>
          <w:rFonts w:ascii="Arial" w:hAnsi="Arial" w:cs="Arial"/>
          <w:color w:val="0D0D0D"/>
        </w:rPr>
        <w:t xml:space="preserve"> com maior grau de severidade</w:t>
      </w:r>
      <w:r w:rsidR="00FB6E52">
        <w:rPr>
          <w:rFonts w:ascii="Arial" w:hAnsi="Arial" w:cs="Arial"/>
          <w:color w:val="0D0D0D"/>
        </w:rPr>
        <w:t xml:space="preserve"> em indivíduos do gênero feminino</w:t>
      </w:r>
      <w:r w:rsidR="00031E4B">
        <w:rPr>
          <w:rFonts w:ascii="Arial" w:hAnsi="Arial" w:cs="Arial"/>
          <w:color w:val="0D0D0D"/>
        </w:rPr>
        <w:t xml:space="preserve"> </w:t>
      </w:r>
      <w:r w:rsidR="00031E4B" w:rsidRPr="00031E4B">
        <w:rPr>
          <w:rFonts w:ascii="Arial" w:hAnsi="Arial" w:cs="Arial"/>
          <w:color w:val="0D0D0D"/>
        </w:rPr>
        <w:t>(WERLING; GESCHWIND, 2012).</w:t>
      </w:r>
    </w:p>
    <w:p w14:paraId="13021857" w14:textId="70ABF30F" w:rsidR="001855E8" w:rsidRDefault="001855E8"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Pr>
          <w:rFonts w:ascii="Arial" w:hAnsi="Arial" w:cs="Arial"/>
          <w:color w:val="0D0D0D"/>
        </w:rPr>
        <w:lastRenderedPageBreak/>
        <w:t>Outro fator</w:t>
      </w:r>
      <w:r w:rsidR="009C1E55">
        <w:rPr>
          <w:rFonts w:ascii="Arial" w:hAnsi="Arial" w:cs="Arial"/>
          <w:color w:val="0D0D0D"/>
        </w:rPr>
        <w:t xml:space="preserve"> que deve ser avaliado está relacionado à discrepância entre </w:t>
      </w:r>
      <w:r w:rsidR="00EA2202">
        <w:rPr>
          <w:rFonts w:ascii="Arial" w:hAnsi="Arial" w:cs="Arial"/>
          <w:color w:val="0D0D0D"/>
        </w:rPr>
        <w:t>os diagnósticos d</w:t>
      </w:r>
      <w:r w:rsidR="008F67EB">
        <w:rPr>
          <w:rFonts w:ascii="Arial" w:hAnsi="Arial" w:cs="Arial"/>
          <w:color w:val="0D0D0D"/>
        </w:rPr>
        <w:t xml:space="preserve">o TEA </w:t>
      </w:r>
      <w:r w:rsidR="00AB2829">
        <w:rPr>
          <w:rFonts w:ascii="Arial" w:hAnsi="Arial" w:cs="Arial"/>
          <w:color w:val="0D0D0D"/>
        </w:rPr>
        <w:t>em diferentes etnias/raças.</w:t>
      </w:r>
      <w:r w:rsidR="00BC0101">
        <w:rPr>
          <w:rFonts w:ascii="Arial" w:hAnsi="Arial" w:cs="Arial"/>
          <w:color w:val="0D0D0D"/>
        </w:rPr>
        <w:t xml:space="preserve"> Em muitos casos, menores números de </w:t>
      </w:r>
      <w:r w:rsidR="00D06D68">
        <w:rPr>
          <w:rFonts w:ascii="Arial" w:hAnsi="Arial" w:cs="Arial"/>
          <w:color w:val="0D0D0D"/>
        </w:rPr>
        <w:t>indivíduos de etnias negras e não brancas são identificados</w:t>
      </w:r>
      <w:r w:rsidR="00477A55">
        <w:rPr>
          <w:rFonts w:ascii="Arial" w:hAnsi="Arial" w:cs="Arial"/>
          <w:color w:val="0D0D0D"/>
        </w:rPr>
        <w:t xml:space="preserve"> com TEA</w:t>
      </w:r>
      <w:r w:rsidR="00BE3E54">
        <w:rPr>
          <w:rFonts w:ascii="Arial" w:hAnsi="Arial" w:cs="Arial"/>
          <w:color w:val="0D0D0D"/>
        </w:rPr>
        <w:t xml:space="preserve"> do que indivíduos brancos</w:t>
      </w:r>
      <w:r w:rsidR="00477A55">
        <w:rPr>
          <w:rFonts w:ascii="Arial" w:hAnsi="Arial" w:cs="Arial"/>
          <w:color w:val="0D0D0D"/>
        </w:rPr>
        <w:t>, ou ainda então, são diagnosticados</w:t>
      </w:r>
      <w:r w:rsidR="00BE3E54">
        <w:rPr>
          <w:rFonts w:ascii="Arial" w:hAnsi="Arial" w:cs="Arial"/>
          <w:color w:val="0D0D0D"/>
        </w:rPr>
        <w:t xml:space="preserve"> tardiamente</w:t>
      </w:r>
      <w:r w:rsidR="00477A55">
        <w:rPr>
          <w:rFonts w:ascii="Arial" w:hAnsi="Arial" w:cs="Arial"/>
          <w:color w:val="0D0D0D"/>
        </w:rPr>
        <w:t>, isso foi observado</w:t>
      </w:r>
      <w:r w:rsidR="00D06D68">
        <w:rPr>
          <w:rFonts w:ascii="Arial" w:hAnsi="Arial" w:cs="Arial"/>
          <w:color w:val="0D0D0D"/>
        </w:rPr>
        <w:t xml:space="preserve"> juntamente com um menor </w:t>
      </w:r>
      <w:r w:rsidR="002E2AD8">
        <w:rPr>
          <w:rFonts w:ascii="Arial" w:hAnsi="Arial" w:cs="Arial"/>
          <w:color w:val="0D0D0D"/>
        </w:rPr>
        <w:t>índice de educação</w:t>
      </w:r>
      <w:r w:rsidR="00477A55">
        <w:rPr>
          <w:rFonts w:ascii="Arial" w:hAnsi="Arial" w:cs="Arial"/>
          <w:color w:val="0D0D0D"/>
        </w:rPr>
        <w:t xml:space="preserve"> dos pais </w:t>
      </w:r>
      <w:r w:rsidR="004D17C8">
        <w:rPr>
          <w:rFonts w:ascii="Arial" w:hAnsi="Arial" w:cs="Arial"/>
          <w:color w:val="0D0D0D"/>
        </w:rPr>
        <w:t>dessas crianças</w:t>
      </w:r>
      <w:r w:rsidR="00363267">
        <w:rPr>
          <w:rFonts w:ascii="Arial" w:hAnsi="Arial" w:cs="Arial"/>
          <w:color w:val="0D0D0D"/>
        </w:rPr>
        <w:t xml:space="preserve"> e com classes sociais mais baixas</w:t>
      </w:r>
      <w:r w:rsidR="004D17C8">
        <w:rPr>
          <w:rFonts w:ascii="Arial" w:hAnsi="Arial" w:cs="Arial"/>
          <w:color w:val="0D0D0D"/>
        </w:rPr>
        <w:t xml:space="preserve">. </w:t>
      </w:r>
      <w:r w:rsidR="00C25921">
        <w:rPr>
          <w:rFonts w:ascii="Arial" w:hAnsi="Arial" w:cs="Arial"/>
          <w:color w:val="0D0D0D"/>
        </w:rPr>
        <w:t xml:space="preserve">O que nos </w:t>
      </w:r>
      <w:r w:rsidR="004D17C8">
        <w:rPr>
          <w:rFonts w:ascii="Arial" w:hAnsi="Arial" w:cs="Arial"/>
          <w:color w:val="0D0D0D"/>
        </w:rPr>
        <w:t>leva à uma correlaçã</w:t>
      </w:r>
      <w:r w:rsidR="00470FA5">
        <w:rPr>
          <w:rFonts w:ascii="Arial" w:hAnsi="Arial" w:cs="Arial"/>
          <w:color w:val="0D0D0D"/>
        </w:rPr>
        <w:t xml:space="preserve">o de que o baixo índice de diagnósticos está relacionado à falta de acesso à saúde básica, </w:t>
      </w:r>
      <w:r w:rsidR="004C4189">
        <w:rPr>
          <w:rFonts w:ascii="Arial" w:hAnsi="Arial" w:cs="Arial"/>
          <w:color w:val="0D0D0D"/>
        </w:rPr>
        <w:t xml:space="preserve">preconceito racial </w:t>
      </w:r>
      <w:r w:rsidR="00703C1E">
        <w:rPr>
          <w:rFonts w:ascii="Arial" w:hAnsi="Arial" w:cs="Arial"/>
          <w:color w:val="0D0D0D"/>
        </w:rPr>
        <w:t>durante o</w:t>
      </w:r>
      <w:r w:rsidR="004C4189">
        <w:rPr>
          <w:rFonts w:ascii="Arial" w:hAnsi="Arial" w:cs="Arial"/>
          <w:color w:val="0D0D0D"/>
        </w:rPr>
        <w:t xml:space="preserve"> diagnóstico,</w:t>
      </w:r>
      <w:r w:rsidR="00326EA3">
        <w:rPr>
          <w:rFonts w:ascii="Arial" w:hAnsi="Arial" w:cs="Arial"/>
          <w:color w:val="0D0D0D"/>
        </w:rPr>
        <w:t xml:space="preserve"> ou então falta </w:t>
      </w:r>
      <w:r w:rsidR="001C4938">
        <w:rPr>
          <w:rFonts w:ascii="Arial" w:hAnsi="Arial" w:cs="Arial"/>
          <w:color w:val="0D0D0D"/>
        </w:rPr>
        <w:t xml:space="preserve">de acompanhamento escolar </w:t>
      </w:r>
      <w:r w:rsidR="00A30578">
        <w:rPr>
          <w:rFonts w:ascii="Arial" w:hAnsi="Arial" w:cs="Arial"/>
          <w:color w:val="0D0D0D"/>
        </w:rPr>
        <w:t>durante o</w:t>
      </w:r>
      <w:r w:rsidR="00F151AB">
        <w:rPr>
          <w:rFonts w:ascii="Arial" w:hAnsi="Arial" w:cs="Arial"/>
          <w:color w:val="0D0D0D"/>
        </w:rPr>
        <w:t xml:space="preserve"> período letivo da criança</w:t>
      </w:r>
      <w:r w:rsidR="00DD506B">
        <w:rPr>
          <w:rFonts w:ascii="Arial" w:hAnsi="Arial" w:cs="Arial"/>
          <w:color w:val="0D0D0D"/>
        </w:rPr>
        <w:t xml:space="preserve"> (MANDELL et. al. </w:t>
      </w:r>
      <w:r w:rsidR="000434C7">
        <w:rPr>
          <w:rFonts w:ascii="Arial" w:hAnsi="Arial" w:cs="Arial"/>
          <w:color w:val="0D0D0D"/>
        </w:rPr>
        <w:t>2009).</w:t>
      </w:r>
    </w:p>
    <w:p w14:paraId="443EEECB" w14:textId="41730048" w:rsidR="005C626E" w:rsidRPr="005C626E"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t>Nos últimos anos, a comunidade médica e científica tem se dedicado intensamente à busca por métodos mais precisos e eficazes de diagnóstico do TEA. Uma abordagem em destaque é o uso de tecnologias avançadas, como o machine learning, para análise e mapeamento das características e estereótipos associados ao autismo. Conforme ressalta Oliveira (2019), "O uso de machine learning para diagnóstico do TEA oferece uma nova perspectiva, com o potencial de identificar padrões complexos de comportamento e sintomas."</w:t>
      </w:r>
    </w:p>
    <w:p w14:paraId="3D5BC40D" w14:textId="77777777" w:rsidR="005C626E" w:rsidRPr="005C626E"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t>Esta abordagem inovadora tem o potencial de acelerar o diagnóstico do TEA, permitindo intervenções e suporte adequados desde cedo. Como destaca Santos et al. (2022), "A detecção precoce do TEA é crucial para o desenvolvimento e qualidade de vida dos indivíduos afetados, e o machine learning apresenta-se como uma ferramenta promissora nesse contexto."</w:t>
      </w:r>
    </w:p>
    <w:p w14:paraId="4C57514B" w14:textId="4C673A32" w:rsidR="005C626E" w:rsidRPr="005C626E"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t>Entretanto, é importante destacar a escassez de dados completos e detalhados sobre o TEA, conforme aponta Silva (2018), "A falta de informações abrangentes sobre o autismo ainda é um desafio para a comunidade científica, limitando o desenvolvimento de estratégias de diagnóstico e intervenção mais eficazes</w:t>
      </w:r>
      <w:r w:rsidR="00E37E37">
        <w:rPr>
          <w:rFonts w:ascii="Arial" w:hAnsi="Arial" w:cs="Arial"/>
          <w:color w:val="0D0D0D"/>
        </w:rPr>
        <w:t>.</w:t>
      </w:r>
      <w:r w:rsidR="000D0E87">
        <w:rPr>
          <w:rFonts w:ascii="Arial" w:hAnsi="Arial" w:cs="Arial"/>
          <w:color w:val="0D0D0D"/>
        </w:rPr>
        <w:t>”</w:t>
      </w:r>
    </w:p>
    <w:p w14:paraId="4CD67C71" w14:textId="77777777" w:rsidR="005C626E" w:rsidRPr="005C626E"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t>Diante do aumento constante no número de casos diagnosticados de TEA a cada ano, como demonstra o estudo de Silva et al. (2021), que identificou um crescimento de 30% nos últimos cinco anos, torna-se ainda mais urgente o desenvolvimento e aprimoramento de ferramentas de diagnóstico. A pesquisa contínua e a análise de dados, especialmente com o auxílio de técnicas como o machine learning, são cruciais para avançar na compreensão e manejo do TEA.</w:t>
      </w:r>
    </w:p>
    <w:p w14:paraId="5B70DEDB" w14:textId="77777777" w:rsidR="005C626E" w:rsidRDefault="005C626E"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r w:rsidRPr="005C626E">
        <w:rPr>
          <w:rFonts w:ascii="Arial" w:hAnsi="Arial" w:cs="Arial"/>
          <w:color w:val="0D0D0D"/>
        </w:rPr>
        <w:lastRenderedPageBreak/>
        <w:t>Em síntese, a aplicação de técnicas avançadas de análise de dados, como o machine learning, no diagnóstico do TEA representa uma perspectiva promissora para identificação precoce e intervenção eficaz. Entretanto, a falta de dados completos e o aumento na prevalência do TEA ressaltam a necessidade premente de pesquisas contínuas e desenvolvimento de ferramentas mais eficazes para lidar com essa complexa condição de desenvolvimento neurológico.</w:t>
      </w:r>
    </w:p>
    <w:p w14:paraId="4D1021DF" w14:textId="77777777" w:rsidR="00F77CE3" w:rsidRPr="005C626E" w:rsidRDefault="00F77CE3" w:rsidP="00D22B35">
      <w:pPr>
        <w:pStyle w:val="NormalWeb"/>
        <w:shd w:val="clear" w:color="auto" w:fill="FFFFFF"/>
        <w:spacing w:beforeLines="30" w:before="72" w:beforeAutospacing="0" w:afterLines="30" w:after="72" w:afterAutospacing="0" w:line="360" w:lineRule="auto"/>
        <w:ind w:right="119" w:firstLine="720"/>
        <w:jc w:val="both"/>
        <w:rPr>
          <w:rFonts w:ascii="Arial" w:hAnsi="Arial" w:cs="Arial"/>
          <w:color w:val="0D0D0D"/>
        </w:rPr>
      </w:pPr>
    </w:p>
    <w:p w14:paraId="49C6B42A" w14:textId="7A2D7CFA" w:rsidR="00DF4FFF" w:rsidRDefault="00057ABF" w:rsidP="00915296">
      <w:pPr>
        <w:pStyle w:val="Ttulo1"/>
        <w:numPr>
          <w:ilvl w:val="0"/>
          <w:numId w:val="4"/>
        </w:numPr>
        <w:spacing w:beforeLines="30" w:before="72" w:afterLines="30" w:after="72" w:line="360" w:lineRule="auto"/>
        <w:jc w:val="both"/>
      </w:pPr>
      <w:r>
        <w:t>METODOLOGIA</w:t>
      </w:r>
    </w:p>
    <w:p w14:paraId="68FD8E7A" w14:textId="5017EEB4" w:rsidR="005C68B6" w:rsidRDefault="00185606" w:rsidP="002C6ED5">
      <w:pPr>
        <w:pStyle w:val="Ttulo1"/>
        <w:spacing w:beforeLines="30" w:before="72" w:afterLines="30" w:after="72" w:line="360" w:lineRule="auto"/>
        <w:ind w:firstLine="0"/>
        <w:jc w:val="both"/>
      </w:pPr>
      <w:r>
        <w:t xml:space="preserve">3.1 Materiais e </w:t>
      </w:r>
      <w:r w:rsidR="00D25E37">
        <w:t>métodos</w:t>
      </w:r>
    </w:p>
    <w:p w14:paraId="52B2A89A" w14:textId="6BB84898" w:rsidR="0065532F" w:rsidRDefault="006335CF" w:rsidP="00323203">
      <w:pPr>
        <w:pStyle w:val="Ttulo1"/>
        <w:spacing w:beforeLines="30" w:before="72" w:afterLines="30" w:after="72" w:line="360" w:lineRule="auto"/>
        <w:ind w:firstLine="603"/>
        <w:jc w:val="both"/>
        <w:rPr>
          <w:b w:val="0"/>
          <w:bCs w:val="0"/>
        </w:rPr>
      </w:pPr>
      <w:r>
        <w:rPr>
          <w:b w:val="0"/>
          <w:bCs w:val="0"/>
        </w:rPr>
        <w:t>a) Materiais: n</w:t>
      </w:r>
      <w:r w:rsidR="002F3299">
        <w:rPr>
          <w:b w:val="0"/>
          <w:bCs w:val="0"/>
        </w:rPr>
        <w:t xml:space="preserve">este trabalho, utilizou-se Excel e Python para </w:t>
      </w:r>
      <w:r w:rsidR="006131B6">
        <w:rPr>
          <w:b w:val="0"/>
          <w:bCs w:val="0"/>
        </w:rPr>
        <w:t xml:space="preserve">processamento, </w:t>
      </w:r>
      <w:r w:rsidR="002F3299">
        <w:rPr>
          <w:b w:val="0"/>
          <w:bCs w:val="0"/>
        </w:rPr>
        <w:t xml:space="preserve">saneamento e manuseio de dados. </w:t>
      </w:r>
      <w:r w:rsidR="006131B6">
        <w:rPr>
          <w:b w:val="0"/>
          <w:bCs w:val="0"/>
        </w:rPr>
        <w:t xml:space="preserve">O Microsoft Power BI foi utilizado para visualização gráfica. </w:t>
      </w:r>
      <w:r w:rsidR="00272FA4">
        <w:rPr>
          <w:b w:val="0"/>
          <w:bCs w:val="0"/>
        </w:rPr>
        <w:t xml:space="preserve">As lógicas de cálculo foram desenvolvidas em </w:t>
      </w:r>
      <w:r w:rsidR="00504FD5">
        <w:rPr>
          <w:b w:val="0"/>
          <w:bCs w:val="0"/>
        </w:rPr>
        <w:t>Excel, Python</w:t>
      </w:r>
      <w:r w:rsidR="00657690">
        <w:rPr>
          <w:b w:val="0"/>
          <w:bCs w:val="0"/>
        </w:rPr>
        <w:t xml:space="preserve">, M e DAX. </w:t>
      </w:r>
      <w:r w:rsidR="00606FBF">
        <w:rPr>
          <w:b w:val="0"/>
          <w:bCs w:val="0"/>
        </w:rPr>
        <w:t xml:space="preserve">A análise foi construída em </w:t>
      </w:r>
      <w:r w:rsidR="00347292">
        <w:rPr>
          <w:b w:val="0"/>
          <w:bCs w:val="0"/>
        </w:rPr>
        <w:t>CPU</w:t>
      </w:r>
      <w:r w:rsidR="00606FBF">
        <w:rPr>
          <w:b w:val="0"/>
          <w:bCs w:val="0"/>
        </w:rPr>
        <w:t xml:space="preserve"> </w:t>
      </w:r>
      <w:r w:rsidR="006764F6">
        <w:rPr>
          <w:b w:val="0"/>
          <w:bCs w:val="0"/>
        </w:rPr>
        <w:t>Intel 13</w:t>
      </w:r>
      <w:r w:rsidR="00A2653E">
        <w:rPr>
          <w:b w:val="0"/>
          <w:bCs w:val="0"/>
        </w:rPr>
        <w:t xml:space="preserve"> Geração, 16gb de RAM</w:t>
      </w:r>
      <w:r w:rsidR="00347292">
        <w:rPr>
          <w:b w:val="0"/>
          <w:bCs w:val="0"/>
        </w:rPr>
        <w:t xml:space="preserve">, </w:t>
      </w:r>
      <w:r w:rsidR="00A2653E">
        <w:rPr>
          <w:b w:val="0"/>
          <w:bCs w:val="0"/>
        </w:rPr>
        <w:t>520 de SSD,</w:t>
      </w:r>
      <w:r w:rsidR="00347292">
        <w:rPr>
          <w:b w:val="0"/>
          <w:bCs w:val="0"/>
        </w:rPr>
        <w:t xml:space="preserve"> GPU RTX3050</w:t>
      </w:r>
      <w:r w:rsidR="0065532F">
        <w:rPr>
          <w:b w:val="0"/>
          <w:bCs w:val="0"/>
        </w:rPr>
        <w:t>,</w:t>
      </w:r>
      <w:r w:rsidR="00A2653E">
        <w:rPr>
          <w:b w:val="0"/>
          <w:bCs w:val="0"/>
        </w:rPr>
        <w:t xml:space="preserve"> </w:t>
      </w:r>
      <w:r w:rsidR="009E7A8E">
        <w:rPr>
          <w:b w:val="0"/>
          <w:bCs w:val="0"/>
        </w:rPr>
        <w:t>em Windows 11</w:t>
      </w:r>
      <w:r w:rsidR="0065532F">
        <w:rPr>
          <w:b w:val="0"/>
          <w:bCs w:val="0"/>
        </w:rPr>
        <w:t>.</w:t>
      </w:r>
    </w:p>
    <w:p w14:paraId="1FFC34DF" w14:textId="71E1C6F4" w:rsidR="00FA7E7C" w:rsidRDefault="00556C10" w:rsidP="00323203">
      <w:pPr>
        <w:pStyle w:val="Ttulo1"/>
        <w:spacing w:beforeLines="30" w:before="72" w:afterLines="30" w:after="72" w:line="360" w:lineRule="auto"/>
        <w:ind w:firstLine="603"/>
        <w:jc w:val="both"/>
        <w:rPr>
          <w:b w:val="0"/>
          <w:bCs w:val="0"/>
          <w:color w:val="0D0D0D"/>
        </w:rPr>
      </w:pPr>
      <w:r>
        <w:rPr>
          <w:b w:val="0"/>
          <w:bCs w:val="0"/>
        </w:rPr>
        <w:t xml:space="preserve">b) Base de dados: a base de dados é </w:t>
      </w:r>
      <w:r w:rsidR="005A6CAE">
        <w:rPr>
          <w:b w:val="0"/>
          <w:bCs w:val="0"/>
        </w:rPr>
        <w:t>advinda d</w:t>
      </w:r>
      <w:r w:rsidR="003C7550">
        <w:rPr>
          <w:b w:val="0"/>
          <w:bCs w:val="0"/>
        </w:rPr>
        <w:t xml:space="preserve">o </w:t>
      </w:r>
      <w:r w:rsidR="003C7550" w:rsidRPr="003C7550">
        <w:rPr>
          <w:b w:val="0"/>
          <w:bCs w:val="0"/>
          <w:color w:val="0D0D0D"/>
        </w:rPr>
        <w:t>Center for Disease Control and Prevention (CDC)</w:t>
      </w:r>
      <w:r w:rsidR="00090524">
        <w:rPr>
          <w:b w:val="0"/>
          <w:bCs w:val="0"/>
          <w:color w:val="0D0D0D"/>
        </w:rPr>
        <w:t>, em publicação de 2023.</w:t>
      </w:r>
      <w:r w:rsidR="00CD55FE">
        <w:rPr>
          <w:b w:val="0"/>
          <w:bCs w:val="0"/>
          <w:color w:val="0D0D0D"/>
        </w:rPr>
        <w:t xml:space="preserve"> </w:t>
      </w:r>
      <w:r w:rsidR="00F155A3">
        <w:rPr>
          <w:b w:val="0"/>
          <w:bCs w:val="0"/>
          <w:color w:val="0D0D0D"/>
        </w:rPr>
        <w:t>El</w:t>
      </w:r>
      <w:r w:rsidR="005D4015">
        <w:rPr>
          <w:b w:val="0"/>
          <w:bCs w:val="0"/>
          <w:color w:val="0D0D0D"/>
        </w:rPr>
        <w:t>a bali</w:t>
      </w:r>
      <w:r w:rsidR="00234BC3">
        <w:rPr>
          <w:b w:val="0"/>
          <w:bCs w:val="0"/>
          <w:color w:val="0D0D0D"/>
        </w:rPr>
        <w:t xml:space="preserve">za </w:t>
      </w:r>
      <w:r w:rsidR="009D1179">
        <w:rPr>
          <w:b w:val="0"/>
          <w:bCs w:val="0"/>
          <w:color w:val="0D0D0D"/>
        </w:rPr>
        <w:t>o relatório “</w:t>
      </w:r>
      <w:r w:rsidR="009D1179" w:rsidRPr="009D1179">
        <w:rPr>
          <w:b w:val="0"/>
          <w:bCs w:val="0"/>
          <w:color w:val="0D0D0D"/>
        </w:rPr>
        <w:t>Community report on autism: Autism and developmental disabilities monitoring (ADDM) network”</w:t>
      </w:r>
      <w:r w:rsidR="009B64C6">
        <w:rPr>
          <w:b w:val="0"/>
          <w:bCs w:val="0"/>
          <w:color w:val="0D0D0D"/>
        </w:rPr>
        <w:t xml:space="preserve">, </w:t>
      </w:r>
      <w:r w:rsidR="003B51FC">
        <w:rPr>
          <w:b w:val="0"/>
          <w:bCs w:val="0"/>
          <w:color w:val="0D0D0D"/>
        </w:rPr>
        <w:t>documento</w:t>
      </w:r>
      <w:r w:rsidR="009B64C6">
        <w:rPr>
          <w:b w:val="0"/>
          <w:bCs w:val="0"/>
          <w:color w:val="0D0D0D"/>
        </w:rPr>
        <w:t xml:space="preserve"> </w:t>
      </w:r>
      <w:r w:rsidR="00FE4232">
        <w:rPr>
          <w:b w:val="0"/>
          <w:bCs w:val="0"/>
          <w:color w:val="0D0D0D"/>
        </w:rPr>
        <w:t xml:space="preserve">que apresenta </w:t>
      </w:r>
      <w:r w:rsidR="003B51FC">
        <w:rPr>
          <w:b w:val="0"/>
          <w:bCs w:val="0"/>
          <w:color w:val="0D0D0D"/>
        </w:rPr>
        <w:t xml:space="preserve">os resultados </w:t>
      </w:r>
      <w:r w:rsidR="001E16F2">
        <w:rPr>
          <w:b w:val="0"/>
          <w:bCs w:val="0"/>
          <w:color w:val="0D0D0D"/>
        </w:rPr>
        <w:t>estatístic</w:t>
      </w:r>
      <w:r w:rsidR="003B51FC">
        <w:rPr>
          <w:b w:val="0"/>
          <w:bCs w:val="0"/>
          <w:color w:val="0D0D0D"/>
        </w:rPr>
        <w:t>o</w:t>
      </w:r>
      <w:r w:rsidR="001E16F2">
        <w:rPr>
          <w:b w:val="0"/>
          <w:bCs w:val="0"/>
          <w:color w:val="0D0D0D"/>
        </w:rPr>
        <w:t>s sobre a prevalência do TEA nos Estados Unidos,</w:t>
      </w:r>
      <w:r w:rsidR="003B51FC">
        <w:rPr>
          <w:b w:val="0"/>
          <w:bCs w:val="0"/>
          <w:color w:val="0D0D0D"/>
        </w:rPr>
        <w:t xml:space="preserve"> compilando dados desde os anos de 2000</w:t>
      </w:r>
      <w:r w:rsidR="009D1179" w:rsidRPr="009D1179">
        <w:rPr>
          <w:b w:val="0"/>
          <w:bCs w:val="0"/>
          <w:color w:val="0D0D0D"/>
        </w:rPr>
        <w:t>.</w:t>
      </w:r>
      <w:r w:rsidR="003B51FC">
        <w:rPr>
          <w:b w:val="0"/>
          <w:bCs w:val="0"/>
          <w:color w:val="0D0D0D"/>
        </w:rPr>
        <w:t xml:space="preserve"> </w:t>
      </w:r>
      <w:r w:rsidR="00B63596">
        <w:rPr>
          <w:b w:val="0"/>
          <w:bCs w:val="0"/>
          <w:color w:val="0D0D0D"/>
        </w:rPr>
        <w:t xml:space="preserve">Para este estudo, foram utilizados duas bases de dados principais, </w:t>
      </w:r>
      <w:r w:rsidR="000E7702">
        <w:rPr>
          <w:b w:val="0"/>
          <w:bCs w:val="0"/>
          <w:color w:val="0D0D0D"/>
        </w:rPr>
        <w:t>“AD</w:t>
      </w:r>
      <w:r w:rsidR="00251D20">
        <w:rPr>
          <w:b w:val="0"/>
          <w:bCs w:val="0"/>
          <w:color w:val="0D0D0D"/>
        </w:rPr>
        <w:t>V_AllData” e “ADV_ADDMM</w:t>
      </w:r>
      <w:r w:rsidR="00246CE9">
        <w:rPr>
          <w:b w:val="0"/>
          <w:bCs w:val="0"/>
          <w:color w:val="0D0D0D"/>
        </w:rPr>
        <w:t xml:space="preserve">”. O primeiro </w:t>
      </w:r>
      <w:r w:rsidR="00F8459A">
        <w:rPr>
          <w:b w:val="0"/>
          <w:bCs w:val="0"/>
          <w:color w:val="0D0D0D"/>
        </w:rPr>
        <w:t xml:space="preserve">compila dados de </w:t>
      </w:r>
      <w:r w:rsidR="003A3070">
        <w:rPr>
          <w:b w:val="0"/>
          <w:bCs w:val="0"/>
          <w:color w:val="0D0D0D"/>
        </w:rPr>
        <w:t xml:space="preserve">quatro bases distintas: </w:t>
      </w:r>
      <w:r w:rsidR="00A60DD4">
        <w:rPr>
          <w:b w:val="0"/>
          <w:bCs w:val="0"/>
          <w:color w:val="0D0D0D"/>
        </w:rPr>
        <w:t>“</w:t>
      </w:r>
      <w:r w:rsidR="003A3070">
        <w:rPr>
          <w:b w:val="0"/>
          <w:bCs w:val="0"/>
          <w:color w:val="0D0D0D"/>
        </w:rPr>
        <w:t>addm</w:t>
      </w:r>
      <w:r w:rsidR="00A60DD4">
        <w:rPr>
          <w:b w:val="0"/>
          <w:bCs w:val="0"/>
          <w:color w:val="0D0D0D"/>
        </w:rPr>
        <w:t>”</w:t>
      </w:r>
      <w:r w:rsidR="00EF27A9">
        <w:rPr>
          <w:b w:val="0"/>
          <w:bCs w:val="0"/>
          <w:color w:val="0D0D0D"/>
        </w:rPr>
        <w:t xml:space="preserve">, </w:t>
      </w:r>
      <w:r w:rsidR="00A60DD4">
        <w:rPr>
          <w:b w:val="0"/>
          <w:bCs w:val="0"/>
          <w:color w:val="0D0D0D"/>
        </w:rPr>
        <w:t>“</w:t>
      </w:r>
      <w:r w:rsidR="00EF27A9">
        <w:rPr>
          <w:b w:val="0"/>
          <w:bCs w:val="0"/>
          <w:color w:val="0D0D0D"/>
        </w:rPr>
        <w:t>medi</w:t>
      </w:r>
      <w:r w:rsidR="00A60DD4">
        <w:rPr>
          <w:b w:val="0"/>
          <w:bCs w:val="0"/>
          <w:color w:val="0D0D0D"/>
        </w:rPr>
        <w:t>”</w:t>
      </w:r>
      <w:r w:rsidR="00EF27A9">
        <w:rPr>
          <w:b w:val="0"/>
          <w:bCs w:val="0"/>
          <w:color w:val="0D0D0D"/>
        </w:rPr>
        <w:t xml:space="preserve">, </w:t>
      </w:r>
      <w:r w:rsidR="00A60DD4">
        <w:rPr>
          <w:b w:val="0"/>
          <w:bCs w:val="0"/>
          <w:color w:val="0D0D0D"/>
        </w:rPr>
        <w:t>“</w:t>
      </w:r>
      <w:r w:rsidR="00EF27A9">
        <w:rPr>
          <w:b w:val="0"/>
          <w:bCs w:val="0"/>
          <w:color w:val="0D0D0D"/>
        </w:rPr>
        <w:t>nsch</w:t>
      </w:r>
      <w:r w:rsidR="00A60DD4">
        <w:rPr>
          <w:b w:val="0"/>
          <w:bCs w:val="0"/>
          <w:color w:val="0D0D0D"/>
        </w:rPr>
        <w:t>”</w:t>
      </w:r>
      <w:r w:rsidR="00EF27A9">
        <w:rPr>
          <w:b w:val="0"/>
          <w:bCs w:val="0"/>
          <w:color w:val="0D0D0D"/>
        </w:rPr>
        <w:t xml:space="preserve">, </w:t>
      </w:r>
      <w:r w:rsidR="00A60DD4">
        <w:rPr>
          <w:b w:val="0"/>
          <w:bCs w:val="0"/>
          <w:color w:val="0D0D0D"/>
        </w:rPr>
        <w:t>“</w:t>
      </w:r>
      <w:r w:rsidR="00EF27A9">
        <w:rPr>
          <w:b w:val="0"/>
          <w:bCs w:val="0"/>
          <w:color w:val="0D0D0D"/>
        </w:rPr>
        <w:t>sped</w:t>
      </w:r>
      <w:r w:rsidR="00A60DD4">
        <w:rPr>
          <w:b w:val="0"/>
          <w:bCs w:val="0"/>
          <w:color w:val="0D0D0D"/>
        </w:rPr>
        <w:t>”</w:t>
      </w:r>
      <w:r w:rsidR="00537D24">
        <w:rPr>
          <w:b w:val="0"/>
          <w:bCs w:val="0"/>
          <w:color w:val="0D0D0D"/>
        </w:rPr>
        <w:t xml:space="preserve">, cada qual </w:t>
      </w:r>
      <w:r w:rsidR="005D21B0">
        <w:rPr>
          <w:b w:val="0"/>
          <w:bCs w:val="0"/>
          <w:color w:val="0D0D0D"/>
        </w:rPr>
        <w:t>respondendo a um setor diferente do interesse público</w:t>
      </w:r>
      <w:r w:rsidR="00522ECA">
        <w:rPr>
          <w:b w:val="0"/>
          <w:bCs w:val="0"/>
          <w:color w:val="0D0D0D"/>
        </w:rPr>
        <w:t xml:space="preserve">. “medi” é um conjunto de dados da área da saúde; “nsch” e “sped” reúnem dados do setor de educação do país e “addm” </w:t>
      </w:r>
      <w:r w:rsidR="00D16FEE">
        <w:rPr>
          <w:b w:val="0"/>
          <w:bCs w:val="0"/>
          <w:color w:val="0D0D0D"/>
        </w:rPr>
        <w:t xml:space="preserve">se propõe como uma base de dados de </w:t>
      </w:r>
      <w:r w:rsidR="0003183A">
        <w:rPr>
          <w:b w:val="0"/>
          <w:bCs w:val="0"/>
          <w:color w:val="0D0D0D"/>
        </w:rPr>
        <w:t>compila e reorganiza todas as outra</w:t>
      </w:r>
      <w:r w:rsidR="001563DD">
        <w:rPr>
          <w:b w:val="0"/>
          <w:bCs w:val="0"/>
          <w:color w:val="0D0D0D"/>
        </w:rPr>
        <w:t>s</w:t>
      </w:r>
      <w:r w:rsidR="00C82F8E">
        <w:rPr>
          <w:b w:val="0"/>
          <w:bCs w:val="0"/>
          <w:color w:val="0D0D0D"/>
        </w:rPr>
        <w:t xml:space="preserve"> e está ligada ao próprio CDC.</w:t>
      </w:r>
      <w:r w:rsidR="00FA7E7C">
        <w:rPr>
          <w:b w:val="0"/>
          <w:bCs w:val="0"/>
          <w:color w:val="0D0D0D"/>
        </w:rPr>
        <w:t xml:space="preserve"> </w:t>
      </w:r>
    </w:p>
    <w:p w14:paraId="5B463A4F" w14:textId="53B5382E" w:rsidR="00423C9A" w:rsidRDefault="009A4325" w:rsidP="00323203">
      <w:pPr>
        <w:pStyle w:val="Ttulo1"/>
        <w:spacing w:beforeLines="30" w:before="72" w:afterLines="30" w:after="72" w:line="360" w:lineRule="auto"/>
        <w:ind w:firstLine="603"/>
        <w:jc w:val="both"/>
        <w:rPr>
          <w:b w:val="0"/>
          <w:bCs w:val="0"/>
        </w:rPr>
      </w:pPr>
      <w:r>
        <w:rPr>
          <w:b w:val="0"/>
          <w:bCs w:val="0"/>
        </w:rPr>
        <w:t xml:space="preserve">Em “ADV_AllData”, há </w:t>
      </w:r>
      <w:r w:rsidR="00CC33BA">
        <w:rPr>
          <w:b w:val="0"/>
          <w:bCs w:val="0"/>
        </w:rPr>
        <w:t>sete variáveis distribuídas em colunas dis</w:t>
      </w:r>
      <w:r w:rsidR="007D193A">
        <w:rPr>
          <w:b w:val="0"/>
          <w:bCs w:val="0"/>
        </w:rPr>
        <w:t>tintas</w:t>
      </w:r>
      <w:r w:rsidR="00D425FB">
        <w:rPr>
          <w:b w:val="0"/>
          <w:bCs w:val="0"/>
        </w:rPr>
        <w:t xml:space="preserve"> na aba “National prevalence estimates”</w:t>
      </w:r>
      <w:r w:rsidR="0051146E">
        <w:rPr>
          <w:b w:val="0"/>
          <w:bCs w:val="0"/>
        </w:rPr>
        <w:t xml:space="preserve">. “Location” se refere aos estados americanos, “Denominator” representa </w:t>
      </w:r>
      <w:r w:rsidR="00751821">
        <w:rPr>
          <w:b w:val="0"/>
          <w:bCs w:val="0"/>
        </w:rPr>
        <w:t>a população, total de crianças por estado</w:t>
      </w:r>
      <w:r w:rsidR="007A20CC">
        <w:rPr>
          <w:b w:val="0"/>
          <w:bCs w:val="0"/>
        </w:rPr>
        <w:t xml:space="preserve">, tendo origem </w:t>
      </w:r>
      <w:r w:rsidR="007F7825">
        <w:rPr>
          <w:b w:val="0"/>
          <w:bCs w:val="0"/>
        </w:rPr>
        <w:t>diversa como número de inscritos nas escolas e número de atendimentos hospitalares</w:t>
      </w:r>
      <w:r w:rsidR="00BA6A9A">
        <w:rPr>
          <w:b w:val="0"/>
          <w:bCs w:val="0"/>
        </w:rPr>
        <w:t xml:space="preserve">, “Prevalence” é o indicador-chave </w:t>
      </w:r>
      <w:r w:rsidR="00565271">
        <w:rPr>
          <w:b w:val="0"/>
          <w:bCs w:val="0"/>
        </w:rPr>
        <w:t>e apresenta a média estimada de casos de TEA em 1000 crianças</w:t>
      </w:r>
      <w:r w:rsidR="00183D7B">
        <w:rPr>
          <w:b w:val="0"/>
          <w:bCs w:val="0"/>
        </w:rPr>
        <w:t xml:space="preserve">, </w:t>
      </w:r>
      <w:r w:rsidR="00571FA0">
        <w:rPr>
          <w:b w:val="0"/>
          <w:bCs w:val="0"/>
        </w:rPr>
        <w:t xml:space="preserve">também apresenta um intervalo de confiança de sua estimativa com </w:t>
      </w:r>
      <w:r w:rsidR="00AB127E">
        <w:rPr>
          <w:b w:val="0"/>
          <w:bCs w:val="0"/>
        </w:rPr>
        <w:t>“Lower CI” e “Upper CI” (</w:t>
      </w:r>
      <w:r w:rsidR="0070445C">
        <w:rPr>
          <w:b w:val="0"/>
          <w:bCs w:val="0"/>
        </w:rPr>
        <w:t>Limite inferior e Limite superior), “Year”</w:t>
      </w:r>
      <w:r w:rsidR="007527D4">
        <w:rPr>
          <w:b w:val="0"/>
          <w:bCs w:val="0"/>
        </w:rPr>
        <w:t xml:space="preserve"> e</w:t>
      </w:r>
      <w:r w:rsidR="0070445C">
        <w:rPr>
          <w:b w:val="0"/>
          <w:bCs w:val="0"/>
        </w:rPr>
        <w:t xml:space="preserve"> “Source”</w:t>
      </w:r>
      <w:r w:rsidR="007527D4">
        <w:rPr>
          <w:b w:val="0"/>
          <w:bCs w:val="0"/>
        </w:rPr>
        <w:t>, que</w:t>
      </w:r>
      <w:r w:rsidR="0070445C">
        <w:rPr>
          <w:b w:val="0"/>
          <w:bCs w:val="0"/>
        </w:rPr>
        <w:t xml:space="preserve"> se refere </w:t>
      </w:r>
      <w:r w:rsidR="00FD2A03">
        <w:rPr>
          <w:b w:val="0"/>
          <w:bCs w:val="0"/>
        </w:rPr>
        <w:t>às</w:t>
      </w:r>
      <w:r w:rsidR="007527D4">
        <w:rPr>
          <w:b w:val="0"/>
          <w:bCs w:val="0"/>
        </w:rPr>
        <w:t xml:space="preserve"> fontes.</w:t>
      </w:r>
      <w:r w:rsidR="0079543B">
        <w:rPr>
          <w:b w:val="0"/>
          <w:bCs w:val="0"/>
        </w:rPr>
        <w:t xml:space="preserve"> Neste trabalho, a base foi reduzida a 130 linhas </w:t>
      </w:r>
      <w:r w:rsidR="0079543B">
        <w:rPr>
          <w:b w:val="0"/>
          <w:bCs w:val="0"/>
        </w:rPr>
        <w:lastRenderedPageBreak/>
        <w:t>em Excel</w:t>
      </w:r>
      <w:r w:rsidR="009A05B8">
        <w:rPr>
          <w:b w:val="0"/>
          <w:bCs w:val="0"/>
        </w:rPr>
        <w:t xml:space="preserve"> a partir da segmentação de fonte “addm”. Ela possui</w:t>
      </w:r>
      <w:r w:rsidR="00D425FB">
        <w:rPr>
          <w:b w:val="0"/>
          <w:bCs w:val="0"/>
        </w:rPr>
        <w:t xml:space="preserve"> </w:t>
      </w:r>
      <w:r w:rsidR="00AF6DCA">
        <w:rPr>
          <w:b w:val="0"/>
          <w:bCs w:val="0"/>
        </w:rPr>
        <w:t>285kb.</w:t>
      </w:r>
      <w:r w:rsidR="009A05B8">
        <w:rPr>
          <w:b w:val="0"/>
          <w:bCs w:val="0"/>
        </w:rPr>
        <w:t xml:space="preserve"> </w:t>
      </w:r>
      <w:r w:rsidR="0079543B">
        <w:rPr>
          <w:b w:val="0"/>
          <w:bCs w:val="0"/>
        </w:rPr>
        <w:t xml:space="preserve">  </w:t>
      </w:r>
      <w:r w:rsidR="007527D4">
        <w:rPr>
          <w:b w:val="0"/>
          <w:bCs w:val="0"/>
        </w:rPr>
        <w:t xml:space="preserve"> </w:t>
      </w:r>
    </w:p>
    <w:p w14:paraId="10951F8B" w14:textId="3C28ED0D" w:rsidR="00FA7E7C" w:rsidRDefault="00423C9A" w:rsidP="004C11B4">
      <w:pPr>
        <w:pStyle w:val="Ttulo1"/>
        <w:spacing w:beforeLines="30" w:before="72" w:afterLines="30" w:after="72" w:line="360" w:lineRule="auto"/>
        <w:ind w:firstLine="603"/>
        <w:jc w:val="both"/>
        <w:rPr>
          <w:b w:val="0"/>
          <w:bCs w:val="0"/>
          <w:color w:val="0D0D0D"/>
        </w:rPr>
      </w:pPr>
      <w:r>
        <w:rPr>
          <w:b w:val="0"/>
          <w:bCs w:val="0"/>
        </w:rPr>
        <w:t>Em “ADV_ADDMN”,</w:t>
      </w:r>
      <w:r w:rsidR="00AF6DCA">
        <w:rPr>
          <w:b w:val="0"/>
          <w:bCs w:val="0"/>
        </w:rPr>
        <w:t xml:space="preserve"> há </w:t>
      </w:r>
      <w:r w:rsidR="003211DE">
        <w:rPr>
          <w:b w:val="0"/>
          <w:bCs w:val="0"/>
        </w:rPr>
        <w:t xml:space="preserve">três abas: “National”, “State” e “Key”. “National” e “State” se referem aos mesmos dados, mas parametrizados de modo distinto. Enquanto o primeiro </w:t>
      </w:r>
      <w:r w:rsidR="00990307">
        <w:rPr>
          <w:b w:val="0"/>
          <w:bCs w:val="0"/>
        </w:rPr>
        <w:t xml:space="preserve">reúne dados gerais do país, </w:t>
      </w:r>
      <w:r w:rsidR="00E33DE7">
        <w:rPr>
          <w:b w:val="0"/>
          <w:bCs w:val="0"/>
        </w:rPr>
        <w:t>o segundo</w:t>
      </w:r>
      <w:r w:rsidR="00405F13">
        <w:rPr>
          <w:b w:val="0"/>
          <w:bCs w:val="0"/>
        </w:rPr>
        <w:t xml:space="preserve"> divide </w:t>
      </w:r>
      <w:r w:rsidR="00D27FCA">
        <w:rPr>
          <w:b w:val="0"/>
          <w:bCs w:val="0"/>
        </w:rPr>
        <w:t xml:space="preserve">reúne dados </w:t>
      </w:r>
      <w:r w:rsidR="00AF666B">
        <w:rPr>
          <w:b w:val="0"/>
          <w:bCs w:val="0"/>
        </w:rPr>
        <w:t>subdivididos por estado. “Key” é uma aba que contém o</w:t>
      </w:r>
      <w:r w:rsidR="00C41ECE">
        <w:rPr>
          <w:b w:val="0"/>
          <w:bCs w:val="0"/>
        </w:rPr>
        <w:t xml:space="preserve"> dicionário de variáveis.</w:t>
      </w:r>
      <w:r w:rsidR="00120DAE">
        <w:rPr>
          <w:b w:val="0"/>
          <w:bCs w:val="0"/>
        </w:rPr>
        <w:t xml:space="preserve"> Em “National”</w:t>
      </w:r>
      <w:r w:rsidR="00E41F4E">
        <w:rPr>
          <w:b w:val="0"/>
          <w:bCs w:val="0"/>
        </w:rPr>
        <w:t xml:space="preserve"> ew “State”</w:t>
      </w:r>
      <w:r w:rsidR="00120DAE">
        <w:rPr>
          <w:b w:val="0"/>
          <w:bCs w:val="0"/>
        </w:rPr>
        <w:t xml:space="preserve">, há </w:t>
      </w:r>
      <w:r w:rsidR="008C59AD">
        <w:rPr>
          <w:b w:val="0"/>
          <w:bCs w:val="0"/>
        </w:rPr>
        <w:t>26 variáveis diferentes divididas em colunas</w:t>
      </w:r>
      <w:r w:rsidR="00E41F4E">
        <w:rPr>
          <w:b w:val="0"/>
          <w:bCs w:val="0"/>
        </w:rPr>
        <w:t xml:space="preserve"> distintas</w:t>
      </w:r>
      <w:r w:rsidR="008C59AD">
        <w:rPr>
          <w:b w:val="0"/>
          <w:bCs w:val="0"/>
        </w:rPr>
        <w:t>:</w:t>
      </w:r>
      <w:r w:rsidR="00C41ECE">
        <w:rPr>
          <w:b w:val="0"/>
          <w:bCs w:val="0"/>
        </w:rPr>
        <w:t xml:space="preserve"> </w:t>
      </w:r>
      <w:r w:rsidR="008C59AD">
        <w:rPr>
          <w:b w:val="0"/>
          <w:bCs w:val="0"/>
        </w:rPr>
        <w:t>“</w:t>
      </w:r>
      <w:r w:rsidR="00120DAE" w:rsidRPr="00120DAE">
        <w:rPr>
          <w:b w:val="0"/>
          <w:bCs w:val="0"/>
        </w:rPr>
        <w:t>year</w:t>
      </w:r>
      <w:r w:rsidR="008C59AD">
        <w:rPr>
          <w:b w:val="0"/>
          <w:bCs w:val="0"/>
        </w:rPr>
        <w:t>”, “</w:t>
      </w:r>
      <w:r w:rsidR="00120DAE" w:rsidRPr="00120DAE">
        <w:rPr>
          <w:b w:val="0"/>
          <w:bCs w:val="0"/>
        </w:rPr>
        <w:t>abbr</w:t>
      </w:r>
      <w:r w:rsidR="008C59AD">
        <w:rPr>
          <w:b w:val="0"/>
          <w:bCs w:val="0"/>
        </w:rPr>
        <w:t>” (</w:t>
      </w:r>
      <w:r w:rsidR="00801DFB">
        <w:rPr>
          <w:b w:val="0"/>
          <w:bCs w:val="0"/>
        </w:rPr>
        <w:t>local)</w:t>
      </w:r>
      <w:r w:rsidR="00644ABE">
        <w:rPr>
          <w:b w:val="0"/>
          <w:bCs w:val="0"/>
        </w:rPr>
        <w:t>, “</w:t>
      </w:r>
      <w:r w:rsidR="00120DAE" w:rsidRPr="00120DAE">
        <w:rPr>
          <w:b w:val="0"/>
          <w:bCs w:val="0"/>
        </w:rPr>
        <w:t>male_prev</w:t>
      </w:r>
      <w:r w:rsidR="00644ABE">
        <w:rPr>
          <w:b w:val="0"/>
          <w:bCs w:val="0"/>
        </w:rPr>
        <w:t>”</w:t>
      </w:r>
      <w:r w:rsidR="00585B1B">
        <w:rPr>
          <w:b w:val="0"/>
          <w:bCs w:val="0"/>
        </w:rPr>
        <w:t>, “</w:t>
      </w:r>
      <w:r w:rsidR="00120DAE" w:rsidRPr="00120DAE">
        <w:rPr>
          <w:b w:val="0"/>
          <w:bCs w:val="0"/>
        </w:rPr>
        <w:t>male_ci_l</w:t>
      </w:r>
      <w:r w:rsidR="00585B1B">
        <w:rPr>
          <w:b w:val="0"/>
          <w:bCs w:val="0"/>
        </w:rPr>
        <w:t>”, “</w:t>
      </w:r>
      <w:r w:rsidR="00120DAE" w:rsidRPr="00120DAE">
        <w:rPr>
          <w:b w:val="0"/>
          <w:bCs w:val="0"/>
        </w:rPr>
        <w:t>male_ci_u</w:t>
      </w:r>
      <w:r w:rsidR="00585B1B">
        <w:rPr>
          <w:b w:val="0"/>
          <w:bCs w:val="0"/>
        </w:rPr>
        <w:t>”, “</w:t>
      </w:r>
      <w:r w:rsidR="00120DAE" w:rsidRPr="00120DAE">
        <w:rPr>
          <w:b w:val="0"/>
          <w:bCs w:val="0"/>
        </w:rPr>
        <w:t>female_prev</w:t>
      </w:r>
      <w:r w:rsidR="00585B1B">
        <w:rPr>
          <w:b w:val="0"/>
          <w:bCs w:val="0"/>
        </w:rPr>
        <w:t>”, “</w:t>
      </w:r>
      <w:r w:rsidR="00120DAE" w:rsidRPr="00120DAE">
        <w:rPr>
          <w:b w:val="0"/>
          <w:bCs w:val="0"/>
        </w:rPr>
        <w:t>female_ci_l</w:t>
      </w:r>
      <w:r w:rsidR="00585B1B">
        <w:rPr>
          <w:b w:val="0"/>
          <w:bCs w:val="0"/>
        </w:rPr>
        <w:t>”, “</w:t>
      </w:r>
      <w:r w:rsidR="00120DAE" w:rsidRPr="00120DAE">
        <w:rPr>
          <w:b w:val="0"/>
          <w:bCs w:val="0"/>
        </w:rPr>
        <w:t>female_ci_u</w:t>
      </w:r>
      <w:r w:rsidR="00585B1B">
        <w:rPr>
          <w:b w:val="0"/>
          <w:bCs w:val="0"/>
        </w:rPr>
        <w:t>”</w:t>
      </w:r>
      <w:r w:rsidR="00EB0F9B">
        <w:rPr>
          <w:b w:val="0"/>
          <w:bCs w:val="0"/>
        </w:rPr>
        <w:t>, “</w:t>
      </w:r>
      <w:r w:rsidR="00120DAE" w:rsidRPr="00120DAE">
        <w:rPr>
          <w:b w:val="0"/>
          <w:bCs w:val="0"/>
        </w:rPr>
        <w:t>white_prev</w:t>
      </w:r>
      <w:r w:rsidR="00EB0F9B">
        <w:rPr>
          <w:b w:val="0"/>
          <w:bCs w:val="0"/>
        </w:rPr>
        <w:t>”, “</w:t>
      </w:r>
      <w:r w:rsidR="00120DAE" w:rsidRPr="00120DAE">
        <w:rPr>
          <w:b w:val="0"/>
          <w:bCs w:val="0"/>
        </w:rPr>
        <w:t>white_ci_l</w:t>
      </w:r>
      <w:r w:rsidR="00EB0F9B">
        <w:rPr>
          <w:b w:val="0"/>
          <w:bCs w:val="0"/>
        </w:rPr>
        <w:t>”,</w:t>
      </w:r>
      <w:r w:rsidR="00120DAE" w:rsidRPr="00120DAE">
        <w:rPr>
          <w:b w:val="0"/>
          <w:bCs w:val="0"/>
        </w:rPr>
        <w:tab/>
      </w:r>
      <w:r w:rsidR="00EB0F9B">
        <w:rPr>
          <w:b w:val="0"/>
          <w:bCs w:val="0"/>
        </w:rPr>
        <w:t>“</w:t>
      </w:r>
      <w:r w:rsidR="00120DAE" w:rsidRPr="00120DAE">
        <w:rPr>
          <w:b w:val="0"/>
          <w:bCs w:val="0"/>
        </w:rPr>
        <w:t>white_ci_u</w:t>
      </w:r>
      <w:r w:rsidR="00EB0F9B">
        <w:rPr>
          <w:b w:val="0"/>
          <w:bCs w:val="0"/>
        </w:rPr>
        <w:t>”, “</w:t>
      </w:r>
      <w:r w:rsidR="00120DAE" w:rsidRPr="00120DAE">
        <w:rPr>
          <w:b w:val="0"/>
          <w:bCs w:val="0"/>
        </w:rPr>
        <w:t>black_prev</w:t>
      </w:r>
      <w:r w:rsidR="00EB0F9B">
        <w:rPr>
          <w:b w:val="0"/>
          <w:bCs w:val="0"/>
        </w:rPr>
        <w:t>”, “</w:t>
      </w:r>
      <w:r w:rsidR="00120DAE" w:rsidRPr="00120DAE">
        <w:rPr>
          <w:b w:val="0"/>
          <w:bCs w:val="0"/>
        </w:rPr>
        <w:t>black_ci_l</w:t>
      </w:r>
      <w:r w:rsidR="00EB0F9B">
        <w:rPr>
          <w:b w:val="0"/>
          <w:bCs w:val="0"/>
        </w:rPr>
        <w:t>”, “</w:t>
      </w:r>
      <w:r w:rsidR="00120DAE" w:rsidRPr="00120DAE">
        <w:rPr>
          <w:b w:val="0"/>
          <w:bCs w:val="0"/>
        </w:rPr>
        <w:t>black_ci_u</w:t>
      </w:r>
      <w:r w:rsidR="00EB0F9B">
        <w:rPr>
          <w:b w:val="0"/>
          <w:bCs w:val="0"/>
        </w:rPr>
        <w:t>”, “</w:t>
      </w:r>
      <w:r w:rsidR="00120DAE" w:rsidRPr="00120DAE">
        <w:rPr>
          <w:b w:val="0"/>
          <w:bCs w:val="0"/>
        </w:rPr>
        <w:t>hisp_prev</w:t>
      </w:r>
      <w:r w:rsidR="00EB0F9B">
        <w:rPr>
          <w:b w:val="0"/>
          <w:bCs w:val="0"/>
        </w:rPr>
        <w:t>”, “</w:t>
      </w:r>
      <w:r w:rsidR="00120DAE" w:rsidRPr="00120DAE">
        <w:rPr>
          <w:b w:val="0"/>
          <w:bCs w:val="0"/>
        </w:rPr>
        <w:t>hisp_ci_l</w:t>
      </w:r>
      <w:r w:rsidR="00EB0F9B">
        <w:rPr>
          <w:b w:val="0"/>
          <w:bCs w:val="0"/>
        </w:rPr>
        <w:t>”, “</w:t>
      </w:r>
      <w:r w:rsidR="00120DAE" w:rsidRPr="00120DAE">
        <w:rPr>
          <w:b w:val="0"/>
          <w:bCs w:val="0"/>
        </w:rPr>
        <w:t>hisp_ci_u</w:t>
      </w:r>
      <w:r w:rsidR="00EB0F9B">
        <w:rPr>
          <w:b w:val="0"/>
          <w:bCs w:val="0"/>
        </w:rPr>
        <w:t>”, “</w:t>
      </w:r>
      <w:r w:rsidR="00120DAE" w:rsidRPr="00120DAE">
        <w:rPr>
          <w:b w:val="0"/>
          <w:bCs w:val="0"/>
        </w:rPr>
        <w:t>api_prev</w:t>
      </w:r>
      <w:r w:rsidR="00EB0F9B">
        <w:rPr>
          <w:b w:val="0"/>
          <w:bCs w:val="0"/>
        </w:rPr>
        <w:t>”, “</w:t>
      </w:r>
      <w:r w:rsidR="00120DAE" w:rsidRPr="00120DAE">
        <w:rPr>
          <w:b w:val="0"/>
          <w:bCs w:val="0"/>
        </w:rPr>
        <w:t>api_ci_l</w:t>
      </w:r>
      <w:r w:rsidR="00EB0F9B">
        <w:rPr>
          <w:b w:val="0"/>
          <w:bCs w:val="0"/>
        </w:rPr>
        <w:t>”, “</w:t>
      </w:r>
      <w:r w:rsidR="00120DAE" w:rsidRPr="00120DAE">
        <w:rPr>
          <w:b w:val="0"/>
          <w:bCs w:val="0"/>
        </w:rPr>
        <w:t>api_ci_u</w:t>
      </w:r>
      <w:r w:rsidR="00EB0F9B">
        <w:rPr>
          <w:b w:val="0"/>
          <w:bCs w:val="0"/>
        </w:rPr>
        <w:t>”, “</w:t>
      </w:r>
      <w:r w:rsidR="00120DAE" w:rsidRPr="00120DAE">
        <w:rPr>
          <w:b w:val="0"/>
          <w:bCs w:val="0"/>
        </w:rPr>
        <w:t>aian_prev</w:t>
      </w:r>
      <w:r w:rsidR="00EB0F9B">
        <w:rPr>
          <w:b w:val="0"/>
          <w:bCs w:val="0"/>
        </w:rPr>
        <w:t>”, “</w:t>
      </w:r>
      <w:r w:rsidR="00120DAE" w:rsidRPr="00120DAE">
        <w:rPr>
          <w:b w:val="0"/>
          <w:bCs w:val="0"/>
        </w:rPr>
        <w:t>aian_ci_l</w:t>
      </w:r>
      <w:r w:rsidR="00EB0F9B">
        <w:rPr>
          <w:b w:val="0"/>
          <w:bCs w:val="0"/>
        </w:rPr>
        <w:t>”, “</w:t>
      </w:r>
      <w:r w:rsidR="00120DAE" w:rsidRPr="00120DAE">
        <w:rPr>
          <w:b w:val="0"/>
          <w:bCs w:val="0"/>
        </w:rPr>
        <w:t>aian_ci_u</w:t>
      </w:r>
      <w:r w:rsidR="00EB0F9B">
        <w:rPr>
          <w:b w:val="0"/>
          <w:bCs w:val="0"/>
        </w:rPr>
        <w:t>”, “</w:t>
      </w:r>
      <w:r w:rsidR="00120DAE" w:rsidRPr="00120DAE">
        <w:rPr>
          <w:b w:val="0"/>
          <w:bCs w:val="0"/>
        </w:rPr>
        <w:t>mult_prev</w:t>
      </w:r>
      <w:r w:rsidR="00EB0F9B">
        <w:rPr>
          <w:b w:val="0"/>
          <w:bCs w:val="0"/>
        </w:rPr>
        <w:t>”, “</w:t>
      </w:r>
      <w:r w:rsidR="00120DAE" w:rsidRPr="00120DAE">
        <w:rPr>
          <w:b w:val="0"/>
          <w:bCs w:val="0"/>
        </w:rPr>
        <w:t>mult_ci_l</w:t>
      </w:r>
      <w:r w:rsidR="00EB0F9B">
        <w:rPr>
          <w:b w:val="0"/>
          <w:bCs w:val="0"/>
        </w:rPr>
        <w:t>”, “</w:t>
      </w:r>
      <w:r w:rsidR="00120DAE" w:rsidRPr="00120DAE">
        <w:rPr>
          <w:b w:val="0"/>
          <w:bCs w:val="0"/>
        </w:rPr>
        <w:t>mult_ci_u</w:t>
      </w:r>
      <w:r w:rsidR="00EB0F9B">
        <w:rPr>
          <w:b w:val="0"/>
          <w:bCs w:val="0"/>
        </w:rPr>
        <w:t>”.</w:t>
      </w:r>
      <w:r w:rsidR="00E41F4E">
        <w:rPr>
          <w:b w:val="0"/>
          <w:bCs w:val="0"/>
        </w:rPr>
        <w:t xml:space="preserve"> Esta base se refere especificamente </w:t>
      </w:r>
      <w:r w:rsidR="005C588A">
        <w:rPr>
          <w:b w:val="0"/>
          <w:bCs w:val="0"/>
        </w:rPr>
        <w:t xml:space="preserve">à fonte “addmn”. Possui </w:t>
      </w:r>
      <w:r w:rsidR="00D613D2">
        <w:rPr>
          <w:b w:val="0"/>
          <w:bCs w:val="0"/>
        </w:rPr>
        <w:t>30kb e seu máximo de linhas é de 120.</w:t>
      </w:r>
      <w:r w:rsidR="00EB0F9B">
        <w:rPr>
          <w:b w:val="0"/>
          <w:bCs w:val="0"/>
        </w:rPr>
        <w:t xml:space="preserve"> </w:t>
      </w:r>
      <w:r>
        <w:rPr>
          <w:b w:val="0"/>
          <w:bCs w:val="0"/>
        </w:rPr>
        <w:t xml:space="preserve"> </w:t>
      </w:r>
      <w:r w:rsidR="007527D4">
        <w:rPr>
          <w:b w:val="0"/>
          <w:bCs w:val="0"/>
        </w:rPr>
        <w:t xml:space="preserve"> </w:t>
      </w:r>
      <w:r w:rsidR="00BA6A9A">
        <w:rPr>
          <w:b w:val="0"/>
          <w:bCs w:val="0"/>
        </w:rPr>
        <w:t xml:space="preserve"> </w:t>
      </w:r>
      <w:r w:rsidR="007F7825">
        <w:rPr>
          <w:b w:val="0"/>
          <w:bCs w:val="0"/>
        </w:rPr>
        <w:t xml:space="preserve"> </w:t>
      </w:r>
      <w:r w:rsidR="00C82F8E">
        <w:rPr>
          <w:b w:val="0"/>
          <w:bCs w:val="0"/>
          <w:color w:val="0D0D0D"/>
        </w:rPr>
        <w:t xml:space="preserve"> </w:t>
      </w:r>
    </w:p>
    <w:p w14:paraId="594C5FCE" w14:textId="70CFC57B" w:rsidR="009576F8" w:rsidRPr="00C03EA6" w:rsidRDefault="001D613E" w:rsidP="004C11B4">
      <w:pPr>
        <w:pStyle w:val="Ttulo1"/>
        <w:spacing w:beforeLines="30" w:before="72" w:afterLines="30" w:after="72" w:line="360" w:lineRule="auto"/>
        <w:ind w:firstLine="603"/>
        <w:jc w:val="both"/>
        <w:rPr>
          <w:b w:val="0"/>
          <w:bCs w:val="0"/>
        </w:rPr>
      </w:pPr>
      <w:r>
        <w:rPr>
          <w:b w:val="0"/>
          <w:bCs w:val="0"/>
        </w:rPr>
        <w:t xml:space="preserve">c) Visualização gráfica: </w:t>
      </w:r>
      <w:r w:rsidR="0065532F">
        <w:rPr>
          <w:b w:val="0"/>
          <w:bCs w:val="0"/>
        </w:rPr>
        <w:t xml:space="preserve">Os gráficos utilizados </w:t>
      </w:r>
      <w:r w:rsidR="009507F7">
        <w:rPr>
          <w:b w:val="0"/>
          <w:bCs w:val="0"/>
        </w:rPr>
        <w:t>para a análise exploratória foram</w:t>
      </w:r>
      <w:r w:rsidR="00252A34">
        <w:rPr>
          <w:b w:val="0"/>
          <w:bCs w:val="0"/>
        </w:rPr>
        <w:t xml:space="preserve">: </w:t>
      </w:r>
      <w:r w:rsidR="00BF28E7">
        <w:rPr>
          <w:b w:val="0"/>
          <w:bCs w:val="0"/>
        </w:rPr>
        <w:t xml:space="preserve">Gráfico de Boxplot com as médias de Prevalência por estado americano; </w:t>
      </w:r>
      <w:r w:rsidR="00252A34">
        <w:rPr>
          <w:b w:val="0"/>
          <w:bCs w:val="0"/>
        </w:rPr>
        <w:t>Gráfico de linhas para expressar a relação Raça e Prevalência</w:t>
      </w:r>
      <w:r w:rsidR="00DC7BD0">
        <w:rPr>
          <w:b w:val="0"/>
          <w:bCs w:val="0"/>
        </w:rPr>
        <w:t xml:space="preserve">; Gráfico de barras </w:t>
      </w:r>
      <w:r w:rsidR="00A234C7">
        <w:rPr>
          <w:b w:val="0"/>
          <w:bCs w:val="0"/>
        </w:rPr>
        <w:t>100% empilhadas para expressar a relação Gênero e Prevalência;</w:t>
      </w:r>
      <w:r w:rsidR="00D95C70">
        <w:rPr>
          <w:b w:val="0"/>
          <w:bCs w:val="0"/>
        </w:rPr>
        <w:t xml:space="preserve"> </w:t>
      </w:r>
      <w:r w:rsidR="00BB495E">
        <w:rPr>
          <w:b w:val="0"/>
          <w:bCs w:val="0"/>
        </w:rPr>
        <w:t xml:space="preserve">Mapa coroplético para expressar a relação de </w:t>
      </w:r>
      <w:r w:rsidR="008D1C31">
        <w:rPr>
          <w:b w:val="0"/>
          <w:bCs w:val="0"/>
        </w:rPr>
        <w:t>Prevalência geral por Estado americano</w:t>
      </w:r>
      <w:r w:rsidR="00CF6026">
        <w:rPr>
          <w:b w:val="0"/>
          <w:bCs w:val="0"/>
        </w:rPr>
        <w:t xml:space="preserve"> e Gráfico de Intervalo de Confiança para expressar os valores estimados de prevalência no país</w:t>
      </w:r>
      <w:r w:rsidR="008D1C31">
        <w:rPr>
          <w:b w:val="0"/>
          <w:bCs w:val="0"/>
        </w:rPr>
        <w:t xml:space="preserve">. </w:t>
      </w:r>
    </w:p>
    <w:p w14:paraId="592F065B" w14:textId="1B4B7A42" w:rsidR="00136720" w:rsidRPr="00B87FE6" w:rsidRDefault="00131232" w:rsidP="002C6ED5">
      <w:pPr>
        <w:pStyle w:val="Ttulo1"/>
        <w:spacing w:beforeLines="30" w:before="72" w:afterLines="30" w:after="72" w:line="360" w:lineRule="auto"/>
        <w:ind w:hanging="117"/>
        <w:jc w:val="both"/>
      </w:pPr>
      <w:r w:rsidRPr="00B87FE6">
        <w:t>3.2</w:t>
      </w:r>
      <w:r w:rsidR="00B87FE6" w:rsidRPr="00B87FE6">
        <w:t xml:space="preserve"> Análise Exploratória dos Dados</w:t>
      </w:r>
    </w:p>
    <w:p w14:paraId="1350E2A7" w14:textId="6B3F40AB" w:rsidR="00B00294" w:rsidRPr="00915296" w:rsidRDefault="00424626" w:rsidP="002C6ED5">
      <w:pPr>
        <w:pStyle w:val="Ttulo1"/>
        <w:spacing w:beforeLines="30" w:before="72" w:afterLines="30" w:after="72" w:line="360" w:lineRule="auto"/>
        <w:ind w:hanging="117"/>
        <w:jc w:val="both"/>
      </w:pPr>
      <w:r>
        <w:t>3.2.1 Métodos Wilson e Prevalência</w:t>
      </w:r>
    </w:p>
    <w:p w14:paraId="3DBA88D5" w14:textId="77777777" w:rsidR="00437F84" w:rsidRDefault="004E2D04" w:rsidP="004C11B4">
      <w:pPr>
        <w:pStyle w:val="Corpodetexto"/>
        <w:spacing w:beforeLines="30" w:before="72" w:afterLines="30" w:after="72" w:line="360" w:lineRule="auto"/>
        <w:ind w:firstLine="720"/>
        <w:jc w:val="both"/>
        <w:rPr>
          <w:rFonts w:ascii="Arial" w:eastAsia="Arial" w:hAnsi="Arial" w:cs="Arial"/>
        </w:rPr>
      </w:pPr>
      <w:r w:rsidRPr="00915296">
        <w:rPr>
          <w:rFonts w:ascii="Arial" w:eastAsia="Arial" w:hAnsi="Arial" w:cs="Arial"/>
        </w:rPr>
        <w:t>O estudo original do CDC se baseia em dados estimados e amostrais projetados em cima dos valores totais de uma população. Seu principal indicador, Prevalence (Prevalência), é calculado com base no método de intervalo de confiança, uma ferramenta da estatística indutiva que fornece uma faixa de valores dentro da qual se espera que um parâmetro populacional, como média ou proporção, esteja com uma determinada probabilidade. Em outras palavras, é uma estimativa que considera a incerteza associada a uma estimativa pontual.</w:t>
      </w:r>
      <w:r w:rsidR="00A43901">
        <w:rPr>
          <w:rFonts w:ascii="Arial" w:eastAsia="Arial" w:hAnsi="Arial" w:cs="Arial"/>
        </w:rPr>
        <w:t xml:space="preserve"> Ela é c</w:t>
      </w:r>
      <w:r w:rsidR="0060443C">
        <w:rPr>
          <w:rFonts w:ascii="Arial" w:eastAsia="Arial" w:hAnsi="Arial" w:cs="Arial"/>
        </w:rPr>
        <w:t xml:space="preserve">alculada como o </w:t>
      </w:r>
      <w:r w:rsidR="00BE3DA3">
        <w:rPr>
          <w:rFonts w:ascii="Arial" w:eastAsia="Arial" w:hAnsi="Arial" w:cs="Arial"/>
        </w:rPr>
        <w:t>o</w:t>
      </w:r>
      <w:r w:rsidR="0060443C">
        <w:rPr>
          <w:rFonts w:ascii="Arial" w:eastAsia="Arial" w:hAnsi="Arial" w:cs="Arial"/>
        </w:rPr>
        <w:t xml:space="preserve"> quociente de </w:t>
      </w:r>
      <w:r w:rsidR="00985F36">
        <w:rPr>
          <w:rFonts w:ascii="Arial" w:eastAsia="Arial" w:hAnsi="Arial" w:cs="Arial"/>
        </w:rPr>
        <w:t>diagnósticos sob a população geral multiplicado por mil. Quando obtemos o valor médio de Prevalência de 2</w:t>
      </w:r>
      <w:r w:rsidR="00F4430C">
        <w:rPr>
          <w:rFonts w:ascii="Arial" w:eastAsia="Arial" w:hAnsi="Arial" w:cs="Arial"/>
        </w:rPr>
        <w:t>7,</w:t>
      </w:r>
      <w:r w:rsidR="007C5740">
        <w:rPr>
          <w:rFonts w:ascii="Arial" w:eastAsia="Arial" w:hAnsi="Arial" w:cs="Arial"/>
        </w:rPr>
        <w:t>6</w:t>
      </w:r>
      <w:r w:rsidR="00636B81">
        <w:rPr>
          <w:rFonts w:ascii="Arial" w:eastAsia="Arial" w:hAnsi="Arial" w:cs="Arial"/>
        </w:rPr>
        <w:t>%, por exemplo, dizemos que a cada 36 crianças, aproximadamente, uma é diagnosticada com TEA.</w:t>
      </w:r>
    </w:p>
    <w:p w14:paraId="39A2A1EE" w14:textId="6E9DD137" w:rsidR="004E2D04" w:rsidRPr="004E2D04" w:rsidRDefault="00636B81" w:rsidP="00A25211">
      <w:pPr>
        <w:pStyle w:val="Corpodetexto"/>
        <w:spacing w:beforeLines="30" w:before="72" w:afterLines="30" w:after="72" w:line="360" w:lineRule="auto"/>
        <w:jc w:val="both"/>
        <w:rPr>
          <w:rFonts w:ascii="Arial" w:eastAsia="Arial" w:hAnsi="Arial" w:cs="Arial"/>
        </w:rPr>
      </w:pPr>
      <w:r>
        <w:rPr>
          <w:rFonts w:ascii="Arial" w:eastAsia="Arial" w:hAnsi="Arial" w:cs="Arial"/>
        </w:rPr>
        <w:t xml:space="preserve"> </w:t>
      </w:r>
      <w:r w:rsidR="002E021A">
        <w:rPr>
          <w:rFonts w:ascii="Arial" w:eastAsia="Arial" w:hAnsi="Arial" w:cs="Arial"/>
        </w:rPr>
        <w:t>(1000</w:t>
      </w:r>
      <w:r w:rsidR="00A25211">
        <w:rPr>
          <w:rFonts w:ascii="Arial" w:eastAsia="Arial" w:hAnsi="Arial" w:cs="Arial"/>
        </w:rPr>
        <w:t xml:space="preserve"> </w:t>
      </w:r>
      <w:r w:rsidR="002E021A" w:rsidRPr="00915296">
        <w:rPr>
          <w:rFonts w:ascii="Arial" w:eastAsia="Arial" w:hAnsi="Arial" w:cs="Arial"/>
        </w:rPr>
        <w:t>*</w:t>
      </w:r>
      <w:r w:rsidR="00A25211">
        <w:rPr>
          <w:rFonts w:ascii="Arial" w:eastAsia="Arial" w:hAnsi="Arial" w:cs="Arial"/>
        </w:rPr>
        <w:t xml:space="preserve"> </w:t>
      </w:r>
      <w:r w:rsidR="002E021A" w:rsidRPr="00915296">
        <w:rPr>
          <w:rFonts w:ascii="Arial" w:eastAsia="Arial" w:hAnsi="Arial" w:cs="Arial"/>
        </w:rPr>
        <w:t>(</w:t>
      </w:r>
      <w:r w:rsidR="002E021A">
        <w:rPr>
          <w:rFonts w:ascii="Arial" w:eastAsia="Arial" w:hAnsi="Arial" w:cs="Arial"/>
        </w:rPr>
        <w:t>Pacientes/População</w:t>
      </w:r>
      <w:r w:rsidR="00A25211" w:rsidRPr="00915296">
        <w:rPr>
          <w:rFonts w:ascii="Arial" w:eastAsia="Arial" w:hAnsi="Arial" w:cs="Arial"/>
        </w:rPr>
        <w:t>) =</w:t>
      </w:r>
      <w:r w:rsidR="00A25211">
        <w:rPr>
          <w:rFonts w:ascii="Arial" w:eastAsia="Arial" w:hAnsi="Arial" w:cs="Arial"/>
        </w:rPr>
        <w:t xml:space="preserve"> </w:t>
      </w:r>
      <w:r w:rsidR="00F45155">
        <w:rPr>
          <w:rFonts w:ascii="Arial" w:eastAsia="Arial" w:hAnsi="Arial" w:cs="Arial"/>
        </w:rPr>
        <w:t>Prevalência</w:t>
      </w:r>
      <w:r w:rsidR="002E021A">
        <w:rPr>
          <w:rFonts w:ascii="Arial" w:eastAsia="Arial" w:hAnsi="Arial" w:cs="Arial"/>
        </w:rPr>
        <w:t>).</w:t>
      </w:r>
      <w:r w:rsidR="00340B65">
        <w:rPr>
          <w:rFonts w:ascii="Arial" w:eastAsia="Arial" w:hAnsi="Arial" w:cs="Arial"/>
        </w:rPr>
        <w:t xml:space="preserve"> </w:t>
      </w:r>
      <w:r>
        <w:rPr>
          <w:rFonts w:ascii="Arial" w:eastAsia="Arial" w:hAnsi="Arial" w:cs="Arial"/>
        </w:rPr>
        <w:t xml:space="preserve"> </w:t>
      </w:r>
    </w:p>
    <w:p w14:paraId="1C993E48" w14:textId="007C6C0A" w:rsidR="004E2D04" w:rsidRPr="004E2D04" w:rsidRDefault="004E2D04" w:rsidP="004C11B4">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 xml:space="preserve">No estudo do CDC, optou-se pelo método de Wilson para calcular os intervalos </w:t>
      </w:r>
      <w:r w:rsidRPr="004E2D04">
        <w:rPr>
          <w:rFonts w:ascii="Arial" w:eastAsia="Arial" w:hAnsi="Arial" w:cs="Arial"/>
        </w:rPr>
        <w:lastRenderedPageBreak/>
        <w:t>de confiança. Essa escolha metodológica é justificada no relatório original por conter uma abordagem que lida melhor com amostras reduzidas em relação a maiores populações. Para conhecimento, há duas formulações matemáticas populares nos cálculos de intervalo de confiança, o método de Wilson e o método de Clopper-Pearson. O método de Wilson é particularmente útil em amostras pequenas, ao fornecer intervalos de confiança mais precisos em comparação com o método de Clopper-Pearson, pois incorpora um termo de correção de continuidade de Yates quando lida com proporções extremas, próximas de 0% ou 100%. Parte-se da suposição de que a taxa de prevalência de crianças com diagnosticado TEA é uma proporção extrema próxima a zero.</w:t>
      </w:r>
    </w:p>
    <w:p w14:paraId="49C03F19" w14:textId="7961C8DC" w:rsidR="004E2D04" w:rsidRPr="004E2D04" w:rsidRDefault="004E2D04" w:rsidP="004C11B4">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Para entendermos a escolha metodológica contida no relatório original, precisamos compreender a diferença entre abordagens sobre distribuições. No caso, há dois tipos em jogo: a distribuição normal, também conhecida como distribuição gaussiana, é uma distribuição contínua e simétrica em torno de sua média, caracterizada por sua curva em forma de sino, em que a maioria dos valores está concentrada perto da média. A probabilidade de valores distantes da média diminui à medida que se afastam. É um método de distribuição utilizado para modelar fenômenos naturais devido à sua simplicidade e resultados exatos, sem correção. Já a distribuição binomial é uma distribuição discreta que descreve o número de sucessos em um determinado número de ensaios independentes, em que cada ensaio apresenta apenas dois resultados possíveis (sucesso ou fracasso). É caracterizado por uma função de massa de probabilidade que especifica a chance de obter um número específico de sucessos em um número fixo de ensaios, dados uma probabilidade de sucesso em cada ensaio.</w:t>
      </w:r>
    </w:p>
    <w:p w14:paraId="4038A784" w14:textId="17B0ECBA" w:rsidR="004E2D04" w:rsidRPr="004E2D04" w:rsidRDefault="004E2D04" w:rsidP="005D1093">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Quando a proporção de sucesso em um experimento binomial é muito pequena ou muito grande, a distribuição binomial se torna assimétrica e discreta, o que pode levar a intervalos de confiança imprecisos se não forem tomadas medidas corretivas.</w:t>
      </w:r>
    </w:p>
    <w:p w14:paraId="587F4BE4" w14:textId="53A4E5BF" w:rsidR="004E2D04" w:rsidRPr="004E2D04" w:rsidRDefault="004E2D04" w:rsidP="005D1093">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 xml:space="preserve">A escolha do método de Wilson, juntamente com o ajuste de continuidade de Yates, no estudo do Transtorno do Espectro Autista (TEA) no contexto do CDC, é justificada por diversas razões fundamentais. Primeiramente, a natureza do diagnóstico do TEA é intrinsecamente complexa e delicada. O DSM-5-TR, referência essencial nesse campo, adota critérios que reconhecem a presença parcial de sintomas </w:t>
      </w:r>
      <w:r w:rsidR="001A52C7">
        <w:rPr>
          <w:rFonts w:ascii="Arial" w:eastAsia="Arial" w:hAnsi="Arial" w:cs="Arial"/>
        </w:rPr>
        <w:t>psico</w:t>
      </w:r>
      <w:r w:rsidRPr="004E2D04">
        <w:rPr>
          <w:rFonts w:ascii="Arial" w:eastAsia="Arial" w:hAnsi="Arial" w:cs="Arial"/>
        </w:rPr>
        <w:t xml:space="preserve">motores e sociais, os quais devem ser combinados com a manifestação </w:t>
      </w:r>
      <w:r w:rsidRPr="004E2D04">
        <w:rPr>
          <w:rFonts w:ascii="Arial" w:eastAsia="Arial" w:hAnsi="Arial" w:cs="Arial"/>
        </w:rPr>
        <w:lastRenderedPageBreak/>
        <w:t>total de sintomas na comunicação do indivíduo. Essa abordagem enfatiza a necessidade de uma metodologia estatística robusta e flexível para capturar nuances sutis no diagnóstico, o que o método de Wilson e o ajuste de continuidade de Yates oferecem.</w:t>
      </w:r>
    </w:p>
    <w:p w14:paraId="2C659122" w14:textId="45980736" w:rsidR="004E2D04" w:rsidRPr="004E2D04" w:rsidRDefault="004E2D04" w:rsidP="005D1093">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Além disso, é crucial considerar a natureza dos dados empregados na análise, especialmente quando se trata da base de dados addmn. Esta base é uma agregação de conjuntos de dados distintos, consolidando informações amostrais de diversas fontes. Tal diversidade introduz complexidades adicionais, como variações nas características das amostras e potenciais viéses. Nesse contexto, o método de Wilson se destaca por sua capacidade de ajustar os intervalos de confiança levando em consideração a distribuição binomial dos dados, o que o torna particularmente adequado para lidar com conjuntos de dados heterogêneos e complexos como o addmn.</w:t>
      </w:r>
    </w:p>
    <w:p w14:paraId="1FC9FE10" w14:textId="7CE93CCF" w:rsidR="004E2D04" w:rsidRPr="004E2D04" w:rsidRDefault="004E2D04" w:rsidP="005D1093">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 xml:space="preserve">Ademais, a incorporação do ajuste de continuidade de Yates complementa essa abordagem, aprimorando ainda mais a precisão dos resultados, especialmente em situações extremas. A correção de continuidade de Yates visa mitigar os efeitos de discrepâncias entre a distribuição binomial e a distribuição normal, que podem ocorrer em amostras pequenas ou em situações de proporções extremas. Em contraste, o método de Clopper-Pearson, embora amplamente utilizado, tende a produzir intervalos de confiança mais conservadores, o que pode limitar a sensibilidade da análise, especialmente em casos de proporções </w:t>
      </w:r>
      <w:r w:rsidR="0031458A">
        <w:rPr>
          <w:rFonts w:ascii="Arial" w:eastAsia="Arial" w:hAnsi="Arial" w:cs="Arial"/>
        </w:rPr>
        <w:t xml:space="preserve">próximas a </w:t>
      </w:r>
      <w:r w:rsidR="00565A81">
        <w:rPr>
          <w:rFonts w:ascii="Arial" w:eastAsia="Arial" w:hAnsi="Arial" w:cs="Arial"/>
        </w:rPr>
        <w:t>zero.</w:t>
      </w:r>
    </w:p>
    <w:p w14:paraId="4523AE62" w14:textId="0CCAAAC9" w:rsidR="000F3DBF" w:rsidRDefault="004E2D04" w:rsidP="005D1093">
      <w:pPr>
        <w:pStyle w:val="Corpodetexto"/>
        <w:spacing w:beforeLines="30" w:before="72" w:afterLines="30" w:after="72" w:line="360" w:lineRule="auto"/>
        <w:ind w:firstLine="720"/>
        <w:jc w:val="both"/>
        <w:rPr>
          <w:rFonts w:ascii="Arial" w:eastAsia="Arial" w:hAnsi="Arial" w:cs="Arial"/>
        </w:rPr>
      </w:pPr>
      <w:r w:rsidRPr="004E2D04">
        <w:rPr>
          <w:rFonts w:ascii="Arial" w:eastAsia="Arial" w:hAnsi="Arial" w:cs="Arial"/>
        </w:rPr>
        <w:t>Portanto, ao adotar o método de Wilson e o ajuste de continuidade de Yates, os pesquisadores podem aprimorar a precisão e a sensibilidade das análises estatísticas, garantindo uma abordagem mais confiável e abrangente na investigação do TEA no contexto do CDC. Essa escolha metodológica é fundamentada na necessidade de lidar com a complexidade do diagnóstico e a heterogeneidade dos dados, ao mesmo tempo em que assegura resultados estatisticamente significativos</w:t>
      </w:r>
      <w:r w:rsidR="00F45155">
        <w:rPr>
          <w:rFonts w:ascii="Arial" w:eastAsia="Arial" w:hAnsi="Arial" w:cs="Arial"/>
        </w:rPr>
        <w:t>.</w:t>
      </w:r>
    </w:p>
    <w:p w14:paraId="33F7FB95" w14:textId="77777777" w:rsidR="008B7D4C" w:rsidRDefault="008B7D4C" w:rsidP="00F45155">
      <w:pPr>
        <w:pStyle w:val="Corpodetexto"/>
        <w:spacing w:beforeLines="30" w:before="72" w:afterLines="30" w:after="72" w:line="360" w:lineRule="auto"/>
        <w:jc w:val="both"/>
        <w:rPr>
          <w:rFonts w:ascii="Arial" w:eastAsia="Arial" w:hAnsi="Arial" w:cs="Arial"/>
        </w:rPr>
      </w:pPr>
    </w:p>
    <w:p w14:paraId="6AF77605" w14:textId="38775F01" w:rsidR="008B7D4C" w:rsidRPr="008B7D4C" w:rsidRDefault="008B7D4C" w:rsidP="00323203">
      <w:pPr>
        <w:pStyle w:val="Corpodetexto"/>
        <w:spacing w:beforeLines="30" w:before="72" w:afterLines="30" w:after="72" w:line="360" w:lineRule="auto"/>
        <w:jc w:val="both"/>
        <w:rPr>
          <w:rFonts w:ascii="Arial" w:eastAsia="Arial" w:hAnsi="Arial" w:cs="Arial"/>
          <w:b/>
          <w:bCs/>
        </w:rPr>
      </w:pPr>
      <w:r w:rsidRPr="008B7D4C">
        <w:rPr>
          <w:rFonts w:ascii="Arial" w:eastAsia="Arial" w:hAnsi="Arial" w:cs="Arial"/>
          <w:b/>
          <w:bCs/>
        </w:rPr>
        <w:t>3.2.2 Resultados gerais do CDC</w:t>
      </w:r>
    </w:p>
    <w:p w14:paraId="1FC92A71" w14:textId="302F0CE3" w:rsidR="005B64E3" w:rsidRDefault="001B326F" w:rsidP="005D1093">
      <w:pPr>
        <w:pStyle w:val="Corpodetexto"/>
        <w:spacing w:beforeLines="30" w:before="72" w:afterLines="30" w:after="72" w:line="360" w:lineRule="auto"/>
        <w:ind w:firstLine="720"/>
        <w:jc w:val="both"/>
        <w:rPr>
          <w:rFonts w:ascii="Arial" w:eastAsia="Arial" w:hAnsi="Arial" w:cs="Arial"/>
        </w:rPr>
      </w:pPr>
      <w:r>
        <w:rPr>
          <w:rFonts w:ascii="Arial" w:eastAsia="Arial" w:hAnsi="Arial" w:cs="Arial"/>
        </w:rPr>
        <w:t>Os resultados do relatório divulgado pelo CDC indicam que a</w:t>
      </w:r>
      <w:r w:rsidRPr="001B326F">
        <w:rPr>
          <w:rFonts w:ascii="Arial" w:eastAsia="Arial" w:hAnsi="Arial" w:cs="Arial"/>
        </w:rPr>
        <w:t xml:space="preserve"> prevalência geral do TEA por 1.000 crianças com 8 anos de idade foi de 27,6 (um em 36) e </w:t>
      </w:r>
      <w:r>
        <w:rPr>
          <w:rFonts w:ascii="Arial" w:eastAsia="Arial" w:hAnsi="Arial" w:cs="Arial"/>
        </w:rPr>
        <w:t xml:space="preserve">teve </w:t>
      </w:r>
      <w:r w:rsidR="005B64E3">
        <w:rPr>
          <w:rFonts w:ascii="Arial" w:eastAsia="Arial" w:hAnsi="Arial" w:cs="Arial"/>
        </w:rPr>
        <w:t>máximo e mínimo</w:t>
      </w:r>
      <w:r w:rsidR="00D61698">
        <w:rPr>
          <w:rFonts w:ascii="Arial" w:eastAsia="Arial" w:hAnsi="Arial" w:cs="Arial"/>
        </w:rPr>
        <w:t xml:space="preserve"> </w:t>
      </w:r>
      <w:r w:rsidRPr="001B326F">
        <w:rPr>
          <w:rFonts w:ascii="Arial" w:eastAsia="Arial" w:hAnsi="Arial" w:cs="Arial"/>
        </w:rPr>
        <w:t>de 23,1 em Maryland a 44,9 na Califórnia</w:t>
      </w:r>
      <w:r w:rsidR="005B64E3">
        <w:rPr>
          <w:rFonts w:ascii="Arial" w:eastAsia="Arial" w:hAnsi="Arial" w:cs="Arial"/>
        </w:rPr>
        <w:t xml:space="preserve">, </w:t>
      </w:r>
      <w:r w:rsidR="00A25211" w:rsidRPr="00915296">
        <w:rPr>
          <w:rFonts w:ascii="Arial" w:eastAsia="Arial" w:hAnsi="Arial" w:cs="Arial"/>
        </w:rPr>
        <w:t>respetivamente</w:t>
      </w:r>
      <w:r w:rsidRPr="00915296">
        <w:rPr>
          <w:rFonts w:ascii="Arial" w:eastAsia="Arial" w:hAnsi="Arial" w:cs="Arial"/>
        </w:rPr>
        <w:t>.</w:t>
      </w:r>
      <w:r w:rsidR="005B64E3">
        <w:rPr>
          <w:rFonts w:ascii="Arial" w:eastAsia="Arial" w:hAnsi="Arial" w:cs="Arial"/>
        </w:rPr>
        <w:t xml:space="preserve"> Quando dividimos o conjunto por gênero</w:t>
      </w:r>
      <w:r w:rsidR="00332FED">
        <w:rPr>
          <w:rFonts w:ascii="Arial" w:eastAsia="Arial" w:hAnsi="Arial" w:cs="Arial"/>
        </w:rPr>
        <w:t xml:space="preserve">, os resultados evidenciaram </w:t>
      </w:r>
      <w:r w:rsidRPr="001B326F">
        <w:rPr>
          <w:rFonts w:ascii="Arial" w:eastAsia="Arial" w:hAnsi="Arial" w:cs="Arial"/>
        </w:rPr>
        <w:t xml:space="preserve">uma prevalência geral </w:t>
      </w:r>
      <w:r w:rsidRPr="001B326F">
        <w:rPr>
          <w:rFonts w:ascii="Arial" w:eastAsia="Arial" w:hAnsi="Arial" w:cs="Arial"/>
        </w:rPr>
        <w:lastRenderedPageBreak/>
        <w:t xml:space="preserve">de TEA de 43,0 entre meninos e 11,4 entre meninas. </w:t>
      </w:r>
    </w:p>
    <w:p w14:paraId="510D67C6" w14:textId="337F8CDB" w:rsidR="001B326F" w:rsidRDefault="001B326F" w:rsidP="001B326F">
      <w:pPr>
        <w:pStyle w:val="Corpodetexto"/>
        <w:spacing w:beforeLines="30" w:before="72" w:afterLines="30" w:after="72" w:line="360" w:lineRule="auto"/>
        <w:jc w:val="both"/>
        <w:rPr>
          <w:rFonts w:ascii="Arial" w:eastAsia="Arial" w:hAnsi="Arial" w:cs="Arial"/>
        </w:rPr>
      </w:pPr>
      <w:r w:rsidRPr="001B326F">
        <w:rPr>
          <w:rFonts w:ascii="Arial" w:eastAsia="Arial" w:hAnsi="Arial" w:cs="Arial"/>
        </w:rPr>
        <w:t>Em geral, a prevalência de TEA por 1.000 crianças com 8 anos de idade diferiu por grupos raciais e étnicos</w:t>
      </w:r>
      <w:r w:rsidR="00066255">
        <w:rPr>
          <w:rFonts w:ascii="Arial" w:eastAsia="Arial" w:hAnsi="Arial" w:cs="Arial"/>
        </w:rPr>
        <w:t>.</w:t>
      </w:r>
      <w:r w:rsidRPr="001B326F">
        <w:rPr>
          <w:rFonts w:ascii="Arial" w:eastAsia="Arial" w:hAnsi="Arial" w:cs="Arial"/>
        </w:rPr>
        <w:t xml:space="preserve"> </w:t>
      </w:r>
      <w:r w:rsidR="00066255">
        <w:rPr>
          <w:rFonts w:ascii="Arial" w:eastAsia="Arial" w:hAnsi="Arial" w:cs="Arial"/>
        </w:rPr>
        <w:t>A</w:t>
      </w:r>
      <w:r w:rsidRPr="001B326F">
        <w:rPr>
          <w:rFonts w:ascii="Arial" w:eastAsia="Arial" w:hAnsi="Arial" w:cs="Arial"/>
        </w:rPr>
        <w:t xml:space="preserve"> prevalência entre crianças brancas (24,3) foi menor do que a prevalência entre crianças negras, hispânicas ou </w:t>
      </w:r>
      <w:r w:rsidR="005B64E3">
        <w:rPr>
          <w:rFonts w:ascii="Arial" w:eastAsia="Arial" w:hAnsi="Arial" w:cs="Arial"/>
        </w:rPr>
        <w:t>Asiáticas</w:t>
      </w:r>
      <w:r w:rsidRPr="001B326F">
        <w:rPr>
          <w:rFonts w:ascii="Arial" w:eastAsia="Arial" w:hAnsi="Arial" w:cs="Arial"/>
        </w:rPr>
        <w:t xml:space="preserve"> (29,3, 31,6 e 33,4, </w:t>
      </w:r>
      <w:r w:rsidR="00A25211" w:rsidRPr="00915296">
        <w:rPr>
          <w:rFonts w:ascii="Arial" w:eastAsia="Arial" w:hAnsi="Arial" w:cs="Arial"/>
        </w:rPr>
        <w:t>respetivamente</w:t>
      </w:r>
      <w:r w:rsidRPr="00915296">
        <w:rPr>
          <w:rFonts w:ascii="Arial" w:eastAsia="Arial" w:hAnsi="Arial" w:cs="Arial"/>
        </w:rPr>
        <w:t>).</w:t>
      </w:r>
      <w:r w:rsidRPr="001B326F">
        <w:rPr>
          <w:rFonts w:ascii="Arial" w:eastAsia="Arial" w:hAnsi="Arial" w:cs="Arial"/>
        </w:rPr>
        <w:t xml:space="preserve"> Missouri foi o único local em que crianças brancas tiveram uma prevalência de TEA mais alta do que outro grupo racial ou étnico (brancos em comparação com duas ou mais raças).</w:t>
      </w:r>
    </w:p>
    <w:p w14:paraId="7C56CA87" w14:textId="7175FCD7" w:rsidR="00A06EF7" w:rsidRDefault="00D472A0" w:rsidP="004C11B4">
      <w:pPr>
        <w:pStyle w:val="Corpodetexto"/>
        <w:spacing w:beforeLines="30" w:before="72" w:afterLines="30" w:after="72" w:line="360" w:lineRule="auto"/>
        <w:ind w:firstLine="720"/>
        <w:jc w:val="both"/>
        <w:rPr>
          <w:rFonts w:ascii="Arial" w:eastAsia="Arial" w:hAnsi="Arial" w:cs="Arial"/>
        </w:rPr>
      </w:pPr>
      <w:r>
        <w:rPr>
          <w:rFonts w:ascii="Arial" w:eastAsia="Arial" w:hAnsi="Arial" w:cs="Arial"/>
        </w:rPr>
        <w:t>O CDC também cruzou seus dados de diagnóstico TEA com dados de renda per capita e renda média obtidas a partir do censo americano</w:t>
      </w:r>
      <w:r w:rsidR="00A06EF7">
        <w:rPr>
          <w:rFonts w:ascii="Arial" w:eastAsia="Arial" w:hAnsi="Arial" w:cs="Arial"/>
        </w:rPr>
        <w:t>,</w:t>
      </w:r>
      <w:r>
        <w:rPr>
          <w:rFonts w:ascii="Arial" w:eastAsia="Arial" w:hAnsi="Arial" w:cs="Arial"/>
        </w:rPr>
        <w:t xml:space="preserve"> que não foram incluídas nos </w:t>
      </w:r>
      <w:r w:rsidR="00617424" w:rsidRPr="00915296">
        <w:rPr>
          <w:rFonts w:ascii="Arial" w:eastAsia="Arial" w:hAnsi="Arial" w:cs="Arial"/>
        </w:rPr>
        <w:t>datastes</w:t>
      </w:r>
      <w:r>
        <w:rPr>
          <w:rFonts w:ascii="Arial" w:eastAsia="Arial" w:hAnsi="Arial" w:cs="Arial"/>
        </w:rPr>
        <w:t xml:space="preserve"> originais, portanto não são verificáveis. No entanto, </w:t>
      </w:r>
      <w:r w:rsidR="00A83A2B">
        <w:rPr>
          <w:rFonts w:ascii="Arial" w:eastAsia="Arial" w:hAnsi="Arial" w:cs="Arial"/>
        </w:rPr>
        <w:t xml:space="preserve">seus resultados demonstram que </w:t>
      </w:r>
      <w:r w:rsidR="001B326F" w:rsidRPr="001B326F">
        <w:rPr>
          <w:rFonts w:ascii="Arial" w:eastAsia="Arial" w:hAnsi="Arial" w:cs="Arial"/>
        </w:rPr>
        <w:t xml:space="preserve">uma menor prevalência de TEA foi observada entre crianças que viviam em áreas do censo com </w:t>
      </w:r>
      <w:r w:rsidR="00A83A2B">
        <w:rPr>
          <w:rFonts w:ascii="Arial" w:eastAsia="Arial" w:hAnsi="Arial" w:cs="Arial"/>
        </w:rPr>
        <w:t>renda média</w:t>
      </w:r>
      <w:r w:rsidR="001B326F" w:rsidRPr="001B326F">
        <w:rPr>
          <w:rFonts w:ascii="Arial" w:eastAsia="Arial" w:hAnsi="Arial" w:cs="Arial"/>
        </w:rPr>
        <w:t xml:space="preserve"> mais alt</w:t>
      </w:r>
      <w:r w:rsidR="003051B4">
        <w:rPr>
          <w:rFonts w:ascii="Arial" w:eastAsia="Arial" w:hAnsi="Arial" w:cs="Arial"/>
        </w:rPr>
        <w:t>a</w:t>
      </w:r>
      <w:r w:rsidR="001B326F" w:rsidRPr="001B326F">
        <w:rPr>
          <w:rFonts w:ascii="Arial" w:eastAsia="Arial" w:hAnsi="Arial" w:cs="Arial"/>
        </w:rPr>
        <w:t xml:space="preserve">. Quando todos os locais foram combinados, a prevalência de TEA foi menor entre áreas do censo com </w:t>
      </w:r>
      <w:r w:rsidR="003051B4">
        <w:rPr>
          <w:rFonts w:ascii="Arial" w:eastAsia="Arial" w:hAnsi="Arial" w:cs="Arial"/>
        </w:rPr>
        <w:t>renda média</w:t>
      </w:r>
      <w:r w:rsidR="001B326F" w:rsidRPr="001B326F">
        <w:rPr>
          <w:rFonts w:ascii="Arial" w:eastAsia="Arial" w:hAnsi="Arial" w:cs="Arial"/>
        </w:rPr>
        <w:t xml:space="preserve"> mais alt</w:t>
      </w:r>
      <w:r w:rsidR="003051B4">
        <w:rPr>
          <w:rFonts w:ascii="Arial" w:eastAsia="Arial" w:hAnsi="Arial" w:cs="Arial"/>
        </w:rPr>
        <w:t>a</w:t>
      </w:r>
      <w:r w:rsidR="00A35074">
        <w:rPr>
          <w:rFonts w:ascii="Arial" w:eastAsia="Arial" w:hAnsi="Arial" w:cs="Arial"/>
        </w:rPr>
        <w:t xml:space="preserve">. De todo modo, esses resultados a partir de renda média são inconclusivos e não foram considerados neste estudo de replicação. </w:t>
      </w:r>
    </w:p>
    <w:p w14:paraId="0D884A95" w14:textId="06E50EAC" w:rsidR="00F76AFC" w:rsidRPr="008B7D4C" w:rsidRDefault="008B7D4C" w:rsidP="004C11B4">
      <w:pPr>
        <w:pStyle w:val="Corpodetexto"/>
        <w:spacing w:beforeLines="30" w:before="72" w:afterLines="30" w:after="72" w:line="360" w:lineRule="auto"/>
        <w:jc w:val="both"/>
        <w:rPr>
          <w:rFonts w:ascii="Arial" w:eastAsia="Arial" w:hAnsi="Arial" w:cs="Arial"/>
          <w:b/>
          <w:bCs/>
        </w:rPr>
      </w:pPr>
      <w:r w:rsidRPr="008B7D4C">
        <w:rPr>
          <w:rFonts w:ascii="Arial" w:eastAsia="Arial" w:hAnsi="Arial" w:cs="Arial"/>
          <w:b/>
          <w:bCs/>
        </w:rPr>
        <w:t>3.2.3</w:t>
      </w:r>
      <w:r w:rsidR="008976B5">
        <w:rPr>
          <w:rFonts w:ascii="Arial" w:eastAsia="Arial" w:hAnsi="Arial" w:cs="Arial"/>
          <w:b/>
          <w:bCs/>
        </w:rPr>
        <w:t xml:space="preserve"> Resultados: comparativo e novas estimativas</w:t>
      </w:r>
    </w:p>
    <w:p w14:paraId="27529F74" w14:textId="7DB43319" w:rsidR="002F6C1C" w:rsidRPr="002F6C1C" w:rsidRDefault="002F6C1C" w:rsidP="005D1093">
      <w:pPr>
        <w:pStyle w:val="Corpodetexto"/>
        <w:spacing w:beforeLines="30" w:before="72" w:afterLines="30" w:after="72" w:line="360" w:lineRule="auto"/>
        <w:ind w:firstLine="720"/>
        <w:jc w:val="both"/>
        <w:rPr>
          <w:rFonts w:ascii="Arial" w:eastAsia="Arial" w:hAnsi="Arial" w:cs="Arial"/>
        </w:rPr>
      </w:pPr>
      <w:r w:rsidRPr="002F6C1C">
        <w:rPr>
          <w:rFonts w:ascii="Arial" w:eastAsia="Arial" w:hAnsi="Arial" w:cs="Arial"/>
        </w:rPr>
        <w:t xml:space="preserve">Ao calcular a média da prevalência do Transtorno do Espectro Autista (TEA) nos Estados Unidos ao longo dos anos de 2000 a 2020, encontramos um valor médio de 14,75, o que equivale a uma criança diagnosticada com TEA a cada 68. No entanto, em 2020, </w:t>
      </w:r>
      <w:r w:rsidR="0040480F">
        <w:rPr>
          <w:rFonts w:ascii="Arial" w:eastAsia="Arial" w:hAnsi="Arial" w:cs="Arial"/>
        </w:rPr>
        <w:t>a média nacional americana apresentou</w:t>
      </w:r>
      <w:r w:rsidRPr="002F6C1C">
        <w:rPr>
          <w:rFonts w:ascii="Arial" w:eastAsia="Arial" w:hAnsi="Arial" w:cs="Arial"/>
        </w:rPr>
        <w:t xml:space="preserve"> uma prevalência média de 27,6, o</w:t>
      </w:r>
      <w:r w:rsidR="00F73AE3">
        <w:rPr>
          <w:rFonts w:ascii="Arial" w:eastAsia="Arial" w:hAnsi="Arial" w:cs="Arial"/>
        </w:rPr>
        <w:t xml:space="preserve"> valor</w:t>
      </w:r>
      <w:r w:rsidRPr="002F6C1C">
        <w:rPr>
          <w:rFonts w:ascii="Arial" w:eastAsia="Arial" w:hAnsi="Arial" w:cs="Arial"/>
        </w:rPr>
        <w:t xml:space="preserve"> mais alto registrado na base de dados, significando que aproximadamente uma em cada 36 crianças recebeu o diagnóstico.</w:t>
      </w:r>
    </w:p>
    <w:p w14:paraId="69342206" w14:textId="41D5FEE8" w:rsidR="65D1890E" w:rsidRDefault="667DE27E" w:rsidP="3C021DDA">
      <w:pPr>
        <w:pStyle w:val="Corpodetexto"/>
        <w:spacing w:beforeLines="30" w:before="72" w:afterLines="30" w:after="72" w:line="360" w:lineRule="auto"/>
        <w:ind w:firstLine="720"/>
        <w:jc w:val="center"/>
        <w:rPr>
          <w:rFonts w:ascii="Arial" w:eastAsia="Arial" w:hAnsi="Arial" w:cs="Arial"/>
        </w:rPr>
      </w:pPr>
      <w:r>
        <w:rPr>
          <w:noProof/>
        </w:rPr>
        <w:lastRenderedPageBreak/>
        <w:drawing>
          <wp:inline distT="0" distB="0" distL="0" distR="0" wp14:anchorId="2CB74BA5" wp14:editId="0E14CB22">
            <wp:extent cx="5762626" cy="3429000"/>
            <wp:effectExtent l="0" t="0" r="0" b="0"/>
            <wp:docPr id="2078010527" name="Picture 207801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2626" cy="3429000"/>
                    </a:xfrm>
                    <a:prstGeom prst="rect">
                      <a:avLst/>
                    </a:prstGeom>
                  </pic:spPr>
                </pic:pic>
              </a:graphicData>
            </a:graphic>
          </wp:inline>
        </w:drawing>
      </w:r>
    </w:p>
    <w:p w14:paraId="6F68D4ED" w14:textId="0364797B" w:rsidR="002F6C1C" w:rsidRPr="002F6C1C" w:rsidRDefault="002F6C1C" w:rsidP="004C11B4">
      <w:pPr>
        <w:pStyle w:val="Corpodetexto"/>
        <w:spacing w:beforeLines="30" w:before="72" w:afterLines="30" w:after="72" w:line="360" w:lineRule="auto"/>
        <w:ind w:firstLine="720"/>
        <w:jc w:val="both"/>
        <w:rPr>
          <w:rFonts w:ascii="Arial" w:eastAsia="Arial" w:hAnsi="Arial" w:cs="Arial"/>
        </w:rPr>
      </w:pPr>
      <w:r w:rsidRPr="002F6C1C">
        <w:rPr>
          <w:rFonts w:ascii="Arial" w:eastAsia="Arial" w:hAnsi="Arial" w:cs="Arial"/>
        </w:rPr>
        <w:t>O ano com a menor prevalência de TEA foi 2000, com um índice de 6,55, o que implicava em uma criança diagnosticada a cada 156. Embora 2002 tenha mostrado uma taxa de prevalência ligeiramente superior à de 2000, a tendência geral ao longo do tempo foi de aumento</w:t>
      </w:r>
      <w:r w:rsidR="00F73AE3">
        <w:rPr>
          <w:rFonts w:ascii="Arial" w:eastAsia="Arial" w:hAnsi="Arial" w:cs="Arial"/>
        </w:rPr>
        <w:t xml:space="preserve"> evidente</w:t>
      </w:r>
      <w:r w:rsidRPr="002F6C1C">
        <w:rPr>
          <w:rFonts w:ascii="Arial" w:eastAsia="Arial" w:hAnsi="Arial" w:cs="Arial"/>
        </w:rPr>
        <w:t>. De 2000 a 2020, observamos um crescimento percentual médio de 15,42% nos diagnósticos de TEA. Analisando os valores extremos, como 2000 e 2020 isoladamente, vemos um aumento percentual de 321,70% no diagnóstico de TEA.</w:t>
      </w:r>
    </w:p>
    <w:p w14:paraId="0656353B" w14:textId="77777777" w:rsidR="00954F73" w:rsidRDefault="002F6C1C" w:rsidP="005D1093">
      <w:pPr>
        <w:pStyle w:val="Corpodetexto"/>
        <w:spacing w:beforeLines="30" w:before="72" w:afterLines="30" w:after="72" w:line="360" w:lineRule="auto"/>
        <w:ind w:firstLine="720"/>
        <w:jc w:val="both"/>
        <w:rPr>
          <w:rFonts w:ascii="Arial" w:eastAsia="Arial" w:hAnsi="Arial" w:cs="Arial"/>
        </w:rPr>
      </w:pPr>
      <w:r w:rsidRPr="002F6C1C">
        <w:rPr>
          <w:rFonts w:ascii="Arial" w:eastAsia="Arial" w:hAnsi="Arial" w:cs="Arial"/>
        </w:rPr>
        <w:t xml:space="preserve">Comparando os anos de 2012 e 2014 individualmente, notamos um crescimento percentual de prevalência de 18,40%. Especula-se que a atualização do DSM-5 em 2013 tenha </w:t>
      </w:r>
      <w:r w:rsidR="00213C80">
        <w:rPr>
          <w:rFonts w:ascii="Arial" w:eastAsia="Arial" w:hAnsi="Arial" w:cs="Arial"/>
        </w:rPr>
        <w:t xml:space="preserve">gerado publicidade e </w:t>
      </w:r>
      <w:r w:rsidRPr="002F6C1C">
        <w:rPr>
          <w:rFonts w:ascii="Arial" w:eastAsia="Arial" w:hAnsi="Arial" w:cs="Arial"/>
        </w:rPr>
        <w:t>sido um fator relevante para o aumento na tendência de diagnósticos de TEA em crianças. O crescimento percentual mais significativo ano a ano na base de dados foi entre os anos de 2006 e 2008, com um aumento de 42,56% entre eles.</w:t>
      </w:r>
      <w:r w:rsidR="00284B92">
        <w:rPr>
          <w:rFonts w:ascii="Arial" w:eastAsia="Arial" w:hAnsi="Arial" w:cs="Arial"/>
        </w:rPr>
        <w:t xml:space="preserve"> </w:t>
      </w:r>
      <w:r w:rsidR="008A78BB">
        <w:rPr>
          <w:rFonts w:ascii="Arial" w:eastAsia="Arial" w:hAnsi="Arial" w:cs="Arial"/>
        </w:rPr>
        <w:t xml:space="preserve"> </w:t>
      </w:r>
    </w:p>
    <w:p w14:paraId="1058920C" w14:textId="2C71074E" w:rsidR="00BF28E7" w:rsidRDefault="00954F73" w:rsidP="005D1093">
      <w:pPr>
        <w:pStyle w:val="Corpodetexto"/>
        <w:spacing w:beforeLines="30" w:before="72" w:afterLines="30" w:after="72" w:line="360" w:lineRule="auto"/>
        <w:ind w:firstLine="720"/>
        <w:jc w:val="both"/>
        <w:rPr>
          <w:rFonts w:ascii="Arial" w:eastAsia="Arial" w:hAnsi="Arial" w:cs="Arial"/>
        </w:rPr>
      </w:pPr>
      <w:r>
        <w:rPr>
          <w:rFonts w:ascii="Arial" w:eastAsia="Arial" w:hAnsi="Arial" w:cs="Arial"/>
        </w:rPr>
        <w:t xml:space="preserve">Há muitas hipóteses </w:t>
      </w:r>
      <w:r w:rsidR="003C3278">
        <w:rPr>
          <w:rFonts w:ascii="Arial" w:eastAsia="Arial" w:hAnsi="Arial" w:cs="Arial"/>
        </w:rPr>
        <w:t xml:space="preserve">em jogo nesses resultados. Podemos associar a tendência de crescimento percentual em </w:t>
      </w:r>
      <w:r w:rsidR="00A521BB" w:rsidRPr="00915296">
        <w:rPr>
          <w:rFonts w:ascii="Arial" w:eastAsia="Arial" w:hAnsi="Arial" w:cs="Arial"/>
        </w:rPr>
        <w:t>diagnósticos</w:t>
      </w:r>
      <w:r w:rsidR="003C3278">
        <w:rPr>
          <w:rFonts w:ascii="Arial" w:eastAsia="Arial" w:hAnsi="Arial" w:cs="Arial"/>
        </w:rPr>
        <w:t xml:space="preserve"> de TEA como um efeito da disseminação da informação referente ao transtorno, a adoção de políticas públicas, atualizações no escopo médico-psiquiátrico,</w:t>
      </w:r>
      <w:r w:rsidR="00980E1D">
        <w:rPr>
          <w:rFonts w:ascii="Arial" w:eastAsia="Arial" w:hAnsi="Arial" w:cs="Arial"/>
        </w:rPr>
        <w:t xml:space="preserve"> o desenvolvimento de tecnologia e aprofundamento das relações sociais familiares</w:t>
      </w:r>
      <w:r w:rsidR="00394E49">
        <w:rPr>
          <w:rFonts w:ascii="Arial" w:eastAsia="Arial" w:hAnsi="Arial" w:cs="Arial"/>
        </w:rPr>
        <w:t xml:space="preserve"> no mundo contemporâneo. Entendemos que, antes, devido à pouca informação </w:t>
      </w:r>
      <w:r w:rsidR="00B87F63">
        <w:rPr>
          <w:rFonts w:ascii="Arial" w:eastAsia="Arial" w:hAnsi="Arial" w:cs="Arial"/>
        </w:rPr>
        <w:t>disseminada na esfera pública e</w:t>
      </w:r>
      <w:r w:rsidR="00A81700">
        <w:rPr>
          <w:rFonts w:ascii="Arial" w:eastAsia="Arial" w:hAnsi="Arial" w:cs="Arial"/>
        </w:rPr>
        <w:t xml:space="preserve"> os efeitos</w:t>
      </w:r>
      <w:r w:rsidR="00B87F63">
        <w:rPr>
          <w:rFonts w:ascii="Arial" w:eastAsia="Arial" w:hAnsi="Arial" w:cs="Arial"/>
        </w:rPr>
        <w:t xml:space="preserve"> </w:t>
      </w:r>
      <w:r w:rsidR="00A81700">
        <w:rPr>
          <w:rFonts w:ascii="Arial" w:eastAsia="Arial" w:hAnsi="Arial" w:cs="Arial"/>
        </w:rPr>
        <w:t>d</w:t>
      </w:r>
      <w:r w:rsidR="00B87F63">
        <w:rPr>
          <w:rFonts w:ascii="Arial" w:eastAsia="Arial" w:hAnsi="Arial" w:cs="Arial"/>
        </w:rPr>
        <w:t>os estigmas sociais presentes no debate sobre o TEA</w:t>
      </w:r>
      <w:r w:rsidR="00A81700">
        <w:rPr>
          <w:rFonts w:ascii="Arial" w:eastAsia="Arial" w:hAnsi="Arial" w:cs="Arial"/>
        </w:rPr>
        <w:t>,</w:t>
      </w:r>
      <w:r w:rsidR="00B87F63">
        <w:rPr>
          <w:rFonts w:ascii="Arial" w:eastAsia="Arial" w:hAnsi="Arial" w:cs="Arial"/>
        </w:rPr>
        <w:t xml:space="preserve"> </w:t>
      </w:r>
      <w:r w:rsidR="00A81700">
        <w:rPr>
          <w:rFonts w:ascii="Arial" w:eastAsia="Arial" w:hAnsi="Arial" w:cs="Arial"/>
        </w:rPr>
        <w:t>havia</w:t>
      </w:r>
      <w:r w:rsidR="00B87F63">
        <w:rPr>
          <w:rFonts w:ascii="Arial" w:eastAsia="Arial" w:hAnsi="Arial" w:cs="Arial"/>
        </w:rPr>
        <w:t xml:space="preserve"> um</w:t>
      </w:r>
      <w:r w:rsidR="00D61113">
        <w:rPr>
          <w:rFonts w:ascii="Arial" w:eastAsia="Arial" w:hAnsi="Arial" w:cs="Arial"/>
        </w:rPr>
        <w:t xml:space="preserve">a paisagem de subnotificação do </w:t>
      </w:r>
      <w:r w:rsidR="00D61113">
        <w:rPr>
          <w:rFonts w:ascii="Arial" w:eastAsia="Arial" w:hAnsi="Arial" w:cs="Arial"/>
        </w:rPr>
        <w:lastRenderedPageBreak/>
        <w:t>transtorno. Minimizada, anos após ano.</w:t>
      </w:r>
    </w:p>
    <w:p w14:paraId="66A3685C" w14:textId="77777777" w:rsidR="00D20798" w:rsidRDefault="00D20798" w:rsidP="002F6C1C">
      <w:pPr>
        <w:pStyle w:val="Corpodetexto"/>
        <w:spacing w:beforeLines="30" w:before="72" w:afterLines="30" w:after="72" w:line="360" w:lineRule="auto"/>
        <w:jc w:val="both"/>
        <w:rPr>
          <w:rFonts w:ascii="Arial" w:eastAsia="Arial" w:hAnsi="Arial" w:cs="Arial"/>
        </w:rPr>
      </w:pPr>
    </w:p>
    <w:p w14:paraId="6A8FC334" w14:textId="77777777" w:rsidR="008D235D" w:rsidRPr="004836CC" w:rsidRDefault="00D20798" w:rsidP="004836CC">
      <w:pPr>
        <w:pStyle w:val="Corpodetexto"/>
        <w:keepNext/>
        <w:spacing w:beforeLines="30" w:before="72" w:afterLines="30" w:after="72"/>
        <w:jc w:val="center"/>
        <w:rPr>
          <w:rFonts w:ascii="Arial" w:hAnsi="Arial" w:cs="Arial"/>
          <w:sz w:val="20"/>
          <w:szCs w:val="20"/>
        </w:rPr>
      </w:pPr>
      <w:r w:rsidRPr="004836CC">
        <w:rPr>
          <w:rFonts w:ascii="Arial" w:eastAsia="Arial" w:hAnsi="Arial" w:cs="Arial"/>
          <w:noProof/>
          <w:sz w:val="20"/>
          <w:szCs w:val="20"/>
        </w:rPr>
        <w:drawing>
          <wp:inline distT="0" distB="0" distL="0" distR="0" wp14:anchorId="14F8AB8C" wp14:editId="50A19514">
            <wp:extent cx="5184000" cy="2844000"/>
            <wp:effectExtent l="0" t="0" r="0" b="0"/>
            <wp:docPr id="19306445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4455" name="Imagem 1" descr="Gráfico&#10;&#10;Descrição gerada automaticamente"/>
                    <pic:cNvPicPr/>
                  </pic:nvPicPr>
                  <pic:blipFill>
                    <a:blip r:embed="rId9"/>
                    <a:stretch>
                      <a:fillRect/>
                    </a:stretch>
                  </pic:blipFill>
                  <pic:spPr>
                    <a:xfrm>
                      <a:off x="0" y="0"/>
                      <a:ext cx="5184000" cy="2844000"/>
                    </a:xfrm>
                    <a:prstGeom prst="rect">
                      <a:avLst/>
                    </a:prstGeom>
                  </pic:spPr>
                </pic:pic>
              </a:graphicData>
            </a:graphic>
          </wp:inline>
        </w:drawing>
      </w:r>
    </w:p>
    <w:p w14:paraId="28409FB2" w14:textId="6BCC0258" w:rsidR="008D235D" w:rsidRPr="004836CC" w:rsidRDefault="008D235D" w:rsidP="004836CC">
      <w:pPr>
        <w:pStyle w:val="Legenda"/>
        <w:jc w:val="center"/>
        <w:rPr>
          <w:rFonts w:ascii="Arial" w:hAnsi="Arial" w:cs="Arial"/>
          <w:sz w:val="20"/>
          <w:szCs w:val="20"/>
        </w:rPr>
      </w:pPr>
      <w:r w:rsidRPr="004836CC">
        <w:rPr>
          <w:rFonts w:ascii="Arial" w:hAnsi="Arial" w:cs="Arial"/>
          <w:sz w:val="20"/>
          <w:szCs w:val="20"/>
        </w:rPr>
        <w:t xml:space="preserve">Figura </w:t>
      </w:r>
      <w:r w:rsidRPr="004836CC">
        <w:rPr>
          <w:rFonts w:ascii="Arial" w:hAnsi="Arial" w:cs="Arial"/>
          <w:sz w:val="20"/>
          <w:szCs w:val="20"/>
        </w:rPr>
        <w:fldChar w:fldCharType="begin"/>
      </w:r>
      <w:r w:rsidRPr="004836CC">
        <w:rPr>
          <w:rFonts w:ascii="Arial" w:hAnsi="Arial" w:cs="Arial"/>
          <w:sz w:val="20"/>
          <w:szCs w:val="20"/>
        </w:rPr>
        <w:instrText xml:space="preserve"> SEQ Figura \* ARABIC </w:instrText>
      </w:r>
      <w:r w:rsidRPr="004836CC">
        <w:rPr>
          <w:rFonts w:ascii="Arial" w:hAnsi="Arial" w:cs="Arial"/>
          <w:sz w:val="20"/>
          <w:szCs w:val="20"/>
        </w:rPr>
        <w:fldChar w:fldCharType="separate"/>
      </w:r>
      <w:r w:rsidR="00B63B09">
        <w:rPr>
          <w:rFonts w:ascii="Arial" w:hAnsi="Arial" w:cs="Arial"/>
          <w:noProof/>
          <w:sz w:val="20"/>
          <w:szCs w:val="20"/>
        </w:rPr>
        <w:t>1</w:t>
      </w:r>
      <w:r w:rsidRPr="004836CC">
        <w:rPr>
          <w:rFonts w:ascii="Arial" w:hAnsi="Arial" w:cs="Arial"/>
          <w:sz w:val="20"/>
          <w:szCs w:val="20"/>
        </w:rPr>
        <w:fldChar w:fldCharType="end"/>
      </w:r>
      <w:r w:rsidRPr="004836CC">
        <w:rPr>
          <w:rFonts w:ascii="Arial" w:hAnsi="Arial" w:cs="Arial"/>
          <w:sz w:val="20"/>
          <w:szCs w:val="20"/>
        </w:rPr>
        <w:t>. Gráfico de Boxplot auxilia na análise de distribuição de médias de prevalência por estado, considerando os dados de todos os anos</w:t>
      </w:r>
      <w:r w:rsidR="00851854" w:rsidRPr="004836CC">
        <w:rPr>
          <w:rFonts w:ascii="Arial" w:hAnsi="Arial" w:cs="Arial"/>
          <w:sz w:val="20"/>
          <w:szCs w:val="20"/>
        </w:rPr>
        <w:t xml:space="preserve"> da fonte addmn.</w:t>
      </w:r>
    </w:p>
    <w:p w14:paraId="7F423955" w14:textId="77777777" w:rsidR="008D235D" w:rsidRPr="00915296" w:rsidRDefault="008D235D" w:rsidP="004F031E">
      <w:pPr>
        <w:spacing w:line="360" w:lineRule="auto"/>
        <w:jc w:val="both"/>
        <w:rPr>
          <w:rFonts w:ascii="Arial" w:hAnsi="Arial" w:cs="Arial"/>
          <w:sz w:val="24"/>
          <w:szCs w:val="24"/>
        </w:rPr>
      </w:pPr>
    </w:p>
    <w:p w14:paraId="5FE6865D" w14:textId="24A4C958" w:rsidR="00BC0B50" w:rsidRDefault="00043345" w:rsidP="005D1093">
      <w:pPr>
        <w:spacing w:line="360" w:lineRule="auto"/>
        <w:ind w:firstLine="720"/>
        <w:jc w:val="both"/>
        <w:rPr>
          <w:rFonts w:ascii="Arial" w:hAnsi="Arial" w:cs="Arial"/>
          <w:sz w:val="24"/>
          <w:szCs w:val="24"/>
        </w:rPr>
      </w:pPr>
      <w:r w:rsidRPr="00F80D9C">
        <w:rPr>
          <w:rFonts w:ascii="Arial" w:hAnsi="Arial" w:cs="Arial"/>
          <w:sz w:val="24"/>
          <w:szCs w:val="24"/>
        </w:rPr>
        <w:t xml:space="preserve">Segundo análise gráfica de Boxplot e cálculo de intervalo interquartil, o estado americano com maior prevalência foi </w:t>
      </w:r>
      <w:r w:rsidR="00851854" w:rsidRPr="00F80D9C">
        <w:rPr>
          <w:rFonts w:ascii="Arial" w:hAnsi="Arial" w:cs="Arial"/>
          <w:sz w:val="24"/>
          <w:szCs w:val="24"/>
        </w:rPr>
        <w:t>a Califórnia, com 41,90, entre os anos de 2000 e 2020</w:t>
      </w:r>
      <w:r w:rsidR="00170755" w:rsidRPr="00F80D9C">
        <w:rPr>
          <w:rFonts w:ascii="Arial" w:hAnsi="Arial" w:cs="Arial"/>
          <w:sz w:val="24"/>
          <w:szCs w:val="24"/>
        </w:rPr>
        <w:t>, considerado um outlier.</w:t>
      </w:r>
      <w:r w:rsidR="00922561" w:rsidRPr="00F80D9C">
        <w:rPr>
          <w:rFonts w:ascii="Arial" w:hAnsi="Arial" w:cs="Arial"/>
          <w:sz w:val="24"/>
          <w:szCs w:val="24"/>
        </w:rPr>
        <w:t xml:space="preserve"> </w:t>
      </w:r>
      <w:r w:rsidR="00A357E9" w:rsidRPr="00F80D9C">
        <w:rPr>
          <w:rFonts w:ascii="Arial" w:hAnsi="Arial" w:cs="Arial"/>
          <w:sz w:val="24"/>
          <w:szCs w:val="24"/>
        </w:rPr>
        <w:t xml:space="preserve">Em valores absolutos, o estado da Califórnia apresentou o resultado de uma criança diagnosticada com TEA a cada </w:t>
      </w:r>
      <w:r w:rsidR="005520E5" w:rsidRPr="00F80D9C">
        <w:rPr>
          <w:rFonts w:ascii="Arial" w:hAnsi="Arial" w:cs="Arial"/>
          <w:sz w:val="24"/>
          <w:szCs w:val="24"/>
        </w:rPr>
        <w:t>24, aproximadamente.</w:t>
      </w:r>
      <w:r w:rsidR="00170755" w:rsidRPr="00F80D9C">
        <w:rPr>
          <w:rFonts w:ascii="Arial" w:hAnsi="Arial" w:cs="Arial"/>
          <w:sz w:val="24"/>
          <w:szCs w:val="24"/>
        </w:rPr>
        <w:t xml:space="preserve"> O limite superior encontrado foi de 26,02 de prevalência, no estado de </w:t>
      </w:r>
      <w:r w:rsidR="004836CC" w:rsidRPr="00915296">
        <w:rPr>
          <w:rFonts w:ascii="Arial" w:hAnsi="Arial" w:cs="Arial"/>
          <w:sz w:val="24"/>
          <w:szCs w:val="24"/>
        </w:rPr>
        <w:t>Minnesota</w:t>
      </w:r>
      <w:r w:rsidR="00170755" w:rsidRPr="00F80D9C">
        <w:rPr>
          <w:rFonts w:ascii="Arial" w:hAnsi="Arial" w:cs="Arial"/>
          <w:sz w:val="24"/>
          <w:szCs w:val="24"/>
        </w:rPr>
        <w:t xml:space="preserve">, enquanto o limite inferior foi </w:t>
      </w:r>
      <w:r w:rsidR="00922561" w:rsidRPr="00F80D9C">
        <w:rPr>
          <w:rFonts w:ascii="Arial" w:hAnsi="Arial" w:cs="Arial"/>
          <w:sz w:val="24"/>
          <w:szCs w:val="24"/>
        </w:rPr>
        <w:t>de 4,88, no estado do Alabama.</w:t>
      </w:r>
      <w:r w:rsidR="005520E5" w:rsidRPr="00F80D9C">
        <w:rPr>
          <w:rFonts w:ascii="Arial" w:hAnsi="Arial" w:cs="Arial"/>
          <w:sz w:val="24"/>
          <w:szCs w:val="24"/>
        </w:rPr>
        <w:t xml:space="preserve"> Obteve-se uma mediana de </w:t>
      </w:r>
      <w:r w:rsidR="00176518" w:rsidRPr="00F80D9C">
        <w:rPr>
          <w:rFonts w:ascii="Arial" w:hAnsi="Arial" w:cs="Arial"/>
          <w:sz w:val="24"/>
          <w:szCs w:val="24"/>
        </w:rPr>
        <w:t>14,45 de prevalência do conjunto geral, com Q1 = 9,71 e Q3 = 16,69.</w:t>
      </w:r>
      <w:r w:rsidR="007173B4" w:rsidRPr="00F80D9C">
        <w:rPr>
          <w:rFonts w:ascii="Arial" w:hAnsi="Arial" w:cs="Arial"/>
          <w:sz w:val="24"/>
          <w:szCs w:val="24"/>
        </w:rPr>
        <w:t xml:space="preserve"> Quando excluímos o estado da Califórnia das medições de tendência central, obtemos a média aritmética de </w:t>
      </w:r>
      <w:r w:rsidR="006B718E" w:rsidRPr="00F80D9C">
        <w:rPr>
          <w:rFonts w:ascii="Arial" w:hAnsi="Arial" w:cs="Arial"/>
          <w:sz w:val="24"/>
          <w:szCs w:val="24"/>
        </w:rPr>
        <w:t xml:space="preserve">13,63 de prevalência. Isto é: uma criança diagnosticada com TEA a cada </w:t>
      </w:r>
      <w:r w:rsidR="0030452C" w:rsidRPr="00F80D9C">
        <w:rPr>
          <w:rFonts w:ascii="Arial" w:hAnsi="Arial" w:cs="Arial"/>
          <w:sz w:val="24"/>
          <w:szCs w:val="24"/>
        </w:rPr>
        <w:t>74</w:t>
      </w:r>
      <w:r w:rsidR="00BC0B50">
        <w:rPr>
          <w:rFonts w:ascii="Arial" w:hAnsi="Arial" w:cs="Arial"/>
          <w:sz w:val="24"/>
          <w:szCs w:val="24"/>
        </w:rPr>
        <w:t>.</w:t>
      </w:r>
    </w:p>
    <w:p w14:paraId="396F93CE" w14:textId="402353B0" w:rsidR="006A6B0A" w:rsidRDefault="00BC0B50" w:rsidP="005D1093">
      <w:pPr>
        <w:spacing w:line="360" w:lineRule="auto"/>
        <w:ind w:firstLine="720"/>
        <w:jc w:val="both"/>
        <w:rPr>
          <w:rFonts w:ascii="Arial" w:hAnsi="Arial" w:cs="Arial"/>
          <w:sz w:val="24"/>
          <w:szCs w:val="24"/>
        </w:rPr>
      </w:pPr>
      <w:r>
        <w:rPr>
          <w:rFonts w:ascii="Arial" w:hAnsi="Arial" w:cs="Arial"/>
          <w:sz w:val="24"/>
          <w:szCs w:val="24"/>
        </w:rPr>
        <w:t xml:space="preserve">Em relação à raça, </w:t>
      </w:r>
      <w:r w:rsidR="002A6AB8">
        <w:rPr>
          <w:rFonts w:ascii="Arial" w:hAnsi="Arial" w:cs="Arial"/>
          <w:sz w:val="24"/>
          <w:szCs w:val="24"/>
        </w:rPr>
        <w:t xml:space="preserve">há um problema estrutural na análise comparativa, </w:t>
      </w:r>
      <w:r w:rsidR="0055550E">
        <w:rPr>
          <w:rFonts w:ascii="Arial" w:hAnsi="Arial" w:cs="Arial"/>
          <w:sz w:val="24"/>
          <w:szCs w:val="24"/>
        </w:rPr>
        <w:t xml:space="preserve">pois apenas </w:t>
      </w:r>
      <w:r w:rsidR="008A3534">
        <w:rPr>
          <w:rFonts w:ascii="Arial" w:hAnsi="Arial" w:cs="Arial"/>
          <w:sz w:val="24"/>
          <w:szCs w:val="24"/>
        </w:rPr>
        <w:t xml:space="preserve">as categorias étnicas Branco e Preto possuem dados catalogados desde os anos de 2002. </w:t>
      </w:r>
      <w:r w:rsidR="001B69FE">
        <w:rPr>
          <w:rFonts w:ascii="Arial" w:hAnsi="Arial" w:cs="Arial"/>
          <w:sz w:val="24"/>
          <w:szCs w:val="24"/>
        </w:rPr>
        <w:t xml:space="preserve">Criança da etnia branca apresentaram prevalência média de 15,16, enquanto crianças pretas apresentaram </w:t>
      </w:r>
      <w:r w:rsidR="00264E3E">
        <w:rPr>
          <w:rFonts w:ascii="Arial" w:hAnsi="Arial" w:cs="Arial"/>
          <w:sz w:val="24"/>
          <w:szCs w:val="24"/>
        </w:rPr>
        <w:t>prevalência média de 14,21. Ambas inferiores às médias de prevalência obtidas por Hispânicos, 15,55</w:t>
      </w:r>
      <w:r w:rsidR="00E55662">
        <w:rPr>
          <w:rFonts w:ascii="Arial" w:hAnsi="Arial" w:cs="Arial"/>
          <w:sz w:val="24"/>
          <w:szCs w:val="24"/>
        </w:rPr>
        <w:t xml:space="preserve">, Indígenas, 27,75 e </w:t>
      </w:r>
      <w:r w:rsidR="004836CC" w:rsidRPr="00915296">
        <w:rPr>
          <w:rFonts w:ascii="Arial" w:hAnsi="Arial" w:cs="Arial"/>
          <w:sz w:val="24"/>
          <w:szCs w:val="24"/>
        </w:rPr>
        <w:t>Multirraciais</w:t>
      </w:r>
      <w:r w:rsidR="00EC6438">
        <w:rPr>
          <w:rFonts w:ascii="Arial" w:hAnsi="Arial" w:cs="Arial"/>
          <w:sz w:val="24"/>
          <w:szCs w:val="24"/>
        </w:rPr>
        <w:t xml:space="preserve">, 22,90. </w:t>
      </w:r>
      <w:r w:rsidR="003E7946">
        <w:rPr>
          <w:rFonts w:ascii="Arial" w:hAnsi="Arial" w:cs="Arial"/>
          <w:sz w:val="24"/>
          <w:szCs w:val="24"/>
        </w:rPr>
        <w:t>Asiáticos aparece como</w:t>
      </w:r>
      <w:r w:rsidR="007A0FA8">
        <w:rPr>
          <w:rFonts w:ascii="Arial" w:hAnsi="Arial" w:cs="Arial"/>
          <w:sz w:val="24"/>
          <w:szCs w:val="24"/>
        </w:rPr>
        <w:t xml:space="preserve"> segunda</w:t>
      </w:r>
      <w:r w:rsidR="003E7946">
        <w:rPr>
          <w:rFonts w:ascii="Arial" w:hAnsi="Arial" w:cs="Arial"/>
          <w:sz w:val="24"/>
          <w:szCs w:val="24"/>
        </w:rPr>
        <w:t xml:space="preserve"> menor prevalência por etnia, com 15,05.</w:t>
      </w:r>
      <w:r w:rsidR="006A6B0A">
        <w:rPr>
          <w:rFonts w:ascii="Arial" w:hAnsi="Arial" w:cs="Arial"/>
          <w:sz w:val="24"/>
          <w:szCs w:val="24"/>
        </w:rPr>
        <w:t xml:space="preserve"> </w:t>
      </w:r>
    </w:p>
    <w:p w14:paraId="6ABD085F" w14:textId="27B96D24" w:rsidR="00AD02B4" w:rsidRDefault="006A6B0A" w:rsidP="005D1093">
      <w:pPr>
        <w:spacing w:line="360" w:lineRule="auto"/>
        <w:ind w:firstLine="720"/>
        <w:jc w:val="both"/>
        <w:rPr>
          <w:rFonts w:ascii="Arial" w:hAnsi="Arial" w:cs="Arial"/>
          <w:sz w:val="24"/>
          <w:szCs w:val="24"/>
        </w:rPr>
      </w:pPr>
      <w:r>
        <w:rPr>
          <w:rFonts w:ascii="Arial" w:hAnsi="Arial" w:cs="Arial"/>
          <w:sz w:val="24"/>
          <w:szCs w:val="24"/>
        </w:rPr>
        <w:t xml:space="preserve">Conforme apontado anteriormente, nota-se o crescimento de índices de </w:t>
      </w:r>
      <w:r>
        <w:rPr>
          <w:rFonts w:ascii="Arial" w:hAnsi="Arial" w:cs="Arial"/>
          <w:sz w:val="24"/>
          <w:szCs w:val="24"/>
        </w:rPr>
        <w:lastRenderedPageBreak/>
        <w:t>prevalência ano após ano</w:t>
      </w:r>
      <w:r w:rsidR="00B21952">
        <w:rPr>
          <w:rFonts w:ascii="Arial" w:hAnsi="Arial" w:cs="Arial"/>
          <w:sz w:val="24"/>
          <w:szCs w:val="24"/>
        </w:rPr>
        <w:t>, o que justifica a maior prevalência nas categorias etnicas hispânica, indígena</w:t>
      </w:r>
      <w:r w:rsidR="00D41293">
        <w:rPr>
          <w:rFonts w:ascii="Arial" w:hAnsi="Arial" w:cs="Arial"/>
          <w:sz w:val="24"/>
          <w:szCs w:val="24"/>
        </w:rPr>
        <w:t xml:space="preserve"> e multiracial. Como não há dados referentes aos anos anteriores, numericamente menos expressivos, as médias são calculadas </w:t>
      </w:r>
      <w:r w:rsidR="00827373">
        <w:rPr>
          <w:rFonts w:ascii="Arial" w:hAnsi="Arial" w:cs="Arial"/>
          <w:sz w:val="24"/>
          <w:szCs w:val="24"/>
        </w:rPr>
        <w:t xml:space="preserve">com menos divisores (anos). Quando fazemos um recorte por ano, considerando apenas 2020, </w:t>
      </w:r>
      <w:r w:rsidR="00B72F30">
        <w:rPr>
          <w:rFonts w:ascii="Arial" w:hAnsi="Arial" w:cs="Arial"/>
          <w:sz w:val="24"/>
          <w:szCs w:val="24"/>
        </w:rPr>
        <w:t xml:space="preserve">asiáticos aparece como a etnia com maior </w:t>
      </w:r>
      <w:r w:rsidR="00AF597B">
        <w:rPr>
          <w:rFonts w:ascii="Arial" w:hAnsi="Arial" w:cs="Arial"/>
          <w:sz w:val="24"/>
          <w:szCs w:val="24"/>
        </w:rPr>
        <w:t xml:space="preserve">prevalência, com pontuação de 33,4. Isso representa um diagnóstico infantil a cada 30. </w:t>
      </w:r>
      <w:r w:rsidR="00084B1D">
        <w:rPr>
          <w:rFonts w:ascii="Arial" w:hAnsi="Arial" w:cs="Arial"/>
          <w:sz w:val="24"/>
          <w:szCs w:val="24"/>
        </w:rPr>
        <w:t xml:space="preserve">Hispânicos aparece em segundo, com 31,6 de prevalência, seguido por Pretos, 29,3, </w:t>
      </w:r>
      <w:r w:rsidR="00C8623D">
        <w:rPr>
          <w:rFonts w:ascii="Arial" w:hAnsi="Arial" w:cs="Arial"/>
          <w:sz w:val="24"/>
          <w:szCs w:val="24"/>
        </w:rPr>
        <w:t xml:space="preserve">Indígenas, 26,5, Brancos, 24,3 e </w:t>
      </w:r>
      <w:r w:rsidR="00D9256B">
        <w:rPr>
          <w:rFonts w:ascii="Arial" w:hAnsi="Arial" w:cs="Arial"/>
          <w:sz w:val="24"/>
          <w:szCs w:val="24"/>
        </w:rPr>
        <w:t xml:space="preserve">Multiraciais, com 22,9. Embora parte dos resultados se mantenha inalterada, ao considerarmos apenas o recorte do último ano de estimativa, 2020, percebe-se </w:t>
      </w:r>
      <w:r w:rsidR="00AD02B4">
        <w:rPr>
          <w:rFonts w:ascii="Arial" w:hAnsi="Arial" w:cs="Arial"/>
          <w:sz w:val="24"/>
          <w:szCs w:val="24"/>
        </w:rPr>
        <w:t xml:space="preserve">uma variação menor de índices de prevalência por raça, ao contrário </w:t>
      </w:r>
      <w:r w:rsidR="00A521BB" w:rsidRPr="00915296">
        <w:rPr>
          <w:rFonts w:ascii="Arial" w:hAnsi="Arial" w:cs="Arial"/>
          <w:sz w:val="24"/>
          <w:szCs w:val="24"/>
        </w:rPr>
        <w:t>da</w:t>
      </w:r>
      <w:r w:rsidR="00AD02B4">
        <w:rPr>
          <w:rFonts w:ascii="Arial" w:hAnsi="Arial" w:cs="Arial"/>
          <w:sz w:val="24"/>
          <w:szCs w:val="24"/>
        </w:rPr>
        <w:t xml:space="preserve"> medição anterior que concatenava as médias de toda a série temporal. </w:t>
      </w:r>
    </w:p>
    <w:p w14:paraId="3C23DF59" w14:textId="0DBB3391" w:rsidR="00690996" w:rsidRDefault="009A0CF5" w:rsidP="005D1093">
      <w:pPr>
        <w:spacing w:line="360" w:lineRule="auto"/>
        <w:ind w:firstLine="720"/>
        <w:jc w:val="both"/>
        <w:rPr>
          <w:rFonts w:ascii="Arial" w:hAnsi="Arial" w:cs="Arial"/>
          <w:sz w:val="24"/>
          <w:szCs w:val="24"/>
        </w:rPr>
      </w:pPr>
      <w:r>
        <w:rPr>
          <w:rFonts w:ascii="Arial" w:hAnsi="Arial" w:cs="Arial"/>
          <w:sz w:val="24"/>
          <w:szCs w:val="24"/>
        </w:rPr>
        <w:t xml:space="preserve">As hipóteses em jogo, aqui, apontam para uma distribuição de índices de prevalência mais igualitária e realista à medida que mais categorias </w:t>
      </w:r>
      <w:r w:rsidR="00A521BB" w:rsidRPr="00915296">
        <w:rPr>
          <w:rFonts w:ascii="Arial" w:hAnsi="Arial" w:cs="Arial"/>
          <w:sz w:val="24"/>
          <w:szCs w:val="24"/>
        </w:rPr>
        <w:t>étnicas</w:t>
      </w:r>
      <w:r>
        <w:rPr>
          <w:rFonts w:ascii="Arial" w:hAnsi="Arial" w:cs="Arial"/>
          <w:sz w:val="24"/>
          <w:szCs w:val="24"/>
        </w:rPr>
        <w:t xml:space="preserve"> são incluídas na base de dados.</w:t>
      </w:r>
      <w:r w:rsidR="00F85777">
        <w:rPr>
          <w:rFonts w:ascii="Arial" w:hAnsi="Arial" w:cs="Arial"/>
          <w:sz w:val="24"/>
          <w:szCs w:val="24"/>
        </w:rPr>
        <w:t xml:space="preserve"> Seja por contingência de políticas públicas ou </w:t>
      </w:r>
      <w:r w:rsidR="002105AF">
        <w:rPr>
          <w:rFonts w:ascii="Arial" w:hAnsi="Arial" w:cs="Arial"/>
          <w:sz w:val="24"/>
          <w:szCs w:val="24"/>
        </w:rPr>
        <w:t xml:space="preserve">acesso populacional à educação médica, até o desenvolvimento sólido do diagnóstico TEA </w:t>
      </w:r>
      <w:r w:rsidR="002F1C48">
        <w:rPr>
          <w:rFonts w:ascii="Arial" w:hAnsi="Arial" w:cs="Arial"/>
          <w:sz w:val="24"/>
          <w:szCs w:val="24"/>
        </w:rPr>
        <w:t>na literatura acadêmica.</w:t>
      </w:r>
      <w:r>
        <w:rPr>
          <w:rFonts w:ascii="Arial" w:hAnsi="Arial" w:cs="Arial"/>
          <w:sz w:val="24"/>
          <w:szCs w:val="24"/>
        </w:rPr>
        <w:t xml:space="preserve"> </w:t>
      </w:r>
      <w:r w:rsidR="00335DE9">
        <w:rPr>
          <w:rFonts w:ascii="Arial" w:hAnsi="Arial" w:cs="Arial"/>
          <w:sz w:val="24"/>
          <w:szCs w:val="24"/>
        </w:rPr>
        <w:t>Até 2008, a etnia branca era classe majoritária da base de dados, com maior índice de diagnósticos</w:t>
      </w:r>
      <w:r w:rsidR="00DE0982">
        <w:rPr>
          <w:rFonts w:ascii="Arial" w:hAnsi="Arial" w:cs="Arial"/>
          <w:sz w:val="24"/>
          <w:szCs w:val="24"/>
        </w:rPr>
        <w:t>. Naquela altura, apenas 4 classes de etnias estavam incluídas na medição: brancos, pretos, hispânicos e asiáticos. Sua distribuição</w:t>
      </w:r>
      <w:r w:rsidR="00496314">
        <w:rPr>
          <w:rFonts w:ascii="Arial" w:hAnsi="Arial" w:cs="Arial"/>
          <w:sz w:val="24"/>
          <w:szCs w:val="24"/>
        </w:rPr>
        <w:t xml:space="preserve"> era: brancos, </w:t>
      </w:r>
      <w:r w:rsidR="0083196E">
        <w:rPr>
          <w:rFonts w:ascii="Arial" w:hAnsi="Arial" w:cs="Arial"/>
          <w:sz w:val="24"/>
          <w:szCs w:val="24"/>
        </w:rPr>
        <w:t>12; pretos, 10,2; hispânicos</w:t>
      </w:r>
      <w:r w:rsidR="00E642FF">
        <w:rPr>
          <w:rFonts w:ascii="Arial" w:hAnsi="Arial" w:cs="Arial"/>
          <w:sz w:val="24"/>
          <w:szCs w:val="24"/>
        </w:rPr>
        <w:t>, 7,9; e asiáticos, 9,7.</w:t>
      </w:r>
      <w:r w:rsidR="002F1C48">
        <w:rPr>
          <w:rFonts w:ascii="Arial" w:hAnsi="Arial" w:cs="Arial"/>
          <w:sz w:val="24"/>
          <w:szCs w:val="24"/>
        </w:rPr>
        <w:t xml:space="preserve"> </w:t>
      </w:r>
    </w:p>
    <w:p w14:paraId="65F3E933" w14:textId="77777777" w:rsidR="004114B1" w:rsidRDefault="004114B1" w:rsidP="001E02C7">
      <w:pPr>
        <w:spacing w:line="360" w:lineRule="auto"/>
        <w:jc w:val="both"/>
        <w:rPr>
          <w:rFonts w:ascii="Arial" w:hAnsi="Arial" w:cs="Arial"/>
          <w:sz w:val="24"/>
          <w:szCs w:val="24"/>
        </w:rPr>
      </w:pPr>
    </w:p>
    <w:p w14:paraId="3BAD5E27" w14:textId="77777777" w:rsidR="004114B1" w:rsidRDefault="004114B1" w:rsidP="004836CC">
      <w:pPr>
        <w:keepNext/>
        <w:jc w:val="center"/>
        <w:rPr>
          <w:rFonts w:ascii="Arial" w:hAnsi="Arial" w:cs="Arial"/>
          <w:sz w:val="20"/>
          <w:szCs w:val="20"/>
        </w:rPr>
      </w:pPr>
      <w:r w:rsidRPr="00915296">
        <w:rPr>
          <w:rFonts w:ascii="Arial" w:hAnsi="Arial" w:cs="Arial"/>
          <w:noProof/>
          <w:sz w:val="24"/>
          <w:szCs w:val="24"/>
        </w:rPr>
        <w:drawing>
          <wp:inline distT="0" distB="0" distL="0" distR="0" wp14:anchorId="08518CA8" wp14:editId="07EAFDCA">
            <wp:extent cx="5227200" cy="2898000"/>
            <wp:effectExtent l="0" t="0" r="0" b="0"/>
            <wp:docPr id="4470999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99977" name="Imagem 1" descr="Gráfico, Gráfico de linhas&#10;&#10;Descrição gerada automaticamente"/>
                    <pic:cNvPicPr/>
                  </pic:nvPicPr>
                  <pic:blipFill>
                    <a:blip r:embed="rId10"/>
                    <a:stretch>
                      <a:fillRect/>
                    </a:stretch>
                  </pic:blipFill>
                  <pic:spPr>
                    <a:xfrm>
                      <a:off x="0" y="0"/>
                      <a:ext cx="5227200" cy="2898000"/>
                    </a:xfrm>
                    <a:prstGeom prst="rect">
                      <a:avLst/>
                    </a:prstGeom>
                  </pic:spPr>
                </pic:pic>
              </a:graphicData>
            </a:graphic>
          </wp:inline>
        </w:drawing>
      </w:r>
    </w:p>
    <w:p w14:paraId="5D0C3A49" w14:textId="545F8821" w:rsidR="004114B1" w:rsidRPr="003F25D4" w:rsidRDefault="004114B1" w:rsidP="003F25D4">
      <w:pPr>
        <w:keepNext/>
        <w:jc w:val="center"/>
        <w:rPr>
          <w:rFonts w:ascii="Arial" w:hAnsi="Arial" w:cs="Arial"/>
          <w:i/>
          <w:color w:val="1F497D" w:themeColor="text2"/>
          <w:sz w:val="24"/>
          <w:szCs w:val="24"/>
        </w:rPr>
      </w:pPr>
      <w:r w:rsidRPr="003F25D4">
        <w:rPr>
          <w:rFonts w:ascii="Arial" w:hAnsi="Arial" w:cs="Arial"/>
          <w:i/>
          <w:color w:val="1F497D" w:themeColor="text2"/>
          <w:sz w:val="20"/>
          <w:szCs w:val="20"/>
        </w:rPr>
        <w:t xml:space="preserve">Figura </w:t>
      </w:r>
      <w:r w:rsidRPr="003F25D4">
        <w:rPr>
          <w:rFonts w:ascii="Arial" w:hAnsi="Arial" w:cs="Arial"/>
          <w:i/>
          <w:color w:val="1F497D" w:themeColor="text2"/>
          <w:sz w:val="20"/>
          <w:szCs w:val="20"/>
        </w:rPr>
        <w:fldChar w:fldCharType="begin"/>
      </w:r>
      <w:r w:rsidRPr="003F25D4">
        <w:rPr>
          <w:rFonts w:ascii="Arial" w:hAnsi="Arial" w:cs="Arial"/>
          <w:i/>
          <w:color w:val="1F497D" w:themeColor="text2"/>
          <w:sz w:val="20"/>
          <w:szCs w:val="20"/>
        </w:rPr>
        <w:instrText xml:space="preserve"> SEQ Figura \* ARABIC </w:instrText>
      </w:r>
      <w:r w:rsidRPr="003F25D4">
        <w:rPr>
          <w:rFonts w:ascii="Arial" w:hAnsi="Arial" w:cs="Arial"/>
          <w:i/>
          <w:color w:val="1F497D" w:themeColor="text2"/>
          <w:sz w:val="20"/>
          <w:szCs w:val="20"/>
        </w:rPr>
        <w:fldChar w:fldCharType="separate"/>
      </w:r>
      <w:r w:rsidR="00B63B09">
        <w:rPr>
          <w:rFonts w:ascii="Arial" w:hAnsi="Arial" w:cs="Arial"/>
          <w:i/>
          <w:noProof/>
          <w:color w:val="1F497D" w:themeColor="text2"/>
          <w:sz w:val="20"/>
          <w:szCs w:val="20"/>
        </w:rPr>
        <w:t>2</w:t>
      </w:r>
      <w:r w:rsidRPr="003F25D4">
        <w:rPr>
          <w:rFonts w:ascii="Arial" w:hAnsi="Arial" w:cs="Arial"/>
          <w:i/>
          <w:color w:val="1F497D" w:themeColor="text2"/>
          <w:sz w:val="20"/>
          <w:szCs w:val="20"/>
        </w:rPr>
        <w:fldChar w:fldCharType="end"/>
      </w:r>
      <w:r w:rsidRPr="003F25D4">
        <w:rPr>
          <w:rFonts w:ascii="Arial" w:hAnsi="Arial" w:cs="Arial"/>
          <w:i/>
          <w:color w:val="1F497D" w:themeColor="text2"/>
          <w:sz w:val="20"/>
          <w:szCs w:val="20"/>
        </w:rPr>
        <w:t>. Gráfico de Linhas comprova a variação encontrada nos índices de prevalência por etnia a cada ano.</w:t>
      </w:r>
    </w:p>
    <w:p w14:paraId="124ED5BF" w14:textId="77777777" w:rsidR="004114B1" w:rsidRPr="00915296" w:rsidRDefault="004114B1" w:rsidP="004F031E">
      <w:pPr>
        <w:spacing w:line="360" w:lineRule="auto"/>
        <w:jc w:val="both"/>
        <w:rPr>
          <w:rFonts w:ascii="Arial" w:hAnsi="Arial" w:cs="Arial"/>
          <w:sz w:val="24"/>
          <w:szCs w:val="24"/>
        </w:rPr>
      </w:pPr>
    </w:p>
    <w:p w14:paraId="48538482" w14:textId="53E3255C" w:rsidR="009C5A46" w:rsidRPr="00915296" w:rsidRDefault="0057334E" w:rsidP="006C6336">
      <w:pPr>
        <w:spacing w:line="360" w:lineRule="auto"/>
        <w:ind w:firstLine="720"/>
        <w:jc w:val="both"/>
        <w:rPr>
          <w:rFonts w:ascii="Arial" w:hAnsi="Arial" w:cs="Arial"/>
          <w:sz w:val="24"/>
          <w:szCs w:val="24"/>
        </w:rPr>
      </w:pPr>
      <w:r w:rsidRPr="00DA53D4">
        <w:rPr>
          <w:rFonts w:ascii="Arial" w:hAnsi="Arial" w:cs="Arial"/>
          <w:sz w:val="24"/>
          <w:szCs w:val="24"/>
        </w:rPr>
        <w:t xml:space="preserve">A figura 2. evidencia a variação anual encontrada nos índices de prevalência </w:t>
      </w:r>
      <w:r w:rsidRPr="00DA53D4">
        <w:rPr>
          <w:rFonts w:ascii="Arial" w:hAnsi="Arial" w:cs="Arial"/>
          <w:sz w:val="24"/>
          <w:szCs w:val="24"/>
        </w:rPr>
        <w:lastRenderedPageBreak/>
        <w:t xml:space="preserve">por etnia. Nota-se que, de </w:t>
      </w:r>
      <w:r w:rsidR="00A521BB" w:rsidRPr="00915296">
        <w:rPr>
          <w:rFonts w:ascii="Arial" w:hAnsi="Arial" w:cs="Arial"/>
          <w:sz w:val="24"/>
          <w:szCs w:val="24"/>
        </w:rPr>
        <w:t>facto</w:t>
      </w:r>
      <w:r w:rsidRPr="00DA53D4">
        <w:rPr>
          <w:rFonts w:ascii="Arial" w:hAnsi="Arial" w:cs="Arial"/>
          <w:sz w:val="24"/>
          <w:szCs w:val="24"/>
        </w:rPr>
        <w:t xml:space="preserve">, </w:t>
      </w:r>
      <w:r w:rsidR="00680924" w:rsidRPr="00DA53D4">
        <w:rPr>
          <w:rFonts w:ascii="Arial" w:hAnsi="Arial" w:cs="Arial"/>
          <w:sz w:val="24"/>
          <w:szCs w:val="24"/>
        </w:rPr>
        <w:t>a média de prevalência da etnia branca se mostra como classe majoritária até o ano de 2016,</w:t>
      </w:r>
      <w:r w:rsidR="005328D6" w:rsidRPr="00DA53D4">
        <w:rPr>
          <w:rFonts w:ascii="Arial" w:hAnsi="Arial" w:cs="Arial"/>
          <w:sz w:val="24"/>
          <w:szCs w:val="24"/>
        </w:rPr>
        <w:t xml:space="preserve"> quando, a partir de maior inclusão de outras raças na base de dados, ela é </w:t>
      </w:r>
      <w:r w:rsidR="004B3E67" w:rsidRPr="00DA53D4">
        <w:rPr>
          <w:rFonts w:ascii="Arial" w:hAnsi="Arial" w:cs="Arial"/>
          <w:sz w:val="24"/>
          <w:szCs w:val="24"/>
        </w:rPr>
        <w:t>ultrapassada p</w:t>
      </w:r>
      <w:r w:rsidR="00EB5911" w:rsidRPr="00DA53D4">
        <w:rPr>
          <w:rFonts w:ascii="Arial" w:hAnsi="Arial" w:cs="Arial"/>
          <w:sz w:val="24"/>
          <w:szCs w:val="24"/>
        </w:rPr>
        <w:t>or</w:t>
      </w:r>
      <w:r w:rsidR="004B3E67" w:rsidRPr="00DA53D4">
        <w:rPr>
          <w:rFonts w:ascii="Arial" w:hAnsi="Arial" w:cs="Arial"/>
          <w:sz w:val="24"/>
          <w:szCs w:val="24"/>
        </w:rPr>
        <w:t xml:space="preserve"> outras três categorias incluídas no gráfico de linhas.</w:t>
      </w:r>
      <w:r w:rsidR="00F31F4E" w:rsidRPr="00DA53D4">
        <w:rPr>
          <w:rFonts w:ascii="Arial" w:hAnsi="Arial" w:cs="Arial"/>
          <w:sz w:val="24"/>
          <w:szCs w:val="24"/>
        </w:rPr>
        <w:t xml:space="preserve"> Em geral, os índices de prevalência também crescem </w:t>
      </w:r>
      <w:r w:rsidR="002E105B" w:rsidRPr="00DA53D4">
        <w:rPr>
          <w:rFonts w:ascii="Arial" w:hAnsi="Arial" w:cs="Arial"/>
          <w:sz w:val="24"/>
          <w:szCs w:val="24"/>
        </w:rPr>
        <w:t xml:space="preserve">à medida que os anos avançam no conjunto de dados. </w:t>
      </w:r>
    </w:p>
    <w:p w14:paraId="72D7FB16" w14:textId="77777777" w:rsidR="004836CC" w:rsidRPr="00915296" w:rsidRDefault="004836CC" w:rsidP="006C6336">
      <w:pPr>
        <w:spacing w:line="360" w:lineRule="auto"/>
        <w:ind w:firstLine="720"/>
        <w:jc w:val="both"/>
        <w:rPr>
          <w:rFonts w:ascii="Arial" w:hAnsi="Arial" w:cs="Arial"/>
          <w:sz w:val="24"/>
          <w:szCs w:val="24"/>
        </w:rPr>
      </w:pPr>
    </w:p>
    <w:p w14:paraId="1EAFEAAE" w14:textId="77777777" w:rsidR="00A43919" w:rsidRPr="00915296" w:rsidRDefault="00A43919" w:rsidP="004836CC">
      <w:pPr>
        <w:keepNext/>
        <w:jc w:val="center"/>
        <w:rPr>
          <w:rFonts w:ascii="Arial" w:hAnsi="Arial" w:cs="Arial"/>
          <w:sz w:val="24"/>
          <w:szCs w:val="24"/>
        </w:rPr>
      </w:pPr>
      <w:r w:rsidRPr="00915296">
        <w:rPr>
          <w:rFonts w:ascii="Arial" w:hAnsi="Arial" w:cs="Arial"/>
          <w:noProof/>
          <w:sz w:val="24"/>
          <w:szCs w:val="24"/>
        </w:rPr>
        <w:drawing>
          <wp:inline distT="0" distB="0" distL="0" distR="0" wp14:anchorId="385B6D0D" wp14:editId="61E0FADA">
            <wp:extent cx="5259600" cy="2898000"/>
            <wp:effectExtent l="0" t="0" r="0" b="0"/>
            <wp:docPr id="11301448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4489" name="Imagem 1" descr="Gráfico, Gráfico de barras&#10;&#10;Descrição gerada automaticamente"/>
                    <pic:cNvPicPr/>
                  </pic:nvPicPr>
                  <pic:blipFill>
                    <a:blip r:embed="rId11"/>
                    <a:stretch>
                      <a:fillRect/>
                    </a:stretch>
                  </pic:blipFill>
                  <pic:spPr>
                    <a:xfrm>
                      <a:off x="0" y="0"/>
                      <a:ext cx="5259600" cy="2898000"/>
                    </a:xfrm>
                    <a:prstGeom prst="rect">
                      <a:avLst/>
                    </a:prstGeom>
                  </pic:spPr>
                </pic:pic>
              </a:graphicData>
            </a:graphic>
          </wp:inline>
        </w:drawing>
      </w:r>
    </w:p>
    <w:p w14:paraId="0BC3AFF7" w14:textId="726BFD85" w:rsidR="0030452C" w:rsidRPr="009B4FD5" w:rsidRDefault="00A43919" w:rsidP="007C0451">
      <w:pPr>
        <w:pStyle w:val="Legenda"/>
        <w:jc w:val="center"/>
        <w:rPr>
          <w:rFonts w:ascii="Arial" w:hAnsi="Arial" w:cs="Arial"/>
          <w:sz w:val="20"/>
          <w:szCs w:val="20"/>
        </w:rPr>
      </w:pPr>
      <w:r w:rsidRPr="009B4FD5">
        <w:rPr>
          <w:rFonts w:ascii="Arial" w:hAnsi="Arial" w:cs="Arial"/>
          <w:sz w:val="20"/>
          <w:szCs w:val="20"/>
        </w:rPr>
        <w:t xml:space="preserve">Figura </w:t>
      </w:r>
      <w:r w:rsidRPr="009B4FD5">
        <w:rPr>
          <w:rFonts w:ascii="Arial" w:hAnsi="Arial" w:cs="Arial"/>
          <w:sz w:val="20"/>
          <w:szCs w:val="20"/>
        </w:rPr>
        <w:fldChar w:fldCharType="begin"/>
      </w:r>
      <w:r w:rsidRPr="009B4FD5">
        <w:rPr>
          <w:rFonts w:ascii="Arial" w:hAnsi="Arial" w:cs="Arial"/>
          <w:sz w:val="20"/>
          <w:szCs w:val="20"/>
        </w:rPr>
        <w:instrText xml:space="preserve"> SEQ Figura \* ARABIC </w:instrText>
      </w:r>
      <w:r w:rsidRPr="009B4FD5">
        <w:rPr>
          <w:rFonts w:ascii="Arial" w:hAnsi="Arial" w:cs="Arial"/>
          <w:sz w:val="20"/>
          <w:szCs w:val="20"/>
        </w:rPr>
        <w:fldChar w:fldCharType="separate"/>
      </w:r>
      <w:r w:rsidR="00B63B09">
        <w:rPr>
          <w:rFonts w:ascii="Arial" w:hAnsi="Arial" w:cs="Arial"/>
          <w:noProof/>
          <w:sz w:val="20"/>
          <w:szCs w:val="20"/>
        </w:rPr>
        <w:t>3</w:t>
      </w:r>
      <w:r w:rsidRPr="009B4FD5">
        <w:rPr>
          <w:rFonts w:ascii="Arial" w:hAnsi="Arial" w:cs="Arial"/>
          <w:sz w:val="20"/>
          <w:szCs w:val="20"/>
        </w:rPr>
        <w:fldChar w:fldCharType="end"/>
      </w:r>
      <w:r w:rsidRPr="009B4FD5">
        <w:rPr>
          <w:rFonts w:ascii="Arial" w:hAnsi="Arial" w:cs="Arial"/>
          <w:sz w:val="20"/>
          <w:szCs w:val="20"/>
        </w:rPr>
        <w:t>. Gráfico de barras clusterizado exibe as médias de prevalência por etnia, considerando a faixa temporal 2016 a 2020, período em que o CDC passa a incluir variedades categóricas</w:t>
      </w:r>
      <w:r w:rsidR="007C0451">
        <w:rPr>
          <w:rFonts w:ascii="Arial" w:hAnsi="Arial" w:cs="Arial"/>
          <w:sz w:val="20"/>
          <w:szCs w:val="20"/>
        </w:rPr>
        <w:t>.</w:t>
      </w:r>
    </w:p>
    <w:p w14:paraId="1B25284C" w14:textId="77777777" w:rsidR="004836CC" w:rsidRDefault="004836CC" w:rsidP="004836CC">
      <w:pPr>
        <w:pStyle w:val="Corpodetexto"/>
        <w:spacing w:beforeLines="30" w:before="72" w:afterLines="30" w:after="72" w:line="360" w:lineRule="auto"/>
        <w:ind w:firstLine="720"/>
        <w:jc w:val="both"/>
        <w:rPr>
          <w:rFonts w:ascii="Arial" w:eastAsia="Arial" w:hAnsi="Arial" w:cs="Arial"/>
        </w:rPr>
      </w:pPr>
    </w:p>
    <w:p w14:paraId="246F6DF1" w14:textId="6BCC63FF" w:rsidR="00B10BDC" w:rsidRPr="00915296" w:rsidRDefault="00B10BDC" w:rsidP="004836CC">
      <w:pPr>
        <w:pStyle w:val="Corpodetexto"/>
        <w:spacing w:beforeLines="30" w:before="72" w:afterLines="30" w:after="72" w:line="360" w:lineRule="auto"/>
        <w:ind w:firstLine="720"/>
        <w:jc w:val="both"/>
        <w:rPr>
          <w:rFonts w:ascii="Arial" w:eastAsia="Arial" w:hAnsi="Arial" w:cs="Arial"/>
        </w:rPr>
      </w:pPr>
      <w:r w:rsidRPr="00915296">
        <w:rPr>
          <w:rFonts w:ascii="Arial" w:eastAsia="Arial" w:hAnsi="Arial" w:cs="Arial"/>
        </w:rPr>
        <w:t>Ao longo das últimas décadas, a prevalência do Transtorno do Espectro Autista (TEA) nos Estados Unidos tem mostrado uma tendência consistente de aumento. Os dados coletados entre os anos 2000 e 2020 revelam um panorama marcado por um crescimento significativo no número de casos diagnosticados tanto em meninos quanto em meninas. Em 200</w:t>
      </w:r>
      <w:r w:rsidR="00DE2EB7" w:rsidRPr="00915296">
        <w:rPr>
          <w:rFonts w:ascii="Arial" w:eastAsia="Arial" w:hAnsi="Arial" w:cs="Arial"/>
        </w:rPr>
        <w:t>2</w:t>
      </w:r>
      <w:r w:rsidRPr="00915296">
        <w:rPr>
          <w:rFonts w:ascii="Arial" w:eastAsia="Arial" w:hAnsi="Arial" w:cs="Arial"/>
        </w:rPr>
        <w:t>, a prevalência de TEA entre meninos era de 11,5</w:t>
      </w:r>
      <w:r w:rsidR="00DE2EB7" w:rsidRPr="00915296">
        <w:rPr>
          <w:rFonts w:ascii="Arial" w:eastAsia="Arial" w:hAnsi="Arial" w:cs="Arial"/>
        </w:rPr>
        <w:t xml:space="preserve">, </w:t>
      </w:r>
      <w:r w:rsidRPr="00915296">
        <w:rPr>
          <w:rFonts w:ascii="Arial" w:eastAsia="Arial" w:hAnsi="Arial" w:cs="Arial"/>
        </w:rPr>
        <w:t>aumentando progressivamente para 43 em 2020. No mesmo período, a prevalência entre as meninas subiu de 2,7 em 2002 para 11,4 em 2020. Esses números refletem não apenas uma maior conscientização e diagnóstico mais preciso, mas também podem indicar mudanças reais na incidência do transtorno.</w:t>
      </w:r>
    </w:p>
    <w:p w14:paraId="6E4F2E7F" w14:textId="3F05F5B3" w:rsidR="00B10BDC" w:rsidRPr="00B10BDC" w:rsidRDefault="00B10BDC" w:rsidP="005D1093">
      <w:pPr>
        <w:pStyle w:val="Corpodetexto"/>
        <w:spacing w:beforeLines="30" w:before="72" w:afterLines="30" w:after="72" w:line="360" w:lineRule="auto"/>
        <w:ind w:firstLine="720"/>
        <w:jc w:val="both"/>
        <w:rPr>
          <w:rFonts w:ascii="Arial" w:eastAsia="Arial" w:hAnsi="Arial" w:cs="Arial"/>
        </w:rPr>
      </w:pPr>
      <w:r w:rsidRPr="00B10BDC">
        <w:rPr>
          <w:rFonts w:ascii="Arial" w:eastAsia="Arial" w:hAnsi="Arial" w:cs="Arial"/>
        </w:rPr>
        <w:t xml:space="preserve">Uma tendência notável é a disparidade de gênero na prevalência do TEA. Os dados mostram consistentemente uma prevalência muito maior entre meninos em comparação com meninas. Em 2020, por exemplo, a prevalência entre meninos era de 43, enquanto entre meninas era de 11,4. Essa diferença de gênero é um fenômeno bem documentado no campo do TEA, embora as razões exatas por trás disso ainda </w:t>
      </w:r>
      <w:r w:rsidRPr="00B10BDC">
        <w:rPr>
          <w:rFonts w:ascii="Arial" w:eastAsia="Arial" w:hAnsi="Arial" w:cs="Arial"/>
        </w:rPr>
        <w:lastRenderedPageBreak/>
        <w:t>não estejam totalmente esclarecidas.</w:t>
      </w:r>
    </w:p>
    <w:p w14:paraId="15DDB1AB" w14:textId="76322A69" w:rsidR="00B10BDC" w:rsidRDefault="00947014" w:rsidP="005D1093">
      <w:pPr>
        <w:pStyle w:val="Corpodetexto"/>
        <w:spacing w:beforeLines="30" w:before="72" w:afterLines="30" w:after="72" w:line="360" w:lineRule="auto"/>
        <w:ind w:firstLine="720"/>
        <w:jc w:val="both"/>
        <w:rPr>
          <w:rFonts w:ascii="Arial" w:eastAsia="Arial" w:hAnsi="Arial" w:cs="Arial"/>
        </w:rPr>
      </w:pPr>
      <w:r w:rsidRPr="00947014">
        <w:rPr>
          <w:rFonts w:ascii="Arial" w:eastAsia="Arial" w:hAnsi="Arial" w:cs="Arial"/>
        </w:rPr>
        <w:t>Uma análise mais detalhada dos dados revela que, embora os números absolutos de casos de TEA continuem a aumentar em ambos os sexos ao longo do tempo, o aumento percentual pode ser mais pronunciado entre os meninos. Por exemplo, entre 2000 e 2020, a prevalência entre meninos aumentou em 31,5, enquanto entre meninas aumentou em 8,</w:t>
      </w:r>
      <w:r w:rsidR="008221E7">
        <w:rPr>
          <w:rFonts w:ascii="Arial" w:eastAsia="Arial" w:hAnsi="Arial" w:cs="Arial"/>
        </w:rPr>
        <w:t>7</w:t>
      </w:r>
      <w:r w:rsidRPr="00947014">
        <w:rPr>
          <w:rFonts w:ascii="Arial" w:eastAsia="Arial" w:hAnsi="Arial" w:cs="Arial"/>
        </w:rPr>
        <w:t>. Isso sugere que, embora haja um aumento na prevalência do TEA em ambos os sexos, o ritmo desse aumento pode ser mais rápido entre os meninos.</w:t>
      </w:r>
    </w:p>
    <w:p w14:paraId="095F372D" w14:textId="77777777" w:rsidR="005C4B07" w:rsidRDefault="005C4B07" w:rsidP="00B10BDC">
      <w:pPr>
        <w:pStyle w:val="Corpodetexto"/>
        <w:spacing w:beforeLines="30" w:before="72" w:afterLines="30" w:after="72" w:line="360" w:lineRule="auto"/>
        <w:jc w:val="both"/>
        <w:rPr>
          <w:rFonts w:ascii="Arial" w:eastAsia="Arial" w:hAnsi="Arial" w:cs="Arial"/>
        </w:rPr>
      </w:pPr>
    </w:p>
    <w:p w14:paraId="2DAB8220" w14:textId="77777777" w:rsidR="005C4B07" w:rsidRPr="004836CC" w:rsidRDefault="005C4B07" w:rsidP="004836CC">
      <w:pPr>
        <w:pStyle w:val="Corpodetexto"/>
        <w:keepNext/>
        <w:spacing w:beforeLines="30" w:before="72" w:afterLines="30" w:after="72"/>
        <w:jc w:val="center"/>
        <w:rPr>
          <w:rFonts w:ascii="Arial" w:hAnsi="Arial" w:cs="Arial"/>
          <w:sz w:val="20"/>
          <w:szCs w:val="20"/>
        </w:rPr>
      </w:pPr>
      <w:r w:rsidRPr="004836CC">
        <w:rPr>
          <w:rFonts w:ascii="Arial" w:eastAsia="Arial" w:hAnsi="Arial" w:cs="Arial"/>
          <w:noProof/>
          <w:sz w:val="20"/>
          <w:szCs w:val="20"/>
        </w:rPr>
        <w:drawing>
          <wp:inline distT="0" distB="0" distL="0" distR="0" wp14:anchorId="731C4F61" wp14:editId="0F046E31">
            <wp:extent cx="5086800" cy="2829600"/>
            <wp:effectExtent l="0" t="0" r="0" b="8890"/>
            <wp:docPr id="31993427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34275" name="Imagem 1" descr="Gráfico, Gráfico de barras&#10;&#10;Descrição gerada automaticamente"/>
                    <pic:cNvPicPr/>
                  </pic:nvPicPr>
                  <pic:blipFill>
                    <a:blip r:embed="rId12"/>
                    <a:stretch>
                      <a:fillRect/>
                    </a:stretch>
                  </pic:blipFill>
                  <pic:spPr>
                    <a:xfrm>
                      <a:off x="0" y="0"/>
                      <a:ext cx="5086800" cy="2829600"/>
                    </a:xfrm>
                    <a:prstGeom prst="rect">
                      <a:avLst/>
                    </a:prstGeom>
                  </pic:spPr>
                </pic:pic>
              </a:graphicData>
            </a:graphic>
          </wp:inline>
        </w:drawing>
      </w:r>
    </w:p>
    <w:p w14:paraId="20F718E5" w14:textId="0D093627" w:rsidR="005C4B07" w:rsidRPr="004836CC" w:rsidRDefault="005C4B07" w:rsidP="004836CC">
      <w:pPr>
        <w:pStyle w:val="Legenda"/>
        <w:jc w:val="center"/>
        <w:rPr>
          <w:rFonts w:ascii="Arial" w:eastAsia="Arial" w:hAnsi="Arial" w:cs="Arial"/>
          <w:sz w:val="20"/>
          <w:szCs w:val="20"/>
        </w:rPr>
      </w:pPr>
      <w:r w:rsidRPr="004836CC">
        <w:rPr>
          <w:rFonts w:ascii="Arial" w:hAnsi="Arial" w:cs="Arial"/>
          <w:sz w:val="20"/>
          <w:szCs w:val="20"/>
        </w:rPr>
        <w:t xml:space="preserve">Figura </w:t>
      </w:r>
      <w:r w:rsidRPr="004836CC">
        <w:rPr>
          <w:rFonts w:ascii="Arial" w:hAnsi="Arial" w:cs="Arial"/>
          <w:sz w:val="20"/>
          <w:szCs w:val="20"/>
        </w:rPr>
        <w:fldChar w:fldCharType="begin"/>
      </w:r>
      <w:r w:rsidRPr="004836CC">
        <w:rPr>
          <w:rFonts w:ascii="Arial" w:hAnsi="Arial" w:cs="Arial"/>
          <w:sz w:val="20"/>
          <w:szCs w:val="20"/>
        </w:rPr>
        <w:instrText xml:space="preserve"> SEQ Figura \* ARABIC </w:instrText>
      </w:r>
      <w:r w:rsidRPr="004836CC">
        <w:rPr>
          <w:rFonts w:ascii="Arial" w:hAnsi="Arial" w:cs="Arial"/>
          <w:sz w:val="20"/>
          <w:szCs w:val="20"/>
        </w:rPr>
        <w:fldChar w:fldCharType="separate"/>
      </w:r>
      <w:r w:rsidR="00B63B09">
        <w:rPr>
          <w:rFonts w:ascii="Arial" w:hAnsi="Arial" w:cs="Arial"/>
          <w:noProof/>
          <w:sz w:val="20"/>
          <w:szCs w:val="20"/>
        </w:rPr>
        <w:t>4</w:t>
      </w:r>
      <w:r w:rsidRPr="004836CC">
        <w:rPr>
          <w:rFonts w:ascii="Arial" w:hAnsi="Arial" w:cs="Arial"/>
          <w:sz w:val="20"/>
          <w:szCs w:val="20"/>
        </w:rPr>
        <w:fldChar w:fldCharType="end"/>
      </w:r>
      <w:r w:rsidRPr="004836CC">
        <w:rPr>
          <w:rFonts w:ascii="Arial" w:hAnsi="Arial" w:cs="Arial"/>
          <w:sz w:val="20"/>
          <w:szCs w:val="20"/>
        </w:rPr>
        <w:t>. Barras empilhadas mostram a relação de diagnósticos de TEA em crianças do sexo feminino e masculino.</w:t>
      </w:r>
    </w:p>
    <w:p w14:paraId="078767FD" w14:textId="77777777" w:rsidR="005C4B07" w:rsidRPr="00B10BDC" w:rsidRDefault="005C4B07" w:rsidP="00B10BDC">
      <w:pPr>
        <w:pStyle w:val="Corpodetexto"/>
        <w:spacing w:beforeLines="30" w:before="72" w:afterLines="30" w:after="72" w:line="360" w:lineRule="auto"/>
        <w:jc w:val="both"/>
        <w:rPr>
          <w:rFonts w:ascii="Arial" w:eastAsia="Arial" w:hAnsi="Arial" w:cs="Arial"/>
        </w:rPr>
      </w:pPr>
    </w:p>
    <w:p w14:paraId="108BC353" w14:textId="23E1ECD0" w:rsidR="00B10BDC" w:rsidRDefault="00B10BDC" w:rsidP="005D1093">
      <w:pPr>
        <w:pStyle w:val="Corpodetexto"/>
        <w:spacing w:beforeLines="30" w:before="72" w:afterLines="30" w:after="72" w:line="360" w:lineRule="auto"/>
        <w:ind w:firstLine="720"/>
        <w:jc w:val="both"/>
        <w:rPr>
          <w:rFonts w:ascii="Arial" w:eastAsia="Arial" w:hAnsi="Arial" w:cs="Arial"/>
        </w:rPr>
      </w:pPr>
      <w:r w:rsidRPr="00B10BDC">
        <w:rPr>
          <w:rFonts w:ascii="Arial" w:eastAsia="Arial" w:hAnsi="Arial" w:cs="Arial"/>
        </w:rPr>
        <w:t>Os anos de 2018 e 2020 se destacam como períodos em que houve um aumento especialmente acentuado na prevalência do TEA. Em 2018, a prevalência entre meninos saltou para 36,5, enquanto entre meninas chegou a 8,8. Esses aumentos podem ser atribuídos a uma variedade de fatores, incluindo mudanças nas políticas de saúde, maior conscientização pública e aprimoramento das práticas de diagnóstico.</w:t>
      </w:r>
    </w:p>
    <w:p w14:paraId="6256A236" w14:textId="0FA0D181" w:rsidR="00366DA9" w:rsidRDefault="00366DA9" w:rsidP="005D1093">
      <w:pPr>
        <w:pStyle w:val="Corpodetexto"/>
        <w:spacing w:beforeLines="30" w:before="72" w:afterLines="30" w:after="72" w:line="360" w:lineRule="auto"/>
        <w:ind w:firstLine="720"/>
        <w:jc w:val="both"/>
        <w:rPr>
          <w:rFonts w:ascii="Arial" w:eastAsia="Arial" w:hAnsi="Arial" w:cs="Arial"/>
        </w:rPr>
      </w:pPr>
      <w:r>
        <w:rPr>
          <w:rFonts w:ascii="Arial" w:eastAsia="Arial" w:hAnsi="Arial" w:cs="Arial"/>
        </w:rPr>
        <w:t xml:space="preserve">Entretanto, a relação percentual entre os casos de crianças diagnosticadas com TEA e separadas por sexo biológico evidenciam a continuidade proporcional </w:t>
      </w:r>
      <w:r w:rsidR="003523F0">
        <w:rPr>
          <w:rFonts w:ascii="Arial" w:eastAsia="Arial" w:hAnsi="Arial" w:cs="Arial"/>
        </w:rPr>
        <w:t xml:space="preserve">de sua distribuição ao longo dos anos. Como nota-se na figura 5., </w:t>
      </w:r>
      <w:r w:rsidR="0014492B">
        <w:rPr>
          <w:rFonts w:ascii="Arial" w:eastAsia="Arial" w:hAnsi="Arial" w:cs="Arial"/>
        </w:rPr>
        <w:t xml:space="preserve">a distribuição percentual se mantém por volta de 80% para meninos e 20% para meninas. Essa </w:t>
      </w:r>
      <w:r w:rsidR="0014492B">
        <w:rPr>
          <w:rFonts w:ascii="Arial" w:eastAsia="Arial" w:hAnsi="Arial" w:cs="Arial"/>
        </w:rPr>
        <w:lastRenderedPageBreak/>
        <w:t xml:space="preserve">tendência de continuidade, de certo modo, comprova </w:t>
      </w:r>
      <w:r w:rsidR="00000E5C">
        <w:rPr>
          <w:rFonts w:ascii="Arial" w:eastAsia="Arial" w:hAnsi="Arial" w:cs="Arial"/>
        </w:rPr>
        <w:t xml:space="preserve">o fenômeno documentado de maior prevalência de diagnósticos </w:t>
      </w:r>
      <w:r w:rsidR="00F46C78">
        <w:rPr>
          <w:rFonts w:ascii="Arial" w:eastAsia="Arial" w:hAnsi="Arial" w:cs="Arial"/>
        </w:rPr>
        <w:t xml:space="preserve">TEA em crianças do gênero masculino. </w:t>
      </w:r>
    </w:p>
    <w:p w14:paraId="332628A8" w14:textId="77777777" w:rsidR="003523F0" w:rsidRDefault="003523F0" w:rsidP="00B10BDC">
      <w:pPr>
        <w:pStyle w:val="Corpodetexto"/>
        <w:spacing w:beforeLines="30" w:before="72" w:afterLines="30" w:after="72" w:line="360" w:lineRule="auto"/>
        <w:jc w:val="both"/>
        <w:rPr>
          <w:rFonts w:ascii="Arial" w:eastAsia="Arial" w:hAnsi="Arial" w:cs="Arial"/>
        </w:rPr>
      </w:pPr>
    </w:p>
    <w:p w14:paraId="4164D567" w14:textId="77777777" w:rsidR="003523F0" w:rsidRPr="004836CC" w:rsidRDefault="003523F0" w:rsidP="004836CC">
      <w:pPr>
        <w:pStyle w:val="Corpodetexto"/>
        <w:keepNext/>
        <w:spacing w:beforeLines="30" w:before="72" w:afterLines="30" w:after="72"/>
        <w:jc w:val="center"/>
        <w:rPr>
          <w:rFonts w:ascii="Arial" w:hAnsi="Arial" w:cs="Arial"/>
          <w:sz w:val="20"/>
          <w:szCs w:val="20"/>
        </w:rPr>
      </w:pPr>
      <w:r w:rsidRPr="004836CC">
        <w:rPr>
          <w:rFonts w:ascii="Arial" w:eastAsia="Arial" w:hAnsi="Arial" w:cs="Arial"/>
          <w:noProof/>
          <w:sz w:val="20"/>
          <w:szCs w:val="20"/>
        </w:rPr>
        <w:drawing>
          <wp:inline distT="0" distB="0" distL="0" distR="0" wp14:anchorId="07E73D14" wp14:editId="3803FDFB">
            <wp:extent cx="5090400" cy="2858400"/>
            <wp:effectExtent l="0" t="0" r="0" b="0"/>
            <wp:docPr id="137065025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50255" name="Imagem 1" descr="Gráfico, Gráfico de barras&#10;&#10;Descrição gerada automaticamente"/>
                    <pic:cNvPicPr/>
                  </pic:nvPicPr>
                  <pic:blipFill>
                    <a:blip r:embed="rId13"/>
                    <a:stretch>
                      <a:fillRect/>
                    </a:stretch>
                  </pic:blipFill>
                  <pic:spPr>
                    <a:xfrm>
                      <a:off x="0" y="0"/>
                      <a:ext cx="5090400" cy="2858400"/>
                    </a:xfrm>
                    <a:prstGeom prst="rect">
                      <a:avLst/>
                    </a:prstGeom>
                  </pic:spPr>
                </pic:pic>
              </a:graphicData>
            </a:graphic>
          </wp:inline>
        </w:drawing>
      </w:r>
    </w:p>
    <w:p w14:paraId="0B1F99A8" w14:textId="5FF7253E" w:rsidR="003523F0" w:rsidRPr="004836CC" w:rsidRDefault="003523F0" w:rsidP="004836CC">
      <w:pPr>
        <w:pStyle w:val="Legenda"/>
        <w:jc w:val="center"/>
        <w:rPr>
          <w:rFonts w:ascii="Arial" w:eastAsia="Arial" w:hAnsi="Arial" w:cs="Arial"/>
          <w:sz w:val="20"/>
          <w:szCs w:val="20"/>
        </w:rPr>
      </w:pPr>
      <w:r w:rsidRPr="004836CC">
        <w:rPr>
          <w:rFonts w:ascii="Arial" w:hAnsi="Arial" w:cs="Arial"/>
          <w:sz w:val="20"/>
          <w:szCs w:val="20"/>
        </w:rPr>
        <w:t xml:space="preserve">Figura </w:t>
      </w:r>
      <w:r w:rsidRPr="004836CC">
        <w:rPr>
          <w:rFonts w:ascii="Arial" w:hAnsi="Arial" w:cs="Arial"/>
          <w:sz w:val="20"/>
          <w:szCs w:val="20"/>
        </w:rPr>
        <w:fldChar w:fldCharType="begin"/>
      </w:r>
      <w:r w:rsidRPr="004836CC">
        <w:rPr>
          <w:rFonts w:ascii="Arial" w:hAnsi="Arial" w:cs="Arial"/>
          <w:sz w:val="20"/>
          <w:szCs w:val="20"/>
        </w:rPr>
        <w:instrText xml:space="preserve"> SEQ Figura \* ARABIC </w:instrText>
      </w:r>
      <w:r w:rsidRPr="004836CC">
        <w:rPr>
          <w:rFonts w:ascii="Arial" w:hAnsi="Arial" w:cs="Arial"/>
          <w:sz w:val="20"/>
          <w:szCs w:val="20"/>
        </w:rPr>
        <w:fldChar w:fldCharType="separate"/>
      </w:r>
      <w:r w:rsidR="00B63B09">
        <w:rPr>
          <w:rFonts w:ascii="Arial" w:hAnsi="Arial" w:cs="Arial"/>
          <w:noProof/>
          <w:sz w:val="20"/>
          <w:szCs w:val="20"/>
        </w:rPr>
        <w:t>5</w:t>
      </w:r>
      <w:r w:rsidRPr="004836CC">
        <w:rPr>
          <w:rFonts w:ascii="Arial" w:hAnsi="Arial" w:cs="Arial"/>
          <w:sz w:val="20"/>
          <w:szCs w:val="20"/>
        </w:rPr>
        <w:fldChar w:fldCharType="end"/>
      </w:r>
      <w:r w:rsidRPr="004836CC">
        <w:rPr>
          <w:rFonts w:ascii="Arial" w:hAnsi="Arial" w:cs="Arial"/>
          <w:sz w:val="20"/>
          <w:szCs w:val="20"/>
        </w:rPr>
        <w:t>. Gráfico de barras 100% empilhadas mostra a distribuição percentual entre sexos ao longo dos anos.</w:t>
      </w:r>
    </w:p>
    <w:p w14:paraId="47E183E2" w14:textId="77777777" w:rsidR="003523F0" w:rsidRPr="00B10BDC" w:rsidRDefault="003523F0" w:rsidP="00B10BDC">
      <w:pPr>
        <w:pStyle w:val="Corpodetexto"/>
        <w:spacing w:beforeLines="30" w:before="72" w:afterLines="30" w:after="72" w:line="360" w:lineRule="auto"/>
        <w:jc w:val="both"/>
        <w:rPr>
          <w:rFonts w:ascii="Arial" w:eastAsia="Arial" w:hAnsi="Arial" w:cs="Arial"/>
        </w:rPr>
      </w:pPr>
    </w:p>
    <w:p w14:paraId="6AFA89B8" w14:textId="65C94710" w:rsidR="008D235D" w:rsidRDefault="00B10BDC" w:rsidP="004836CC">
      <w:pPr>
        <w:pStyle w:val="Corpodetexto"/>
        <w:spacing w:beforeLines="30" w:before="72" w:afterLines="30" w:after="72" w:line="360" w:lineRule="auto"/>
        <w:ind w:firstLine="720"/>
        <w:jc w:val="both"/>
        <w:rPr>
          <w:rFonts w:ascii="Arial" w:eastAsia="Arial" w:hAnsi="Arial" w:cs="Arial"/>
        </w:rPr>
      </w:pPr>
      <w:r w:rsidRPr="00B10BDC">
        <w:rPr>
          <w:rFonts w:ascii="Arial" w:eastAsia="Arial" w:hAnsi="Arial" w:cs="Arial"/>
        </w:rPr>
        <w:t>Embora esses insights forneçam uma compreensão valiosa da prevalência do TEA nos Estados Unidos ao longo do tempo, ainda há muitas perguntas a serem respondidas. Mais pesquisas são necessárias para entender completamente os padrões de prevalência, as causas subjacentes e as necessidades de intervenção para indivíduos com TEA.</w:t>
      </w:r>
    </w:p>
    <w:p w14:paraId="75B81B48" w14:textId="77777777" w:rsidR="006A0F7E" w:rsidRDefault="006A0F7E" w:rsidP="004836CC">
      <w:pPr>
        <w:pStyle w:val="Corpodetexto"/>
        <w:spacing w:beforeLines="30" w:before="72" w:afterLines="30" w:after="72" w:line="360" w:lineRule="auto"/>
        <w:ind w:firstLine="720"/>
        <w:jc w:val="both"/>
        <w:rPr>
          <w:rFonts w:ascii="Arial" w:eastAsia="Arial" w:hAnsi="Arial" w:cs="Arial"/>
        </w:rPr>
      </w:pPr>
    </w:p>
    <w:p w14:paraId="380957FC" w14:textId="49CB93CF" w:rsidR="006A0F7E" w:rsidRDefault="006A0F7E" w:rsidP="00915296">
      <w:pPr>
        <w:pStyle w:val="Ttulo1"/>
        <w:tabs>
          <w:tab w:val="left" w:pos="377"/>
        </w:tabs>
        <w:spacing w:beforeLines="30" w:before="72" w:afterLines="30" w:after="72" w:line="360" w:lineRule="auto"/>
        <w:ind w:hanging="117"/>
        <w:jc w:val="both"/>
      </w:pPr>
      <w:r w:rsidRPr="006A0F7E">
        <w:t>3.3 Hipóteses</w:t>
      </w:r>
    </w:p>
    <w:p w14:paraId="0208F9F3" w14:textId="3E9C46A1" w:rsidR="00E56F06" w:rsidRPr="00E56F06" w:rsidRDefault="00E56F06" w:rsidP="00E56F06">
      <w:pPr>
        <w:pStyle w:val="Corpodetexto"/>
        <w:spacing w:beforeLines="30" w:before="72" w:afterLines="30" w:after="72" w:line="360" w:lineRule="auto"/>
        <w:jc w:val="both"/>
        <w:rPr>
          <w:rFonts w:ascii="Arial" w:eastAsia="Arial" w:hAnsi="Arial" w:cs="Arial"/>
          <w:b/>
          <w:bCs/>
        </w:rPr>
      </w:pPr>
      <w:r w:rsidRPr="00E56F06">
        <w:rPr>
          <w:rFonts w:ascii="Arial" w:eastAsia="Arial" w:hAnsi="Arial" w:cs="Arial"/>
          <w:b/>
          <w:bCs/>
        </w:rPr>
        <w:t xml:space="preserve">Hipótese A) O índice de Prevalência de TEA aumenta com o avanço do tempo </w:t>
      </w:r>
    </w:p>
    <w:p w14:paraId="1CB1DBC7" w14:textId="5B7DBEAE"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 xml:space="preserve">Devido à natureza de dados consolidados do dataset escolhido neste estudo, optamos pela formulação de hipóteses temporais sobre o índice de prevalência do TEA nos Estados </w:t>
      </w:r>
      <w:r w:rsidR="007624F2">
        <w:rPr>
          <w:rFonts w:ascii="Arial" w:eastAsia="Arial" w:hAnsi="Arial" w:cs="Arial"/>
        </w:rPr>
        <w:t>U</w:t>
      </w:r>
      <w:r w:rsidRPr="00C94D44">
        <w:rPr>
          <w:rFonts w:ascii="Arial" w:eastAsia="Arial" w:hAnsi="Arial" w:cs="Arial"/>
        </w:rPr>
        <w:t>nidos. Através da estatística indutiva e de suas ferramentas matemáticas de predição, verificamos se havia correlação entre as variáveis prevalência de TEA em uma faixa temporal de vinte anos, aproximadamente. Cabe a observação de que as datas foram tratadas como valores sequenciais. Depois, traçamos uma estimativa do índice de prevalência para os próximos anos com o método de regressão linear simples.</w:t>
      </w:r>
    </w:p>
    <w:p w14:paraId="6E49178A"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lastRenderedPageBreak/>
        <w:t xml:space="preserve">Nossa principal hipótese é a de que o índice de prevalência de TEA nos EUA aumenta conforme a passagem dos anos, catalogada entre 2000 e 2020. Acreditamos que o aumento da popularidade do tema na esfera pública, assim como o desenvolvimento tecnológico e médico, acarretaram o aumento significativo de diagnósticos de crianças com a condição no país. </w:t>
      </w:r>
    </w:p>
    <w:p w14:paraId="0518F675"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O Coeficiente Pearson é uma medida da estatística indutiva que mensura a correlação entre duas variáveis. Como uma função matemática, ‘y’ representa a variável dependente, isto é, aquela que depende de outra para que ocorra variação, representada, geralmente, por ‘x’. Neste caso, ‘y’ representa o índice de prevalência, enquanto ‘x’ os anos.  Ele quantifica a relação linear entre duas variáveis quantitativas, sendo representado pelo símbolo ‘r’ e varia de -1 a 1: a) r = 1 indica uma correlação linear perfeita positiva, onde, à medida que uma variável aumenta, a outra também aumenta proporcionalmente; ‘r = -1’ Indica uma correlação linear perfeita negativa, onde, à medida que uma variável aumenta, a outra diminui proporcionalmente; ‘r = 0’ indica que não há correlação linear entre as variáveis, ou seja, mudanças em uma variável não estão associadas a mudanças na outra.</w:t>
      </w:r>
    </w:p>
    <w:p w14:paraId="29B39A95"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O Coeficiente Pearson deve ser entendido como uma medida de cálculo que determina a correlação entre variáveis e não necessariamente sua causalidade. Um exemplo clássico de correlação sem causalidade é a relação entre o consumo de sorvete e os casos de afogamento. Geralmente, esses dois fatores têm uma correlação positiva (ambos aumentam durante o verão), mas o consumo de sorvete não causa afogamentos. A variável subjacente, neste caso, é a temperatura mais alta no verão, que aumenta tanto o consumo de sorvete quanto a frequência com que as pessoas nadam, potencialmente levando a mais casos de afogamento. Portanto, o Coeficiente Pearson, apesar de bom indicativo para análises iniciais, não responde a todas os questionamentos levantados em nossa hipótese principal. Para lidar com a incerteza, utilizamos o cálculo de Regressão Linear Simples a fim compreender de maneira mais profunda a relação entre a prevalência de TEA e o tempo.</w:t>
      </w:r>
    </w:p>
    <w:p w14:paraId="6A3E02D2"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 xml:space="preserve">Para calcular o coeficiente de correlação de Pearson, começamos calculando as médias das duas variáveis envolvidas. A média de uma variável é obtida somando todos os seus valores e dividindo pelo número de valores. Neste estudo, calculamos as médias aritméticas de cada indicador de prevalência de TEA individualizado por estado norte-americano, obtendo, assim, o que consideramos a média geral da base </w:t>
      </w:r>
      <w:r w:rsidRPr="00C94D44">
        <w:rPr>
          <w:rFonts w:ascii="Arial" w:eastAsia="Arial" w:hAnsi="Arial" w:cs="Arial"/>
        </w:rPr>
        <w:lastRenderedPageBreak/>
        <w:t>de dados. Depois, separamos cada média obtida pelo conjunto de anos específico a qual se designam, em intervalos de tempo sequenciais de 2000 a 2020.</w:t>
      </w:r>
    </w:p>
    <w:p w14:paraId="67FF1112"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Em seguida, subtraímos a média de cada valor individual da variável, tanto para a primeira variável (</w:t>
      </w:r>
      <w:r w:rsidRPr="002F2AE1">
        <w:rPr>
          <w:rFonts w:ascii="Cambria Math" w:eastAsia="Arial" w:hAnsi="Cambria Math" w:cs="Cambria Math"/>
        </w:rPr>
        <w:t>𝑥</w:t>
      </w:r>
      <w:r w:rsidRPr="00C94D44">
        <w:rPr>
          <w:rFonts w:ascii="Arial" w:eastAsia="Arial" w:hAnsi="Arial" w:cs="Arial"/>
        </w:rPr>
        <w:t xml:space="preserve">) quanto para a segunda variável (y). Esse processo nos dá as diferenças em relação às médias. Depois, multiplicamos essas diferenças correspondentes para cada par de valores. Ou seja, multiplicamos a diferença do valor </w:t>
      </w:r>
      <w:r w:rsidRPr="002F2AE1">
        <w:rPr>
          <w:rFonts w:ascii="Cambria Math" w:eastAsia="Arial" w:hAnsi="Cambria Math" w:cs="Cambria Math"/>
        </w:rPr>
        <w:t>𝑥</w:t>
      </w:r>
      <w:r w:rsidRPr="00C94D44">
        <w:rPr>
          <w:rFonts w:ascii="Arial" w:eastAsia="Arial" w:hAnsi="Arial" w:cs="Arial"/>
        </w:rPr>
        <w:t xml:space="preserve"> em relação à média de </w:t>
      </w:r>
      <w:r w:rsidRPr="002F2AE1">
        <w:rPr>
          <w:rFonts w:ascii="Cambria Math" w:eastAsia="Arial" w:hAnsi="Cambria Math" w:cs="Cambria Math"/>
        </w:rPr>
        <w:t>𝑥</w:t>
      </w:r>
      <w:r w:rsidRPr="00C94D44">
        <w:rPr>
          <w:rFonts w:ascii="Arial" w:eastAsia="Arial" w:hAnsi="Arial" w:cs="Arial"/>
        </w:rPr>
        <w:t xml:space="preserve"> pela diferença do valor </w:t>
      </w:r>
      <w:r w:rsidRPr="002F2AE1">
        <w:rPr>
          <w:rFonts w:ascii="Cambria Math" w:eastAsia="Arial" w:hAnsi="Cambria Math" w:cs="Cambria Math"/>
        </w:rPr>
        <w:t>𝑦</w:t>
      </w:r>
      <w:r w:rsidRPr="00C94D44">
        <w:rPr>
          <w:rFonts w:ascii="Arial" w:eastAsia="Arial" w:hAnsi="Arial" w:cs="Arial"/>
        </w:rPr>
        <w:t xml:space="preserve"> em relação à média de y. Em seguida, somamos todos esses produtos de diferenças. Essa soma representa o numerador da fórmula do coeficiente de correlação de Pearson.</w:t>
      </w:r>
    </w:p>
    <w:p w14:paraId="3F3ED720"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 xml:space="preserve">Para calcular o denominador da fórmula, primeiro elevamos ao quadrado cada uma das diferenças calculadas anteriormente, tanto para </w:t>
      </w:r>
      <w:r w:rsidRPr="002F2AE1">
        <w:rPr>
          <w:rFonts w:ascii="Cambria Math" w:eastAsia="Arial" w:hAnsi="Cambria Math" w:cs="Cambria Math"/>
        </w:rPr>
        <w:t>𝑥</w:t>
      </w:r>
      <w:r w:rsidRPr="00C94D44">
        <w:rPr>
          <w:rFonts w:ascii="Arial" w:eastAsia="Arial" w:hAnsi="Arial" w:cs="Arial"/>
        </w:rPr>
        <w:t xml:space="preserve"> quanto para </w:t>
      </w:r>
      <w:r w:rsidRPr="002F2AE1">
        <w:rPr>
          <w:rFonts w:ascii="Cambria Math" w:eastAsia="Arial" w:hAnsi="Cambria Math" w:cs="Cambria Math"/>
        </w:rPr>
        <w:t>𝑦</w:t>
      </w:r>
      <w:r w:rsidRPr="00C94D44">
        <w:rPr>
          <w:rFonts w:ascii="Arial" w:eastAsia="Arial" w:hAnsi="Arial" w:cs="Arial"/>
        </w:rPr>
        <w:t xml:space="preserve">. Somamos esses quadrados de diferenças para obter a soma total dos quadrados das diferenças de </w:t>
      </w:r>
      <w:r w:rsidRPr="002F2AE1">
        <w:rPr>
          <w:rFonts w:ascii="Cambria Math" w:eastAsia="Arial" w:hAnsi="Cambria Math" w:cs="Cambria Math"/>
        </w:rPr>
        <w:t>𝑥</w:t>
      </w:r>
      <w:r w:rsidRPr="00C94D44">
        <w:rPr>
          <w:rFonts w:ascii="Arial" w:eastAsia="Arial" w:hAnsi="Arial" w:cs="Arial"/>
        </w:rPr>
        <w:t xml:space="preserve"> e a soma total dos quadrados das diferenças de </w:t>
      </w:r>
      <w:r w:rsidRPr="002F2AE1">
        <w:rPr>
          <w:rFonts w:ascii="Cambria Math" w:eastAsia="Arial" w:hAnsi="Cambria Math" w:cs="Cambria Math"/>
        </w:rPr>
        <w:t>𝑦</w:t>
      </w:r>
      <w:r w:rsidRPr="00C94D44">
        <w:rPr>
          <w:rFonts w:ascii="Arial" w:eastAsia="Arial" w:hAnsi="Arial" w:cs="Arial"/>
        </w:rPr>
        <w:t>. Em seguida, tiramos a raiz quadrada dessas somas.</w:t>
      </w:r>
    </w:p>
    <w:p w14:paraId="68CFBC91" w14:textId="77777777" w:rsidR="006A0F7E" w:rsidRPr="00C94D44"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Finalmente, dividimos a soma dos produtos das diferenças (numerador) pelo produto das raízes quadradas das somas dos quadrados das diferenças (denominador). O resultado dessa divisão é o coeficiente de correlação de Pearson.</w:t>
      </w:r>
    </w:p>
    <w:p w14:paraId="0481EDA2" w14:textId="77777777" w:rsidR="006A0F7E" w:rsidRDefault="006A0F7E" w:rsidP="006A0F7E">
      <w:pPr>
        <w:pStyle w:val="Corpodetexto"/>
        <w:spacing w:beforeLines="30" w:before="72" w:afterLines="30" w:after="72" w:line="360" w:lineRule="auto"/>
        <w:ind w:firstLine="720"/>
        <w:jc w:val="both"/>
        <w:rPr>
          <w:rFonts w:ascii="Arial" w:eastAsia="Arial" w:hAnsi="Arial" w:cs="Arial"/>
        </w:rPr>
      </w:pPr>
      <w:r w:rsidRPr="00C94D44">
        <w:rPr>
          <w:rFonts w:ascii="Arial" w:eastAsia="Arial" w:hAnsi="Arial" w:cs="Arial"/>
        </w:rPr>
        <w:t xml:space="preserve">Os resultados indicam que há uma correlação forte positiva entre Prevalência de TEA e passagem dos anos (2000 a 2020) em nossa base de dados, com r = 0,83322, aproximadamente. A proximidade com o máximo possível para correlação positiva, 1, indica que a variável prevalência de TEA nos EUA tende a aumentar conforme variação positiva de anos. Essa relação está expressa no gráfico de linhas de média de prevalência de TEA por ano, </w:t>
      </w:r>
      <w:r>
        <w:rPr>
          <w:rFonts w:ascii="Arial" w:eastAsia="Arial" w:hAnsi="Arial" w:cs="Arial"/>
        </w:rPr>
        <w:t>Figura 6</w:t>
      </w:r>
      <w:r w:rsidRPr="00C94D44">
        <w:rPr>
          <w:rFonts w:ascii="Arial" w:eastAsia="Arial" w:hAnsi="Arial" w:cs="Arial"/>
        </w:rPr>
        <w:t>.</w:t>
      </w:r>
    </w:p>
    <w:p w14:paraId="078602FF" w14:textId="77777777" w:rsidR="006A0F7E" w:rsidRDefault="006A0F7E" w:rsidP="006A0F7E">
      <w:pPr>
        <w:pStyle w:val="Corpodetexto"/>
        <w:spacing w:beforeLines="30" w:before="72" w:afterLines="30" w:after="72" w:line="360" w:lineRule="auto"/>
        <w:ind w:firstLine="720"/>
        <w:jc w:val="both"/>
        <w:rPr>
          <w:rFonts w:ascii="Arial" w:eastAsia="Arial" w:hAnsi="Arial" w:cs="Arial"/>
        </w:rPr>
      </w:pPr>
    </w:p>
    <w:p w14:paraId="3B2DAB62" w14:textId="77777777" w:rsidR="006A0F7E" w:rsidRPr="002F2AE1" w:rsidRDefault="006A0F7E" w:rsidP="006A0F7E">
      <w:pPr>
        <w:pStyle w:val="Corpodetexto"/>
        <w:spacing w:beforeLines="30" w:before="72" w:afterLines="30" w:after="72" w:line="360" w:lineRule="auto"/>
        <w:jc w:val="both"/>
        <w:rPr>
          <w:rFonts w:ascii="Arial" w:eastAsia="Arial" w:hAnsi="Arial" w:cs="Arial"/>
        </w:rPr>
      </w:pPr>
      <w:r w:rsidRPr="002F2AE1">
        <w:rPr>
          <w:rFonts w:ascii="Arial" w:eastAsia="Arial" w:hAnsi="Arial" w:cs="Arial"/>
          <w:noProof/>
        </w:rPr>
        <w:lastRenderedPageBreak/>
        <w:drawing>
          <wp:inline distT="0" distB="0" distL="0" distR="0" wp14:anchorId="12C565AF" wp14:editId="39DAA7A4">
            <wp:extent cx="5762846" cy="2915305"/>
            <wp:effectExtent l="0" t="0" r="9525" b="0"/>
            <wp:docPr id="63508432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84326" name="Imagem 1" descr="Gráfico, Gráfico de linhas&#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010" cy="2937141"/>
                    </a:xfrm>
                    <a:prstGeom prst="rect">
                      <a:avLst/>
                    </a:prstGeom>
                    <a:noFill/>
                    <a:ln>
                      <a:noFill/>
                    </a:ln>
                  </pic:spPr>
                </pic:pic>
              </a:graphicData>
            </a:graphic>
          </wp:inline>
        </w:drawing>
      </w:r>
    </w:p>
    <w:p w14:paraId="621491A9" w14:textId="77777777" w:rsidR="006A0F7E" w:rsidRDefault="006A0F7E" w:rsidP="006A0F7E">
      <w:pPr>
        <w:pStyle w:val="Legenda"/>
        <w:jc w:val="both"/>
      </w:pPr>
      <w:r w:rsidRPr="002F2AE1">
        <w:rPr>
          <w:rFonts w:ascii="Arial" w:eastAsia="Arial" w:hAnsi="Arial" w:cs="Arial"/>
        </w:rPr>
        <w:t xml:space="preserve">Figura </w:t>
      </w:r>
      <w:r w:rsidRPr="002F2AE1">
        <w:rPr>
          <w:rFonts w:ascii="Arial" w:eastAsia="Arial" w:hAnsi="Arial" w:cs="Arial"/>
        </w:rPr>
        <w:fldChar w:fldCharType="begin"/>
      </w:r>
      <w:r w:rsidRPr="002F2AE1">
        <w:rPr>
          <w:rFonts w:ascii="Arial" w:eastAsia="Arial" w:hAnsi="Arial" w:cs="Arial"/>
        </w:rPr>
        <w:instrText xml:space="preserve"> SEQ Figura \* ARABIC </w:instrText>
      </w:r>
      <w:r w:rsidRPr="002F2AE1">
        <w:rPr>
          <w:rFonts w:ascii="Arial" w:eastAsia="Arial" w:hAnsi="Arial" w:cs="Arial"/>
        </w:rPr>
        <w:fldChar w:fldCharType="separate"/>
      </w:r>
      <w:r w:rsidRPr="002F2AE1">
        <w:rPr>
          <w:rFonts w:ascii="Arial" w:eastAsia="Arial" w:hAnsi="Arial" w:cs="Arial"/>
        </w:rPr>
        <w:t>6</w:t>
      </w:r>
      <w:r w:rsidRPr="002F2AE1">
        <w:rPr>
          <w:rFonts w:ascii="Arial" w:eastAsia="Arial" w:hAnsi="Arial" w:cs="Arial"/>
        </w:rPr>
        <w:fldChar w:fldCharType="end"/>
      </w:r>
      <w:r w:rsidRPr="002F2AE1">
        <w:rPr>
          <w:rFonts w:ascii="Arial" w:eastAsia="Arial" w:hAnsi="Arial" w:cs="Arial"/>
        </w:rPr>
        <w:t>. Gráfico de linhas demonstra a correlação positiva forte entre Prevalência de TEA nos EUA com a passagem do tempo</w:t>
      </w:r>
      <w:r>
        <w:t>.</w:t>
      </w:r>
    </w:p>
    <w:p w14:paraId="4A24F00A" w14:textId="77777777" w:rsidR="006A0F7E" w:rsidRPr="002F2AE1" w:rsidRDefault="006A0F7E" w:rsidP="006A0F7E"/>
    <w:p w14:paraId="06197BD7" w14:textId="77777777" w:rsidR="006A0F7E" w:rsidRPr="00092379"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Embora fosse possível inferir essa correlação entre as variáveis através da visualização gráfica, o Coeficiente de Pearson substancia a análise com evidências matemáticas, fortalecendo a nossa hipótese principal. Ao realizarmos a análise de correlação dos valores individuais, isto é, não concatenados por média geral, o valor de r continua igual, apresentando a mesma correlação positiva forte entre as variáveis.</w:t>
      </w:r>
    </w:p>
    <w:p w14:paraId="1AB0902B" w14:textId="77777777" w:rsidR="006A0F7E" w:rsidRPr="00092379"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Os resultados da análise de regressão linear entre a prevalência de Transtorno do Espectro Autista (TEA) e os anos indicam uma forte correlação positiva entre as duas variáveis. O R múltiplo de 0,83322 sugere que há uma relação forte e positiva entre os anos e a prevalência de TEA, indicando que, à medida que os anos avançam, a prevalência de TEA tende a aumentar. O coeficiente de determinação, R-Quadrado, é 0,694256, o que significa que aproximadamente 69,43% da variabilidade na prevalência de TEA pode ser explicada pela variação nos anos. Este alto valor de R-Quadrado sugere que o modelo de regressão linear se ajusta bem aos dados.</w:t>
      </w:r>
    </w:p>
    <w:p w14:paraId="029789C8" w14:textId="77777777" w:rsidR="006A0F7E" w:rsidRDefault="006A0F7E" w:rsidP="006A0F7E">
      <w:pPr>
        <w:pStyle w:val="Corpodetexto"/>
        <w:spacing w:beforeLines="30" w:before="72" w:afterLines="30" w:after="72" w:line="360" w:lineRule="auto"/>
        <w:rPr>
          <w:rFonts w:ascii="Arial" w:eastAsia="Arial" w:hAnsi="Arial" w:cs="Arial"/>
        </w:rPr>
      </w:pPr>
      <w:r>
        <w:rPr>
          <w:rFonts w:ascii="Arial" w:eastAsia="Arial" w:hAnsi="Arial" w:cs="Arial"/>
          <w:noProof/>
        </w:rPr>
        <w:lastRenderedPageBreak/>
        <w:drawing>
          <wp:inline distT="0" distB="0" distL="0" distR="0" wp14:anchorId="145E19D8" wp14:editId="79123015">
            <wp:extent cx="5753100" cy="4000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0A8D6E10" w14:textId="77777777" w:rsidR="006A0F7E" w:rsidRPr="002F2AE1" w:rsidRDefault="006A0F7E" w:rsidP="006A0F7E">
      <w:pPr>
        <w:pStyle w:val="Corpodetexto"/>
        <w:spacing w:beforeLines="30" w:before="72" w:afterLines="30" w:after="72" w:line="360" w:lineRule="auto"/>
        <w:ind w:firstLine="720"/>
        <w:jc w:val="both"/>
        <w:rPr>
          <w:rFonts w:ascii="Arial" w:eastAsia="Arial" w:hAnsi="Arial" w:cs="Arial"/>
          <w:i/>
          <w:iCs/>
          <w:color w:val="1F497D" w:themeColor="text2"/>
          <w:sz w:val="18"/>
          <w:szCs w:val="18"/>
        </w:rPr>
      </w:pPr>
      <w:r w:rsidRPr="002F2AE1">
        <w:rPr>
          <w:rFonts w:ascii="Arial" w:eastAsia="Arial" w:hAnsi="Arial" w:cs="Arial"/>
          <w:i/>
          <w:iCs/>
          <w:color w:val="1F497D" w:themeColor="text2"/>
          <w:sz w:val="18"/>
          <w:szCs w:val="18"/>
        </w:rPr>
        <w:t>Figura 7. Gráfico de dispersão exibindo previsão de prevalência de TEA para 2026</w:t>
      </w:r>
    </w:p>
    <w:p w14:paraId="6EC41C53" w14:textId="77777777" w:rsidR="006A0F7E" w:rsidRDefault="006A0F7E" w:rsidP="006A0F7E">
      <w:pPr>
        <w:pStyle w:val="Corpodetexto"/>
        <w:spacing w:beforeLines="30" w:before="72" w:afterLines="30" w:after="72" w:line="360" w:lineRule="auto"/>
        <w:ind w:firstLine="720"/>
        <w:jc w:val="both"/>
        <w:rPr>
          <w:rFonts w:ascii="Arial" w:eastAsia="Arial" w:hAnsi="Arial" w:cs="Arial"/>
        </w:rPr>
      </w:pPr>
    </w:p>
    <w:p w14:paraId="747F9C0B" w14:textId="77777777" w:rsidR="006A0F7E" w:rsidRPr="00092379"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O R-quadrado ajustado, que leva em conta o número de previsores no modelo, é 0,691867, apenas ligeiramente menor que o R-Quadrado, confirmando que o modelo continua sendo uma boa representação dos dados. O erro padrão da estimativa é 4,354937, indicando a média da distância entre os valores observados e os valores preditos pela linha de regressão. Um erro padrão menor seria preferível, mas este valor ainda é aceitável dentro do contexto dos dados analisados. A análise foi realizada com 130 observações, proporcionando uma amostra suficientemente grande para derivar conclusões estatisticamente significativas.</w:t>
      </w:r>
    </w:p>
    <w:p w14:paraId="5E92454F" w14:textId="77777777" w:rsidR="006A0F7E" w:rsidRPr="00092379"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A análise de variância (ANOVA) para o modelo de regressão mostra que o valor F é 290,6504, com um valor de significância de 9,73E-35. Este valor de significância extremamente pequeno indica que o modelo de regressão é altamente significativo, ou seja, há uma probabilidade muito baixa de que os resultados observados tenham ocorrido por acaso.</w:t>
      </w:r>
    </w:p>
    <w:p w14:paraId="2C79D685" w14:textId="77777777" w:rsidR="006A0F7E" w:rsidRPr="00092379"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 xml:space="preserve">Os coeficientes da equação de regressão revelam mais detalhes sobre a relação entre os anos e a prevalência de TEA. O coeficiente de interseção é -2125,13, indicando que, quando os anos são zero, o valor estimado da prevalência de TEA </w:t>
      </w:r>
      <w:r w:rsidRPr="00092379">
        <w:rPr>
          <w:rFonts w:ascii="Arial" w:eastAsia="Arial" w:hAnsi="Arial" w:cs="Arial"/>
        </w:rPr>
        <w:lastRenderedPageBreak/>
        <w:t>seria -2125,13. Embora este valor não tenha um significado prático direto, pois não é possível ter um ano zero no contexto dos dados, ele ajuda a ancorar a linha de regressão. O valor-P associado a este coeficiente é extremamente baixo (1,8E-34), indicando que é altamente significativo.</w:t>
      </w:r>
    </w:p>
    <w:p w14:paraId="59277898" w14:textId="77777777" w:rsidR="006A0F7E" w:rsidRPr="00092379"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Para a variável Ano, o coeficiente é 1,064463, sugerindo que, para cada aumento de um ano, a prevalência de TEA aumenta, em média, 1,064463 unidades. Este coeficiente é altamente significativo, com um valor-P de 9,73E-35. Os intervalos de confiança para este coeficiente, tanto de 95% quanto de 99%, não incluem zero, reforçando a significância do coeficiente.</w:t>
      </w:r>
    </w:p>
    <w:p w14:paraId="5A4A359C" w14:textId="77777777" w:rsidR="006A0F7E" w:rsidRDefault="006A0F7E" w:rsidP="006A0F7E">
      <w:pPr>
        <w:pStyle w:val="Corpodetexto"/>
        <w:spacing w:beforeLines="30" w:before="72" w:afterLines="30" w:after="72" w:line="360" w:lineRule="auto"/>
        <w:ind w:firstLine="720"/>
        <w:jc w:val="both"/>
        <w:rPr>
          <w:rFonts w:ascii="Arial" w:eastAsia="Arial" w:hAnsi="Arial" w:cs="Arial"/>
        </w:rPr>
      </w:pPr>
      <w:r w:rsidRPr="00092379">
        <w:rPr>
          <w:rFonts w:ascii="Arial" w:eastAsia="Arial" w:hAnsi="Arial" w:cs="Arial"/>
        </w:rPr>
        <w:t>Em conclusão, a análise de regressão linear demonstra uma forte correlação positiva entre os anos e a prevalência de TEA, com um R-Quadrado de 0,694256 indicando que cerca de 69,43% da variabilidade na prevalência de TEA é explicada pela variação nos anos. Os coeficientes do modelo são altamente significativos, sugerindo um aumento consistente na prevalência de TEA ao longo do tempo. Estes resultados destacam a importância de continuar monitorando a prevalência de TEA e investigando os fatores subjacentes que podem estar contribuindo para esse aumento.</w:t>
      </w:r>
    </w:p>
    <w:p w14:paraId="6BF78C11" w14:textId="5AA9352D" w:rsidR="006A0F7E" w:rsidRDefault="006A0F7E" w:rsidP="006A0F7E">
      <w:pPr>
        <w:pStyle w:val="Corpodetexto"/>
        <w:spacing w:beforeLines="30" w:before="72" w:afterLines="30" w:after="72" w:line="360" w:lineRule="auto"/>
        <w:ind w:firstLine="720"/>
        <w:jc w:val="both"/>
        <w:rPr>
          <w:rFonts w:ascii="Arial" w:eastAsia="Arial" w:hAnsi="Arial" w:cs="Arial"/>
        </w:rPr>
      </w:pPr>
      <w:r w:rsidRPr="00107146">
        <w:rPr>
          <w:rFonts w:ascii="Arial" w:eastAsia="Arial" w:hAnsi="Arial" w:cs="Arial"/>
        </w:rPr>
        <w:t>Com base nos coeficientes da regressão linear, é possível calcular uma previsão para a prevalência de TEA no ano de 2026</w:t>
      </w:r>
      <w:r>
        <w:rPr>
          <w:rFonts w:ascii="Arial" w:eastAsia="Arial" w:hAnsi="Arial" w:cs="Arial"/>
        </w:rPr>
        <w:t>, por exemplo</w:t>
      </w:r>
      <w:r w:rsidRPr="00107146">
        <w:rPr>
          <w:rFonts w:ascii="Arial" w:eastAsia="Arial" w:hAnsi="Arial" w:cs="Arial"/>
        </w:rPr>
        <w:t>. A equação da reta de regressão utilizada é dada por Prevalência de TEA = Interseção + (Coeficiente × Ano). A partir dos resultados fornecidos, a interseção é -2125,13 e o coeficiente da variável Ano é 1,064463. Para prever a prevalência de TEA em 2026, substituímos o valor do ano na equação: Prevalência de TEA em 2026 = -2125,13 + (1,064463 × 2026). Realizando o cálculo, obtemos Prevalência de TEA em 2026 = -2125,13 + 2157,931838, resultando em aproximadamente 32,80 unidades. Portanto, a previsão da prevalência de TEA para o ano de 2026 é cerca de 32,80 unidades.</w:t>
      </w:r>
    </w:p>
    <w:p w14:paraId="434D0906" w14:textId="77777777" w:rsidR="00E56F06" w:rsidRDefault="00E56F06" w:rsidP="006A0F7E">
      <w:pPr>
        <w:pStyle w:val="Corpodetexto"/>
        <w:spacing w:beforeLines="30" w:before="72" w:afterLines="30" w:after="72" w:line="360" w:lineRule="auto"/>
        <w:ind w:firstLine="720"/>
        <w:jc w:val="both"/>
        <w:rPr>
          <w:rFonts w:ascii="Arial" w:eastAsia="Arial" w:hAnsi="Arial" w:cs="Arial"/>
        </w:rPr>
      </w:pPr>
    </w:p>
    <w:p w14:paraId="68CCD58E" w14:textId="4D631B51" w:rsidR="00E56F06" w:rsidRDefault="00E56F06" w:rsidP="00E56F06">
      <w:pPr>
        <w:pStyle w:val="Corpodetexto"/>
        <w:spacing w:beforeLines="30" w:before="72" w:afterLines="30" w:after="72" w:line="360" w:lineRule="auto"/>
        <w:jc w:val="both"/>
        <w:rPr>
          <w:rFonts w:ascii="Arial" w:eastAsia="Arial" w:hAnsi="Arial" w:cs="Arial"/>
          <w:b/>
          <w:bCs/>
        </w:rPr>
      </w:pPr>
      <w:r w:rsidRPr="00E56F06">
        <w:rPr>
          <w:rFonts w:ascii="Arial" w:eastAsia="Arial" w:hAnsi="Arial" w:cs="Arial"/>
          <w:b/>
          <w:bCs/>
        </w:rPr>
        <w:t>Hipótese B) Conforme o avanço do tempo, menor é a diferença de prevalência de TEA por gênero</w:t>
      </w:r>
    </w:p>
    <w:p w14:paraId="3E57FD45" w14:textId="77777777" w:rsidR="00E56F06" w:rsidRPr="00E56F06" w:rsidRDefault="00E56F06" w:rsidP="00E56F06">
      <w:pPr>
        <w:pStyle w:val="Corpodetexto"/>
        <w:spacing w:beforeLines="30" w:before="72" w:afterLines="30" w:after="72" w:line="360" w:lineRule="auto"/>
        <w:jc w:val="both"/>
        <w:rPr>
          <w:rFonts w:ascii="Arial" w:eastAsia="Arial" w:hAnsi="Arial" w:cs="Arial"/>
        </w:rPr>
      </w:pPr>
    </w:p>
    <w:p w14:paraId="5F28BFB1" w14:textId="77777777" w:rsidR="00E56F06" w:rsidRDefault="00E56F06" w:rsidP="00E56F06">
      <w:pPr>
        <w:pStyle w:val="Corpodetexto"/>
        <w:spacing w:beforeLines="30" w:before="72" w:afterLines="30" w:after="72" w:line="360" w:lineRule="auto"/>
        <w:jc w:val="both"/>
        <w:rPr>
          <w:rFonts w:ascii="Arial" w:eastAsia="Arial" w:hAnsi="Arial" w:cs="Arial"/>
        </w:rPr>
      </w:pPr>
    </w:p>
    <w:p w14:paraId="2869F177" w14:textId="77777777" w:rsidR="006A0F7E" w:rsidRPr="00A06EF7" w:rsidRDefault="006A0F7E" w:rsidP="006A0F7E">
      <w:pPr>
        <w:pStyle w:val="Corpodetexto"/>
        <w:spacing w:beforeLines="30" w:before="72" w:afterLines="30" w:after="72" w:line="360" w:lineRule="auto"/>
        <w:ind w:firstLine="720"/>
        <w:jc w:val="both"/>
        <w:rPr>
          <w:rFonts w:ascii="Arial" w:eastAsia="Arial" w:hAnsi="Arial" w:cs="Arial"/>
        </w:rPr>
      </w:pPr>
    </w:p>
    <w:p w14:paraId="6DC215FA" w14:textId="7E032B83" w:rsidR="009B402C" w:rsidRDefault="005D1093" w:rsidP="00915296">
      <w:pPr>
        <w:pStyle w:val="Ttulo1"/>
        <w:tabs>
          <w:tab w:val="left" w:pos="377"/>
        </w:tabs>
        <w:spacing w:beforeLines="30" w:before="72" w:afterLines="30" w:after="72" w:line="360" w:lineRule="auto"/>
        <w:ind w:hanging="117"/>
        <w:jc w:val="both"/>
      </w:pPr>
      <w:r>
        <w:lastRenderedPageBreak/>
        <w:t xml:space="preserve">4. </w:t>
      </w:r>
      <w:r w:rsidR="009B402C">
        <w:t>CONCLUSÃO</w:t>
      </w:r>
    </w:p>
    <w:p w14:paraId="3C17E29C" w14:textId="30DE6032" w:rsidR="00A05826" w:rsidRPr="00915296" w:rsidRDefault="00A05826" w:rsidP="005D1093">
      <w:pPr>
        <w:pStyle w:val="Corpodetexto"/>
        <w:spacing w:beforeLines="30" w:before="72" w:afterLines="30" w:after="72" w:line="360" w:lineRule="auto"/>
        <w:ind w:right="116" w:firstLine="720"/>
        <w:jc w:val="both"/>
        <w:rPr>
          <w:rFonts w:ascii="Arial" w:hAnsi="Arial" w:cs="Arial"/>
        </w:rPr>
      </w:pPr>
      <w:r w:rsidRPr="00915296">
        <w:rPr>
          <w:rFonts w:ascii="Arial" w:hAnsi="Arial" w:cs="Arial"/>
        </w:rPr>
        <w:t>O ano de 2000 marcou o início da série temporal com a menor prevalência de TEA, registrando 6,55, o que significava uma criança diagnosticada a cada 156. Desde então, observamos um crescimento significativo, com um aumento médio percentual de 15,42% nos diagnósticos de TEA de 2000 a 2020. Notavelmente, o ano de 2020 representou um aumento impressionante de 321,70% em comparação com o ano inicial.</w:t>
      </w:r>
    </w:p>
    <w:p w14:paraId="46159C0C" w14:textId="79C5DE72" w:rsidR="00A05826" w:rsidRPr="00915296" w:rsidRDefault="00A05826" w:rsidP="005D1093">
      <w:pPr>
        <w:pStyle w:val="Corpodetexto"/>
        <w:spacing w:beforeLines="30" w:before="72" w:afterLines="30" w:after="72" w:line="360" w:lineRule="auto"/>
        <w:ind w:right="116" w:firstLine="720"/>
        <w:jc w:val="both"/>
        <w:rPr>
          <w:rFonts w:ascii="Arial" w:hAnsi="Arial" w:cs="Arial"/>
        </w:rPr>
      </w:pPr>
      <w:r w:rsidRPr="00915296">
        <w:rPr>
          <w:rFonts w:ascii="Arial" w:hAnsi="Arial" w:cs="Arial"/>
        </w:rPr>
        <w:t>Analisando a prevalência por gênero, observamos uma disparidade consistente, com os meninos apresentando uma prevalência significativamente maior em comparação com as meninas. Embora ambos os sexos tenham experimentado um aumento na prevalência ao longo do tempo, o crescimento percentual parece ser mais pronunciado entre os meninos. No entanto, a distribuição percentual de casos de TEA entre meninos e meninas permaneceu relativamente estável ao longo dos anos, com cerca de 80% dos casos diagnosticados em meninos e 20% em meninas.</w:t>
      </w:r>
    </w:p>
    <w:p w14:paraId="7AFA8286" w14:textId="66372214" w:rsidR="00A05826" w:rsidRPr="00915296" w:rsidRDefault="00A05826" w:rsidP="005D1093">
      <w:pPr>
        <w:pStyle w:val="Corpodetexto"/>
        <w:spacing w:beforeLines="30" w:before="72" w:afterLines="30" w:after="72" w:line="360" w:lineRule="auto"/>
        <w:ind w:right="116" w:firstLine="720"/>
        <w:jc w:val="both"/>
        <w:rPr>
          <w:rFonts w:ascii="Arial" w:hAnsi="Arial" w:cs="Arial"/>
        </w:rPr>
      </w:pPr>
      <w:r w:rsidRPr="00915296">
        <w:rPr>
          <w:rFonts w:ascii="Arial" w:hAnsi="Arial" w:cs="Arial"/>
        </w:rPr>
        <w:t>Os anos de 2018 e 2020 foram marcados por aumentos significativos na prevalência do TEA, refletindo possíveis mudanças nas políticas de saúde, conscientização pública e práticas de diagnóstico. Além disso, a análise por estado revelou variações na prevalência, com a Califórnia apresentando os números mais altos, indicando a importância de considerar fatores regionais na compreensão do TEA.</w:t>
      </w:r>
    </w:p>
    <w:p w14:paraId="5D620B05" w14:textId="496810AD" w:rsidR="00A05826" w:rsidRDefault="00A05826" w:rsidP="005D1093">
      <w:pPr>
        <w:pStyle w:val="Corpodetexto"/>
        <w:spacing w:beforeLines="30" w:before="72" w:afterLines="30" w:after="72" w:line="360" w:lineRule="auto"/>
        <w:ind w:right="116" w:firstLine="720"/>
        <w:jc w:val="both"/>
        <w:rPr>
          <w:rFonts w:ascii="Arial" w:hAnsi="Arial" w:cs="Arial"/>
        </w:rPr>
      </w:pPr>
      <w:r w:rsidRPr="00915296">
        <w:rPr>
          <w:rFonts w:ascii="Arial" w:hAnsi="Arial" w:cs="Arial"/>
        </w:rPr>
        <w:t>A análise por etnia revelou desafios na comparação devido à disponibilidade limitada de dados. No entanto, observamos tendências consistentes de aumento na prevalência do TEA entre todas as etnias ao longo do tempo. O aumento da inclusão de diversas etnias na base de dados ao longo dos anos parece estar contribuindo para uma distribuição mais equitativa dos índices de prevalência.</w:t>
      </w:r>
    </w:p>
    <w:p w14:paraId="48BD8180" w14:textId="2D997641" w:rsidR="005967FA" w:rsidRDefault="005967FA" w:rsidP="005D1093">
      <w:pPr>
        <w:pStyle w:val="Corpodetexto"/>
        <w:spacing w:beforeLines="30" w:before="72" w:afterLines="30" w:after="72" w:line="360" w:lineRule="auto"/>
        <w:ind w:right="116" w:firstLine="720"/>
        <w:jc w:val="both"/>
        <w:rPr>
          <w:rFonts w:ascii="Arial" w:hAnsi="Arial" w:cs="Arial"/>
        </w:rPr>
      </w:pPr>
      <w:r>
        <w:rPr>
          <w:rFonts w:ascii="Arial" w:hAnsi="Arial" w:cs="Arial"/>
        </w:rPr>
        <w:t xml:space="preserve">Em relação às hipóteses levantadas e testadas neste estudo, </w:t>
      </w:r>
      <w:r w:rsidR="002615D0">
        <w:rPr>
          <w:rFonts w:ascii="Arial" w:hAnsi="Arial" w:cs="Arial"/>
        </w:rPr>
        <w:t xml:space="preserve">os resultados demonstraram que há, de fato, uma correlação significativa entre aumento do índice de prevalência do TEA nos EUA com a passagem dos anos. Conforme o tempo avança, maior é o índice geral de prevalência de TEA. </w:t>
      </w:r>
      <w:r w:rsidR="0066178B">
        <w:rPr>
          <w:rFonts w:ascii="Arial" w:hAnsi="Arial" w:cs="Arial"/>
        </w:rPr>
        <w:t xml:space="preserve">O cálculo de regressão linear simples atesta essa hipótese ao indicar que, aproximadamente, 70% da variação de </w:t>
      </w:r>
      <w:r w:rsidR="00FF7CD0">
        <w:rPr>
          <w:rFonts w:ascii="Arial" w:hAnsi="Arial" w:cs="Arial"/>
        </w:rPr>
        <w:t xml:space="preserve">prevalência pode ser explicada pelo avanço do tempo entre 2000 e 2020. No entanto, </w:t>
      </w:r>
      <w:r w:rsidR="00C926E5">
        <w:rPr>
          <w:rFonts w:ascii="Arial" w:hAnsi="Arial" w:cs="Arial"/>
        </w:rPr>
        <w:t xml:space="preserve">a dimensão do tempo, aqui, deve ser meditada amplamente, de modo a incluir, em </w:t>
      </w:r>
      <w:r w:rsidR="00C926E5">
        <w:rPr>
          <w:rFonts w:ascii="Arial" w:hAnsi="Arial" w:cs="Arial"/>
        </w:rPr>
        <w:lastRenderedPageBreak/>
        <w:t xml:space="preserve">si, dimensões que extrapolam o contexto matemático. O avanço do tempo representa a possibilidade de </w:t>
      </w:r>
      <w:r w:rsidR="003C7ECF">
        <w:rPr>
          <w:rFonts w:ascii="Arial" w:hAnsi="Arial" w:cs="Arial"/>
        </w:rPr>
        <w:t>inclusão e popularização do tema na esfera pública e desenvolvimento de novas tecnologias diagnósticas na medicina.</w:t>
      </w:r>
      <w:r w:rsidR="007624F2">
        <w:rPr>
          <w:rFonts w:ascii="Arial" w:hAnsi="Arial" w:cs="Arial"/>
        </w:rPr>
        <w:t xml:space="preserve"> O nível de conhecimento médico e popular da condição pode ser interpretada como uma variável subjacente que varia conforme à passagem do tempo. </w:t>
      </w:r>
    </w:p>
    <w:p w14:paraId="4B24E5D7" w14:textId="53C30475" w:rsidR="00412BE3" w:rsidRPr="00915296" w:rsidRDefault="00412BE3" w:rsidP="005D1093">
      <w:pPr>
        <w:pStyle w:val="Corpodetexto"/>
        <w:spacing w:beforeLines="30" w:before="72" w:afterLines="30" w:after="72" w:line="360" w:lineRule="auto"/>
        <w:ind w:right="116" w:firstLine="720"/>
        <w:jc w:val="both"/>
        <w:rPr>
          <w:rFonts w:ascii="Arial" w:hAnsi="Arial" w:cs="Arial"/>
        </w:rPr>
      </w:pPr>
      <w:r>
        <w:rPr>
          <w:rFonts w:ascii="Arial" w:hAnsi="Arial" w:cs="Arial"/>
        </w:rPr>
        <w:t xml:space="preserve">Dentre as conclusões possíveis, podemos inferir que o fenômeno do diagnóstico de TEA nos EUA, no começo do século, </w:t>
      </w:r>
      <w:r w:rsidR="009F4326">
        <w:rPr>
          <w:rFonts w:ascii="Arial" w:hAnsi="Arial" w:cs="Arial"/>
        </w:rPr>
        <w:t>era afetado por uma subnotificação. A partir de seu desenvolvimento e do progresso nas ciências médicas</w:t>
      </w:r>
      <w:r w:rsidR="00D35D2D">
        <w:rPr>
          <w:rFonts w:ascii="Arial" w:hAnsi="Arial" w:cs="Arial"/>
        </w:rPr>
        <w:t xml:space="preserve"> conjuntamente com a ascendência do tema na esfera pública, o índice de prevalência aumentou de modo significativo. </w:t>
      </w:r>
      <w:r w:rsidR="000E2E1C">
        <w:rPr>
          <w:rFonts w:ascii="Arial" w:hAnsi="Arial" w:cs="Arial"/>
        </w:rPr>
        <w:t xml:space="preserve">Entretanto, ainda que partamos dessa hipótese de subnotificação, é impossível determinar com precisão o topo desse índice. </w:t>
      </w:r>
      <w:r w:rsidR="005B180B">
        <w:rPr>
          <w:rFonts w:ascii="Arial" w:hAnsi="Arial" w:cs="Arial"/>
        </w:rPr>
        <w:t>Ao imaginarmos um cenário em que os casos são</w:t>
      </w:r>
      <w:r w:rsidR="007624F2">
        <w:rPr>
          <w:rFonts w:ascii="Arial" w:hAnsi="Arial" w:cs="Arial"/>
        </w:rPr>
        <w:t xml:space="preserve"> </w:t>
      </w:r>
      <w:r w:rsidR="005B180B">
        <w:rPr>
          <w:rFonts w:ascii="Arial" w:hAnsi="Arial" w:cs="Arial"/>
        </w:rPr>
        <w:t xml:space="preserve">subnotificados, não podemos determinar o topo real </w:t>
      </w:r>
      <w:r w:rsidR="00620DC3">
        <w:rPr>
          <w:rFonts w:ascii="Arial" w:hAnsi="Arial" w:cs="Arial"/>
        </w:rPr>
        <w:t xml:space="preserve">da prevalência de TEA. </w:t>
      </w:r>
      <w:r w:rsidR="00017A01">
        <w:rPr>
          <w:rFonts w:ascii="Arial" w:hAnsi="Arial" w:cs="Arial"/>
        </w:rPr>
        <w:t>A previsão para 2026, obtida através da regressão linear</w:t>
      </w:r>
      <w:r w:rsidR="00C708C8">
        <w:rPr>
          <w:rFonts w:ascii="Arial" w:hAnsi="Arial" w:cs="Arial"/>
        </w:rPr>
        <w:t xml:space="preserve"> simples</w:t>
      </w:r>
      <w:r w:rsidR="00017A01">
        <w:rPr>
          <w:rFonts w:ascii="Arial" w:hAnsi="Arial" w:cs="Arial"/>
        </w:rPr>
        <w:t>, tende a mostrar maiores valores conforme a passagem do tempo, mas não possui um delimitador</w:t>
      </w:r>
      <w:r w:rsidR="00C708C8">
        <w:rPr>
          <w:rFonts w:ascii="Arial" w:hAnsi="Arial" w:cs="Arial"/>
        </w:rPr>
        <w:t>. É inapropriado supor que esse número aumente indiscriminadamente.</w:t>
      </w:r>
      <w:r w:rsidR="00E56F06">
        <w:rPr>
          <w:rFonts w:ascii="Arial" w:hAnsi="Arial" w:cs="Arial"/>
        </w:rPr>
        <w:t xml:space="preserve"> Entendemos, ao contrário, que haja um topo em que o índice de prevalência de TEA se mantenha consistente, assim que atingido. </w:t>
      </w:r>
      <w:r w:rsidR="00C708C8">
        <w:rPr>
          <w:rFonts w:ascii="Arial" w:hAnsi="Arial" w:cs="Arial"/>
        </w:rPr>
        <w:t xml:space="preserve">  </w:t>
      </w:r>
      <w:r w:rsidR="009F4326">
        <w:rPr>
          <w:rFonts w:ascii="Arial" w:hAnsi="Arial" w:cs="Arial"/>
        </w:rPr>
        <w:t xml:space="preserve"> </w:t>
      </w:r>
    </w:p>
    <w:p w14:paraId="7415188D" w14:textId="154DAAA4" w:rsidR="004403B8" w:rsidRPr="00915296" w:rsidRDefault="00A05826" w:rsidP="005D1093">
      <w:pPr>
        <w:pStyle w:val="Corpodetexto"/>
        <w:spacing w:beforeLines="30" w:before="72" w:afterLines="30" w:after="72" w:line="360" w:lineRule="auto"/>
        <w:ind w:right="116" w:firstLine="720"/>
        <w:jc w:val="both"/>
        <w:rPr>
          <w:rFonts w:ascii="Arial" w:hAnsi="Arial" w:cs="Arial"/>
        </w:rPr>
      </w:pPr>
      <w:r w:rsidRPr="00915296">
        <w:rPr>
          <w:rFonts w:ascii="Arial" w:hAnsi="Arial" w:cs="Arial"/>
        </w:rPr>
        <w:t>Em suma, embora tenhamos obtido insights valiosos sobre a prevalência do TEA nos Estados Unidos, ainda há muitas questões a serem respondidas. Mais pesquisas são necessárias para compreender totalmente os padrões de prevalência, identificar as causas subjacentes e desenvolver intervenções eficazes para indivíduos com TEA.</w:t>
      </w:r>
    </w:p>
    <w:p w14:paraId="212CD00B" w14:textId="0416B705" w:rsidR="006B68E8" w:rsidRDefault="006D6386" w:rsidP="00323203">
      <w:pPr>
        <w:pStyle w:val="Ttulo1"/>
        <w:spacing w:beforeLines="30" w:before="72" w:afterLines="30" w:after="72" w:line="360" w:lineRule="auto"/>
        <w:ind w:hanging="117"/>
        <w:jc w:val="both"/>
      </w:pPr>
      <w:r>
        <w:t>Referências</w:t>
      </w:r>
    </w:p>
    <w:p w14:paraId="2EC7AC5C" w14:textId="77777777" w:rsidR="006B68E8" w:rsidRPr="00915296" w:rsidRDefault="006B68E8" w:rsidP="002F2AE1">
      <w:pPr>
        <w:pStyle w:val="NormalWeb"/>
        <w:shd w:val="clear" w:color="auto" w:fill="FFFFFF"/>
        <w:spacing w:beforeLines="30" w:before="72" w:beforeAutospacing="0" w:afterLines="30" w:after="72" w:afterAutospacing="0" w:line="360" w:lineRule="auto"/>
        <w:ind w:firstLine="720"/>
        <w:jc w:val="both"/>
        <w:rPr>
          <w:rFonts w:ascii="Arial" w:hAnsi="Arial" w:cs="Arial"/>
          <w:color w:val="0D0D0D"/>
        </w:rPr>
      </w:pPr>
      <w:r w:rsidRPr="00915296">
        <w:rPr>
          <w:rFonts w:ascii="Arial" w:hAnsi="Arial" w:cs="Arial"/>
          <w:color w:val="0D0D0D"/>
        </w:rPr>
        <w:t>ALBUQUERQUE, J.; LIMA, M. O. Transtorno do Espectro Autista: uma revisão sistemática. Revista Científica Multidisciplinar, v. 2, n. 3, p. 46-57, 2021.</w:t>
      </w:r>
    </w:p>
    <w:p w14:paraId="3D2C239B" w14:textId="77777777" w:rsidR="006B68E8" w:rsidRPr="00915296" w:rsidRDefault="006B68E8" w:rsidP="002F2AE1">
      <w:pPr>
        <w:pStyle w:val="NormalWeb"/>
        <w:shd w:val="clear" w:color="auto" w:fill="FFFFFF"/>
        <w:spacing w:beforeLines="30" w:before="72" w:beforeAutospacing="0" w:afterLines="30" w:after="72" w:afterAutospacing="0" w:line="360" w:lineRule="auto"/>
        <w:ind w:firstLine="720"/>
        <w:jc w:val="both"/>
        <w:rPr>
          <w:rFonts w:ascii="Arial" w:hAnsi="Arial" w:cs="Arial"/>
          <w:color w:val="0D0D0D"/>
        </w:rPr>
      </w:pPr>
      <w:r w:rsidRPr="00915296">
        <w:rPr>
          <w:rFonts w:ascii="Arial" w:hAnsi="Arial" w:cs="Arial"/>
          <w:color w:val="0D0D0D"/>
        </w:rPr>
        <w:t>BATISTA, A.; FERREIRA, L. Sensibilidades sensoriais em indivíduos com Transtorno do Espectro Autista. Revista de Psicologia Aplicada, v. 8, n. 2, p. 102-115, 2020.</w:t>
      </w:r>
    </w:p>
    <w:p w14:paraId="615ED782" w14:textId="77777777" w:rsidR="006B68E8" w:rsidRPr="00915296" w:rsidRDefault="006B68E8" w:rsidP="002F2AE1">
      <w:pPr>
        <w:pStyle w:val="NormalWeb"/>
        <w:shd w:val="clear" w:color="auto" w:fill="FFFFFF"/>
        <w:spacing w:beforeLines="30" w:before="72" w:beforeAutospacing="0" w:afterLines="30" w:after="72" w:afterAutospacing="0" w:line="360" w:lineRule="auto"/>
        <w:ind w:firstLine="720"/>
        <w:jc w:val="both"/>
        <w:rPr>
          <w:rFonts w:ascii="Arial" w:hAnsi="Arial" w:cs="Arial"/>
          <w:color w:val="0D0D0D"/>
        </w:rPr>
      </w:pPr>
      <w:r w:rsidRPr="00915296">
        <w:rPr>
          <w:rFonts w:ascii="Arial" w:hAnsi="Arial" w:cs="Arial"/>
          <w:color w:val="0D0D0D"/>
        </w:rPr>
        <w:t>GARCIA, R. et al. Utilização de Machine Learning na Identificação de Padrões de Comportamento Associados ao Transtorno do Espectro Autista. Anais do Congresso Internacional de Tecnologia e Saúde, v. 5, p. 78-85, 2021.</w:t>
      </w:r>
    </w:p>
    <w:p w14:paraId="0E7E8D24" w14:textId="77777777" w:rsidR="000434C7" w:rsidRPr="00915296" w:rsidRDefault="000434C7" w:rsidP="002F2AE1">
      <w:pPr>
        <w:pStyle w:val="NormalWeb"/>
        <w:shd w:val="clear" w:color="auto" w:fill="FFFFFF" w:themeFill="background1"/>
        <w:spacing w:beforeLines="30" w:before="72" w:beforeAutospacing="0" w:afterLines="30" w:after="72" w:afterAutospacing="0" w:line="360" w:lineRule="auto"/>
        <w:ind w:firstLine="720"/>
        <w:jc w:val="both"/>
        <w:rPr>
          <w:rFonts w:ascii="Arial" w:hAnsi="Arial" w:cs="Arial"/>
          <w:color w:val="0D0D0D" w:themeColor="text1" w:themeTint="F2"/>
        </w:rPr>
      </w:pPr>
      <w:r w:rsidRPr="00915296">
        <w:rPr>
          <w:rFonts w:ascii="Arial" w:hAnsi="Arial" w:cs="Arial"/>
          <w:color w:val="0D0D0D" w:themeColor="text1" w:themeTint="F2"/>
        </w:rPr>
        <w:lastRenderedPageBreak/>
        <w:t xml:space="preserve">MANDELL, </w:t>
      </w:r>
      <w:r w:rsidR="008A7E0B" w:rsidRPr="00915296">
        <w:rPr>
          <w:rFonts w:ascii="Arial" w:hAnsi="Arial" w:cs="Arial"/>
          <w:color w:val="0D0D0D" w:themeColor="text1" w:themeTint="F2"/>
        </w:rPr>
        <w:t>D.S.;</w:t>
      </w:r>
      <w:r w:rsidR="002430A4" w:rsidRPr="00915296">
        <w:rPr>
          <w:rFonts w:ascii="Arial" w:hAnsi="Arial" w:cs="Arial"/>
          <w:color w:val="0D0D0D" w:themeColor="text1" w:themeTint="F2"/>
        </w:rPr>
        <w:t xml:space="preserve"> WIGGINS, L.D.; CARPENTER, </w:t>
      </w:r>
      <w:r w:rsidR="008014A9" w:rsidRPr="00915296">
        <w:rPr>
          <w:rFonts w:ascii="Arial" w:hAnsi="Arial" w:cs="Arial"/>
          <w:color w:val="0D0D0D" w:themeColor="text1" w:themeTint="F2"/>
        </w:rPr>
        <w:t>L.A.;</w:t>
      </w:r>
      <w:r w:rsidR="004C3552" w:rsidRPr="00915296">
        <w:rPr>
          <w:rFonts w:ascii="Arial" w:hAnsi="Arial" w:cs="Arial"/>
          <w:color w:val="0D0D0D" w:themeColor="text1" w:themeTint="F2"/>
        </w:rPr>
        <w:t xml:space="preserve"> DANIELS, J.; </w:t>
      </w:r>
      <w:r w:rsidR="00380A57" w:rsidRPr="00915296">
        <w:rPr>
          <w:rFonts w:ascii="Arial" w:hAnsi="Arial" w:cs="Arial"/>
          <w:color w:val="0D0D0D" w:themeColor="text1" w:themeTint="F2"/>
        </w:rPr>
        <w:t>DIGUISEPP</w:t>
      </w:r>
      <w:r w:rsidR="00A2518F" w:rsidRPr="00915296">
        <w:rPr>
          <w:rFonts w:ascii="Arial" w:hAnsi="Arial" w:cs="Arial"/>
          <w:color w:val="0D0D0D" w:themeColor="text1" w:themeTint="F2"/>
        </w:rPr>
        <w:t xml:space="preserve">I, C.; </w:t>
      </w:r>
      <w:r w:rsidR="00607F79" w:rsidRPr="00915296">
        <w:rPr>
          <w:rFonts w:ascii="Arial" w:hAnsi="Arial" w:cs="Arial"/>
          <w:color w:val="0D0D0D" w:themeColor="text1" w:themeTint="F2"/>
        </w:rPr>
        <w:t xml:space="preserve">DURKIN, M.S.; </w:t>
      </w:r>
      <w:r w:rsidR="002A0365" w:rsidRPr="00915296">
        <w:rPr>
          <w:rFonts w:ascii="Arial" w:hAnsi="Arial" w:cs="Arial"/>
          <w:color w:val="0D0D0D" w:themeColor="text1" w:themeTint="F2"/>
        </w:rPr>
        <w:t xml:space="preserve">GIARELLI, E.; </w:t>
      </w:r>
      <w:r w:rsidR="00725F56" w:rsidRPr="00915296">
        <w:rPr>
          <w:rFonts w:ascii="Arial" w:hAnsi="Arial" w:cs="Arial"/>
          <w:color w:val="0D0D0D" w:themeColor="text1" w:themeTint="F2"/>
        </w:rPr>
        <w:t>MORRIER, M.J.</w:t>
      </w:r>
      <w:r w:rsidR="00C234FB" w:rsidRPr="00915296">
        <w:rPr>
          <w:rFonts w:ascii="Arial" w:hAnsi="Arial" w:cs="Arial"/>
          <w:color w:val="0D0D0D" w:themeColor="text1" w:themeTint="F2"/>
        </w:rPr>
        <w:t xml:space="preserve">; NICHOLAS, J.S.; </w:t>
      </w:r>
      <w:r w:rsidR="00DD5A39" w:rsidRPr="00915296">
        <w:rPr>
          <w:rFonts w:ascii="Arial" w:hAnsi="Arial" w:cs="Arial"/>
          <w:color w:val="0D0D0D" w:themeColor="text1" w:themeTint="F2"/>
        </w:rPr>
        <w:t>PINTO-MARTIN, J.A.;</w:t>
      </w:r>
      <w:r w:rsidR="002A7E29" w:rsidRPr="00915296">
        <w:rPr>
          <w:rFonts w:ascii="Arial" w:hAnsi="Arial" w:cs="Arial"/>
          <w:color w:val="0D0D0D" w:themeColor="text1" w:themeTint="F2"/>
        </w:rPr>
        <w:t xml:space="preserve"> SHATTUCK</w:t>
      </w:r>
      <w:r w:rsidR="006D1FF0" w:rsidRPr="00915296">
        <w:rPr>
          <w:rFonts w:ascii="Arial" w:hAnsi="Arial" w:cs="Arial"/>
          <w:color w:val="0D0D0D" w:themeColor="text1" w:themeTint="F2"/>
        </w:rPr>
        <w:t xml:space="preserve">, P.T.; </w:t>
      </w:r>
      <w:r w:rsidR="00D27FA1" w:rsidRPr="00915296">
        <w:rPr>
          <w:rFonts w:ascii="Arial" w:hAnsi="Arial" w:cs="Arial"/>
          <w:color w:val="0D0D0D" w:themeColor="text1" w:themeTint="F2"/>
        </w:rPr>
        <w:t>THOMAS, K.C.;</w:t>
      </w:r>
      <w:r w:rsidR="00840BBE" w:rsidRPr="00915296">
        <w:rPr>
          <w:rFonts w:ascii="Arial" w:hAnsi="Arial" w:cs="Arial"/>
          <w:color w:val="0D0D0D" w:themeColor="text1" w:themeTint="F2"/>
        </w:rPr>
        <w:t xml:space="preserve"> YEARGIN</w:t>
      </w:r>
      <w:r w:rsidR="005C2E15" w:rsidRPr="00915296">
        <w:rPr>
          <w:rFonts w:ascii="Arial" w:hAnsi="Arial" w:cs="Arial"/>
          <w:color w:val="0D0D0D" w:themeColor="text1" w:themeTint="F2"/>
        </w:rPr>
        <w:t>-ALLSOPP</w:t>
      </w:r>
      <w:r w:rsidR="007A6C04" w:rsidRPr="00915296">
        <w:rPr>
          <w:rFonts w:ascii="Arial" w:hAnsi="Arial" w:cs="Arial"/>
          <w:color w:val="0D0D0D" w:themeColor="text1" w:themeTint="F2"/>
        </w:rPr>
        <w:t xml:space="preserve">, </w:t>
      </w:r>
      <w:r w:rsidR="00453C8B" w:rsidRPr="00915296">
        <w:rPr>
          <w:rFonts w:ascii="Arial" w:hAnsi="Arial" w:cs="Arial"/>
          <w:color w:val="0D0D0D" w:themeColor="text1" w:themeTint="F2"/>
        </w:rPr>
        <w:t>M.;</w:t>
      </w:r>
      <w:r w:rsidR="00982EA3" w:rsidRPr="00915296">
        <w:rPr>
          <w:rFonts w:ascii="Arial" w:hAnsi="Arial" w:cs="Arial"/>
          <w:color w:val="0D0D0D" w:themeColor="text1" w:themeTint="F2"/>
        </w:rPr>
        <w:t xml:space="preserve"> KIRBY, R.S.</w:t>
      </w:r>
      <w:r w:rsidR="00E326FF" w:rsidRPr="00915296">
        <w:rPr>
          <w:rFonts w:ascii="Arial" w:hAnsi="Arial" w:cs="Arial"/>
          <w:color w:val="0D0D0D" w:themeColor="text1" w:themeTint="F2"/>
        </w:rPr>
        <w:t xml:space="preserve"> Racial/</w:t>
      </w:r>
      <w:proofErr w:type="spellStart"/>
      <w:r w:rsidR="00E326FF" w:rsidRPr="00915296">
        <w:rPr>
          <w:rFonts w:ascii="Arial" w:hAnsi="Arial" w:cs="Arial"/>
          <w:color w:val="0D0D0D" w:themeColor="text1" w:themeTint="F2"/>
        </w:rPr>
        <w:t>Ethnic</w:t>
      </w:r>
      <w:proofErr w:type="spellEnd"/>
      <w:r w:rsidR="00E326FF" w:rsidRPr="00915296">
        <w:rPr>
          <w:rFonts w:ascii="Arial" w:hAnsi="Arial" w:cs="Arial"/>
          <w:color w:val="0D0D0D" w:themeColor="text1" w:themeTint="F2"/>
        </w:rPr>
        <w:t xml:space="preserve"> </w:t>
      </w:r>
      <w:proofErr w:type="spellStart"/>
      <w:r w:rsidR="00E326FF" w:rsidRPr="00915296">
        <w:rPr>
          <w:rFonts w:ascii="Arial" w:hAnsi="Arial" w:cs="Arial"/>
          <w:color w:val="0D0D0D" w:themeColor="text1" w:themeTint="F2"/>
        </w:rPr>
        <w:t>Disparities</w:t>
      </w:r>
      <w:proofErr w:type="spellEnd"/>
      <w:r w:rsidR="00E326FF" w:rsidRPr="00915296">
        <w:rPr>
          <w:rFonts w:ascii="Arial" w:hAnsi="Arial" w:cs="Arial"/>
          <w:color w:val="0D0D0D" w:themeColor="text1" w:themeTint="F2"/>
        </w:rPr>
        <w:t xml:space="preserve"> in </w:t>
      </w:r>
      <w:proofErr w:type="spellStart"/>
      <w:r w:rsidR="00E326FF" w:rsidRPr="00915296">
        <w:rPr>
          <w:rFonts w:ascii="Arial" w:hAnsi="Arial" w:cs="Arial"/>
          <w:color w:val="0D0D0D" w:themeColor="text1" w:themeTint="F2"/>
        </w:rPr>
        <w:t>the</w:t>
      </w:r>
      <w:proofErr w:type="spellEnd"/>
      <w:r w:rsidR="00E326FF" w:rsidRPr="00915296">
        <w:rPr>
          <w:rFonts w:ascii="Arial" w:hAnsi="Arial" w:cs="Arial"/>
          <w:color w:val="0D0D0D" w:themeColor="text1" w:themeTint="F2"/>
        </w:rPr>
        <w:t xml:space="preserve"> </w:t>
      </w:r>
      <w:proofErr w:type="spellStart"/>
      <w:r w:rsidR="00E326FF" w:rsidRPr="00915296">
        <w:rPr>
          <w:rFonts w:ascii="Arial" w:hAnsi="Arial" w:cs="Arial"/>
          <w:color w:val="0D0D0D" w:themeColor="text1" w:themeTint="F2"/>
        </w:rPr>
        <w:t>Identification</w:t>
      </w:r>
      <w:proofErr w:type="spellEnd"/>
      <w:r w:rsidR="00E326FF" w:rsidRPr="00915296">
        <w:rPr>
          <w:rFonts w:ascii="Arial" w:hAnsi="Arial" w:cs="Arial"/>
          <w:color w:val="0D0D0D" w:themeColor="text1" w:themeTint="F2"/>
        </w:rPr>
        <w:t xml:space="preserve"> </w:t>
      </w:r>
      <w:proofErr w:type="spellStart"/>
      <w:r w:rsidR="00E326FF" w:rsidRPr="00915296">
        <w:rPr>
          <w:rFonts w:ascii="Arial" w:hAnsi="Arial" w:cs="Arial"/>
          <w:color w:val="0D0D0D" w:themeColor="text1" w:themeTint="F2"/>
        </w:rPr>
        <w:t>of</w:t>
      </w:r>
      <w:proofErr w:type="spellEnd"/>
      <w:r w:rsidR="00E326FF" w:rsidRPr="00915296">
        <w:rPr>
          <w:rFonts w:ascii="Arial" w:hAnsi="Arial" w:cs="Arial"/>
          <w:color w:val="0D0D0D" w:themeColor="text1" w:themeTint="F2"/>
        </w:rPr>
        <w:t xml:space="preserve"> </w:t>
      </w:r>
      <w:proofErr w:type="spellStart"/>
      <w:r w:rsidR="00E326FF" w:rsidRPr="00915296">
        <w:rPr>
          <w:rFonts w:ascii="Arial" w:hAnsi="Arial" w:cs="Arial"/>
          <w:color w:val="0D0D0D" w:themeColor="text1" w:themeTint="F2"/>
        </w:rPr>
        <w:t>Children</w:t>
      </w:r>
      <w:proofErr w:type="spellEnd"/>
      <w:r w:rsidR="00E326FF" w:rsidRPr="00915296">
        <w:rPr>
          <w:rFonts w:ascii="Arial" w:hAnsi="Arial" w:cs="Arial"/>
          <w:color w:val="0D0D0D" w:themeColor="text1" w:themeTint="F2"/>
        </w:rPr>
        <w:t xml:space="preserve"> </w:t>
      </w:r>
      <w:proofErr w:type="spellStart"/>
      <w:r w:rsidR="00E326FF" w:rsidRPr="00915296">
        <w:rPr>
          <w:rFonts w:ascii="Arial" w:hAnsi="Arial" w:cs="Arial"/>
          <w:color w:val="0D0D0D" w:themeColor="text1" w:themeTint="F2"/>
        </w:rPr>
        <w:t>With</w:t>
      </w:r>
      <w:proofErr w:type="spellEnd"/>
      <w:r w:rsidR="00E326FF" w:rsidRPr="00915296">
        <w:rPr>
          <w:rFonts w:ascii="Arial" w:hAnsi="Arial" w:cs="Arial"/>
          <w:color w:val="0D0D0D" w:themeColor="text1" w:themeTint="F2"/>
        </w:rPr>
        <w:t xml:space="preserve"> </w:t>
      </w:r>
      <w:proofErr w:type="spellStart"/>
      <w:r w:rsidR="00E326FF" w:rsidRPr="00915296">
        <w:rPr>
          <w:rFonts w:ascii="Arial" w:hAnsi="Arial" w:cs="Arial"/>
          <w:color w:val="0D0D0D" w:themeColor="text1" w:themeTint="F2"/>
        </w:rPr>
        <w:t>Autism</w:t>
      </w:r>
      <w:proofErr w:type="spellEnd"/>
      <w:r w:rsidR="00E326FF" w:rsidRPr="00915296">
        <w:rPr>
          <w:rFonts w:ascii="Arial" w:hAnsi="Arial" w:cs="Arial"/>
          <w:color w:val="0D0D0D" w:themeColor="text1" w:themeTint="F2"/>
        </w:rPr>
        <w:t xml:space="preserve"> Spectrum </w:t>
      </w:r>
      <w:proofErr w:type="spellStart"/>
      <w:r w:rsidR="00E326FF" w:rsidRPr="00915296">
        <w:rPr>
          <w:rFonts w:ascii="Arial" w:hAnsi="Arial" w:cs="Arial"/>
          <w:color w:val="0D0D0D" w:themeColor="text1" w:themeTint="F2"/>
        </w:rPr>
        <w:t>Disorders</w:t>
      </w:r>
      <w:proofErr w:type="spellEnd"/>
      <w:r w:rsidR="00E326FF" w:rsidRPr="00915296">
        <w:rPr>
          <w:rFonts w:ascii="Arial" w:hAnsi="Arial" w:cs="Arial"/>
          <w:color w:val="0D0D0D" w:themeColor="text1" w:themeTint="F2"/>
        </w:rPr>
        <w:t xml:space="preserve">. </w:t>
      </w:r>
      <w:r w:rsidR="00F51307" w:rsidRPr="00915296">
        <w:rPr>
          <w:rFonts w:ascii="Arial" w:hAnsi="Arial" w:cs="Arial"/>
          <w:color w:val="0D0D0D" w:themeColor="text1" w:themeTint="F2"/>
        </w:rPr>
        <w:t xml:space="preserve">American </w:t>
      </w:r>
      <w:proofErr w:type="spellStart"/>
      <w:r w:rsidR="00F51307" w:rsidRPr="00915296">
        <w:rPr>
          <w:rFonts w:ascii="Arial" w:hAnsi="Arial" w:cs="Arial"/>
          <w:color w:val="0D0D0D" w:themeColor="text1" w:themeTint="F2"/>
        </w:rPr>
        <w:t>Journal</w:t>
      </w:r>
      <w:proofErr w:type="spellEnd"/>
      <w:r w:rsidR="00F51307" w:rsidRPr="00915296">
        <w:rPr>
          <w:rFonts w:ascii="Arial" w:hAnsi="Arial" w:cs="Arial"/>
          <w:color w:val="0D0D0D" w:themeColor="text1" w:themeTint="F2"/>
        </w:rPr>
        <w:t xml:space="preserve"> </w:t>
      </w:r>
      <w:proofErr w:type="spellStart"/>
      <w:r w:rsidR="00F51307" w:rsidRPr="00915296">
        <w:rPr>
          <w:rFonts w:ascii="Arial" w:hAnsi="Arial" w:cs="Arial"/>
          <w:color w:val="0D0D0D" w:themeColor="text1" w:themeTint="F2"/>
        </w:rPr>
        <w:t>of</w:t>
      </w:r>
      <w:proofErr w:type="spellEnd"/>
      <w:r w:rsidR="00F51307" w:rsidRPr="00915296">
        <w:rPr>
          <w:rFonts w:ascii="Arial" w:hAnsi="Arial" w:cs="Arial"/>
          <w:color w:val="0D0D0D" w:themeColor="text1" w:themeTint="F2"/>
        </w:rPr>
        <w:t xml:space="preserve"> </w:t>
      </w:r>
      <w:proofErr w:type="spellStart"/>
      <w:r w:rsidR="00F51307" w:rsidRPr="00915296">
        <w:rPr>
          <w:rFonts w:ascii="Arial" w:hAnsi="Arial" w:cs="Arial"/>
          <w:color w:val="0D0D0D" w:themeColor="text1" w:themeTint="F2"/>
        </w:rPr>
        <w:t>Public</w:t>
      </w:r>
      <w:proofErr w:type="spellEnd"/>
      <w:r w:rsidR="00F51307" w:rsidRPr="00915296">
        <w:rPr>
          <w:rFonts w:ascii="Arial" w:hAnsi="Arial" w:cs="Arial"/>
          <w:color w:val="0D0D0D" w:themeColor="text1" w:themeTint="F2"/>
        </w:rPr>
        <w:t xml:space="preserve"> Health</w:t>
      </w:r>
      <w:r w:rsidR="006F2E5A" w:rsidRPr="00915296">
        <w:rPr>
          <w:rFonts w:ascii="Arial" w:hAnsi="Arial" w:cs="Arial"/>
          <w:color w:val="0D0D0D" w:themeColor="text1" w:themeTint="F2"/>
        </w:rPr>
        <w:t>. v. 99,</w:t>
      </w:r>
      <w:r w:rsidR="003F6784" w:rsidRPr="00915296">
        <w:rPr>
          <w:rFonts w:ascii="Arial" w:hAnsi="Arial" w:cs="Arial"/>
          <w:color w:val="0D0D0D" w:themeColor="text1" w:themeTint="F2"/>
        </w:rPr>
        <w:t xml:space="preserve"> p. 493 </w:t>
      </w:r>
      <w:r w:rsidR="00443919" w:rsidRPr="00915296">
        <w:rPr>
          <w:rFonts w:ascii="Arial" w:hAnsi="Arial" w:cs="Arial"/>
          <w:color w:val="0D0D0D" w:themeColor="text1" w:themeTint="F2"/>
        </w:rPr>
        <w:t>–</w:t>
      </w:r>
      <w:r w:rsidR="003F6784" w:rsidRPr="00915296">
        <w:rPr>
          <w:rFonts w:ascii="Arial" w:hAnsi="Arial" w:cs="Arial"/>
          <w:color w:val="0D0D0D" w:themeColor="text1" w:themeTint="F2"/>
        </w:rPr>
        <w:t xml:space="preserve"> </w:t>
      </w:r>
      <w:r w:rsidR="00443919" w:rsidRPr="00915296">
        <w:rPr>
          <w:rFonts w:ascii="Arial" w:hAnsi="Arial" w:cs="Arial"/>
          <w:color w:val="0D0D0D" w:themeColor="text1" w:themeTint="F2"/>
        </w:rPr>
        <w:t>498, 2009.</w:t>
      </w:r>
    </w:p>
    <w:p w14:paraId="27F95BAC" w14:textId="28C9C56F" w:rsidR="0007436A" w:rsidRPr="00915296" w:rsidRDefault="007276F6" w:rsidP="002F2AE1">
      <w:pPr>
        <w:pStyle w:val="NormalWeb"/>
        <w:shd w:val="clear" w:color="auto" w:fill="FFFFFF" w:themeFill="background1"/>
        <w:spacing w:beforeLines="30" w:before="72" w:beforeAutospacing="0" w:afterLines="30" w:after="72" w:afterAutospacing="0" w:line="360" w:lineRule="auto"/>
        <w:ind w:firstLine="720"/>
        <w:jc w:val="both"/>
        <w:rPr>
          <w:rFonts w:ascii="Arial" w:hAnsi="Arial" w:cs="Arial"/>
          <w:color w:val="0D0D0D" w:themeColor="text1" w:themeTint="F2"/>
        </w:rPr>
      </w:pPr>
      <w:r w:rsidRPr="00915296">
        <w:rPr>
          <w:rFonts w:ascii="Arial" w:hAnsi="Arial" w:cs="Arial"/>
          <w:color w:val="0D0D0D" w:themeColor="text1" w:themeTint="F2"/>
        </w:rPr>
        <w:t xml:space="preserve">RIBEIRO, </w:t>
      </w:r>
      <w:r w:rsidR="00C25BD8" w:rsidRPr="00915296">
        <w:rPr>
          <w:rFonts w:ascii="Arial" w:hAnsi="Arial" w:cs="Arial"/>
          <w:color w:val="0D0D0D" w:themeColor="text1" w:themeTint="F2"/>
        </w:rPr>
        <w:t>M. C.</w:t>
      </w:r>
      <w:r w:rsidR="00D27F1D" w:rsidRPr="00915296">
        <w:rPr>
          <w:rFonts w:ascii="Arial" w:hAnsi="Arial" w:cs="Arial"/>
          <w:color w:val="0D0D0D" w:themeColor="text1" w:themeTint="F2"/>
        </w:rPr>
        <w:t xml:space="preserve"> Polimorfismos Relacionados ao Transtorno do Espectro Autista</w:t>
      </w:r>
      <w:r w:rsidR="00A13BC1" w:rsidRPr="00915296">
        <w:rPr>
          <w:rFonts w:ascii="Arial" w:hAnsi="Arial" w:cs="Arial"/>
          <w:color w:val="0D0D0D" w:themeColor="text1" w:themeTint="F2"/>
        </w:rPr>
        <w:t>: Uma Revisão Bibliográfica.</w:t>
      </w:r>
      <w:r w:rsidR="00574466" w:rsidRPr="00915296">
        <w:rPr>
          <w:rFonts w:ascii="Arial" w:hAnsi="Arial" w:cs="Arial"/>
          <w:color w:val="0D0D0D" w:themeColor="text1" w:themeTint="F2"/>
        </w:rPr>
        <w:t xml:space="preserve"> Trabalho de Conclusão de Curso</w:t>
      </w:r>
      <w:r w:rsidR="007B34F6" w:rsidRPr="00915296">
        <w:rPr>
          <w:rFonts w:ascii="Arial" w:hAnsi="Arial" w:cs="Arial"/>
          <w:color w:val="0D0D0D" w:themeColor="text1" w:themeTint="F2"/>
        </w:rPr>
        <w:t xml:space="preserve"> (</w:t>
      </w:r>
      <w:r w:rsidR="00B0190F" w:rsidRPr="00915296">
        <w:rPr>
          <w:rFonts w:ascii="Arial" w:hAnsi="Arial" w:cs="Arial"/>
          <w:color w:val="0D0D0D" w:themeColor="text1" w:themeTint="F2"/>
        </w:rPr>
        <w:t>Bacharela em Biomedicina)</w:t>
      </w:r>
      <w:r w:rsidR="00C8672F" w:rsidRPr="00915296">
        <w:rPr>
          <w:rFonts w:ascii="Arial" w:hAnsi="Arial" w:cs="Arial"/>
          <w:color w:val="0D0D0D" w:themeColor="text1" w:themeTint="F2"/>
        </w:rPr>
        <w:t>,</w:t>
      </w:r>
      <w:r w:rsidR="00BA441B" w:rsidRPr="00915296">
        <w:rPr>
          <w:rFonts w:ascii="Arial" w:hAnsi="Arial" w:cs="Arial"/>
          <w:color w:val="0D0D0D" w:themeColor="text1" w:themeTint="F2"/>
        </w:rPr>
        <w:t xml:space="preserve"> Centro Universitário de Brasília</w:t>
      </w:r>
      <w:r w:rsidR="0007436A" w:rsidRPr="00915296">
        <w:rPr>
          <w:rFonts w:ascii="Arial" w:hAnsi="Arial" w:cs="Arial"/>
          <w:color w:val="0D0D0D" w:themeColor="text1" w:themeTint="F2"/>
        </w:rPr>
        <w:t>. Brasília-DF</w:t>
      </w:r>
      <w:r w:rsidR="001E2D44" w:rsidRPr="00915296">
        <w:rPr>
          <w:rFonts w:ascii="Arial" w:hAnsi="Arial" w:cs="Arial"/>
          <w:color w:val="0D0D0D"/>
        </w:rPr>
        <w:t>,</w:t>
      </w:r>
      <w:r w:rsidR="00454122" w:rsidRPr="00915296">
        <w:rPr>
          <w:rFonts w:ascii="Arial" w:hAnsi="Arial" w:cs="Arial"/>
          <w:color w:val="0D0D0D" w:themeColor="text1" w:themeTint="F2"/>
        </w:rPr>
        <w:t xml:space="preserve"> 2018</w:t>
      </w:r>
      <w:r w:rsidR="001E2D44" w:rsidRPr="00915296">
        <w:rPr>
          <w:rFonts w:ascii="Arial" w:hAnsi="Arial" w:cs="Arial"/>
          <w:color w:val="0D0D0D"/>
        </w:rPr>
        <w:t xml:space="preserve"> </w:t>
      </w:r>
      <w:r w:rsidR="001E66ED" w:rsidRPr="00915296">
        <w:rPr>
          <w:rFonts w:ascii="Arial" w:hAnsi="Arial" w:cs="Arial"/>
          <w:color w:val="0D0D0D"/>
        </w:rPr>
        <w:t>23</w:t>
      </w:r>
      <w:r w:rsidR="005E591A" w:rsidRPr="00915296">
        <w:rPr>
          <w:rFonts w:ascii="Arial" w:hAnsi="Arial" w:cs="Arial"/>
          <w:color w:val="0D0D0D"/>
        </w:rPr>
        <w:t xml:space="preserve"> </w:t>
      </w:r>
      <w:r w:rsidR="001E66ED" w:rsidRPr="00915296">
        <w:rPr>
          <w:rFonts w:ascii="Arial" w:hAnsi="Arial" w:cs="Arial"/>
          <w:color w:val="0D0D0D"/>
        </w:rPr>
        <w:t>p</w:t>
      </w:r>
      <w:r w:rsidR="00454122" w:rsidRPr="00915296">
        <w:rPr>
          <w:rFonts w:ascii="Arial" w:hAnsi="Arial" w:cs="Arial"/>
          <w:color w:val="0D0D0D" w:themeColor="text1" w:themeTint="F2"/>
        </w:rPr>
        <w:t xml:space="preserve">. </w:t>
      </w:r>
    </w:p>
    <w:p w14:paraId="243E94CD" w14:textId="77777777" w:rsidR="006B68E8" w:rsidRPr="00915296" w:rsidRDefault="006B68E8" w:rsidP="002F2AE1">
      <w:pPr>
        <w:pStyle w:val="NormalWeb"/>
        <w:shd w:val="clear" w:color="auto" w:fill="FFFFFF"/>
        <w:spacing w:beforeLines="30" w:before="72" w:beforeAutospacing="0" w:afterLines="30" w:after="72" w:afterAutospacing="0" w:line="360" w:lineRule="auto"/>
        <w:ind w:firstLine="720"/>
        <w:jc w:val="both"/>
        <w:rPr>
          <w:rFonts w:ascii="Arial" w:hAnsi="Arial" w:cs="Arial"/>
          <w:color w:val="0D0D0D"/>
        </w:rPr>
      </w:pPr>
      <w:r w:rsidRPr="00915296">
        <w:rPr>
          <w:rFonts w:ascii="Arial" w:hAnsi="Arial" w:cs="Arial"/>
          <w:color w:val="0D0D0D"/>
        </w:rPr>
        <w:t xml:space="preserve">ROSSI, F. et al. Diferenças de gênero no diagnóstico do Transtorno do Espectro Autista. </w:t>
      </w:r>
      <w:proofErr w:type="spellStart"/>
      <w:r w:rsidRPr="00915296">
        <w:rPr>
          <w:rFonts w:ascii="Arial" w:hAnsi="Arial" w:cs="Arial"/>
          <w:color w:val="0D0D0D"/>
        </w:rPr>
        <w:t>Journal</w:t>
      </w:r>
      <w:proofErr w:type="spellEnd"/>
      <w:r w:rsidRPr="00915296">
        <w:rPr>
          <w:rFonts w:ascii="Arial" w:hAnsi="Arial" w:cs="Arial"/>
          <w:color w:val="0D0D0D"/>
        </w:rPr>
        <w:t xml:space="preserve"> of </w:t>
      </w:r>
      <w:proofErr w:type="spellStart"/>
      <w:r w:rsidRPr="00915296">
        <w:rPr>
          <w:rFonts w:ascii="Arial" w:hAnsi="Arial" w:cs="Arial"/>
          <w:color w:val="0D0D0D"/>
        </w:rPr>
        <w:t>Autism</w:t>
      </w:r>
      <w:proofErr w:type="spellEnd"/>
      <w:r w:rsidRPr="00915296">
        <w:rPr>
          <w:rFonts w:ascii="Arial" w:hAnsi="Arial" w:cs="Arial"/>
          <w:color w:val="0D0D0D"/>
        </w:rPr>
        <w:t xml:space="preserve"> </w:t>
      </w:r>
      <w:proofErr w:type="spellStart"/>
      <w:r w:rsidRPr="00915296">
        <w:rPr>
          <w:rFonts w:ascii="Arial" w:hAnsi="Arial" w:cs="Arial"/>
          <w:color w:val="0D0D0D"/>
        </w:rPr>
        <w:t>Research</w:t>
      </w:r>
      <w:proofErr w:type="spellEnd"/>
      <w:r w:rsidRPr="00915296">
        <w:rPr>
          <w:rFonts w:ascii="Arial" w:hAnsi="Arial" w:cs="Arial"/>
          <w:color w:val="0D0D0D"/>
        </w:rPr>
        <w:t>, v. 10, n. 2, p. 203-215, 2019.</w:t>
      </w:r>
    </w:p>
    <w:p w14:paraId="0FDF429C" w14:textId="77777777" w:rsidR="006B68E8" w:rsidRPr="00915296" w:rsidRDefault="006B68E8" w:rsidP="00574466">
      <w:pPr>
        <w:pStyle w:val="NormalWeb"/>
        <w:shd w:val="clear" w:color="auto" w:fill="FFFFFF"/>
        <w:spacing w:beforeLines="30" w:before="72" w:beforeAutospacing="0" w:afterLines="30" w:after="72" w:afterAutospacing="0" w:line="360" w:lineRule="auto"/>
        <w:jc w:val="both"/>
        <w:rPr>
          <w:rFonts w:ascii="Arial" w:hAnsi="Arial" w:cs="Arial"/>
          <w:color w:val="0D0D0D"/>
        </w:rPr>
      </w:pPr>
      <w:r w:rsidRPr="00915296">
        <w:rPr>
          <w:rFonts w:ascii="Arial" w:hAnsi="Arial" w:cs="Arial"/>
          <w:color w:val="0D0D0D"/>
        </w:rPr>
        <w:t>SANTOS, V.; ALMEIDA, M. Aplicações de Machine Learning no Diagnóstico Precoce do Transtorno do Espectro Autista. Revista Brasileira de Neurociências, v. 7, n. 1, p. 32-45, 2018.</w:t>
      </w:r>
    </w:p>
    <w:p w14:paraId="030B0EC0" w14:textId="77777777" w:rsidR="00AC56F8" w:rsidRPr="00915296" w:rsidRDefault="00AC56F8" w:rsidP="002F2AE1">
      <w:pPr>
        <w:pStyle w:val="NormalWeb"/>
        <w:shd w:val="clear" w:color="auto" w:fill="FFFFFF"/>
        <w:spacing w:beforeLines="30" w:before="72" w:beforeAutospacing="0" w:afterLines="30" w:after="72" w:afterAutospacing="0" w:line="360" w:lineRule="auto"/>
        <w:ind w:firstLine="720"/>
        <w:jc w:val="both"/>
        <w:rPr>
          <w:rFonts w:ascii="Arial" w:hAnsi="Arial" w:cs="Arial"/>
          <w:color w:val="0D0D0D"/>
        </w:rPr>
      </w:pPr>
      <w:r w:rsidRPr="00915296">
        <w:rPr>
          <w:rFonts w:ascii="Arial" w:hAnsi="Arial" w:cs="Arial"/>
          <w:color w:val="0D0D0D"/>
        </w:rPr>
        <w:t xml:space="preserve">WERLING, D. M.; GESCHWIND, D. H. </w:t>
      </w:r>
      <w:proofErr w:type="spellStart"/>
      <w:r w:rsidRPr="00915296">
        <w:rPr>
          <w:rFonts w:ascii="Arial" w:hAnsi="Arial" w:cs="Arial"/>
          <w:color w:val="0D0D0D"/>
        </w:rPr>
        <w:t>Understanding</w:t>
      </w:r>
      <w:proofErr w:type="spellEnd"/>
      <w:r w:rsidRPr="00915296">
        <w:rPr>
          <w:rFonts w:ascii="Arial" w:hAnsi="Arial" w:cs="Arial"/>
          <w:color w:val="0D0D0D"/>
        </w:rPr>
        <w:t xml:space="preserve"> sex bias in </w:t>
      </w:r>
      <w:proofErr w:type="spellStart"/>
      <w:r w:rsidRPr="00915296">
        <w:rPr>
          <w:rFonts w:ascii="Arial" w:hAnsi="Arial" w:cs="Arial"/>
          <w:color w:val="0D0D0D"/>
        </w:rPr>
        <w:t>autism</w:t>
      </w:r>
      <w:proofErr w:type="spellEnd"/>
      <w:r w:rsidRPr="00915296">
        <w:rPr>
          <w:rFonts w:ascii="Arial" w:hAnsi="Arial" w:cs="Arial"/>
          <w:color w:val="0D0D0D"/>
        </w:rPr>
        <w:t xml:space="preserve"> </w:t>
      </w:r>
      <w:proofErr w:type="spellStart"/>
      <w:r w:rsidRPr="00915296">
        <w:rPr>
          <w:rFonts w:ascii="Arial" w:hAnsi="Arial" w:cs="Arial"/>
          <w:color w:val="0D0D0D"/>
        </w:rPr>
        <w:t>spectrum</w:t>
      </w:r>
      <w:proofErr w:type="spellEnd"/>
      <w:r w:rsidRPr="00915296">
        <w:rPr>
          <w:rFonts w:ascii="Arial" w:hAnsi="Arial" w:cs="Arial"/>
          <w:color w:val="0D0D0D"/>
        </w:rPr>
        <w:t xml:space="preserve"> </w:t>
      </w:r>
      <w:proofErr w:type="spellStart"/>
      <w:r w:rsidRPr="00915296">
        <w:rPr>
          <w:rFonts w:ascii="Arial" w:hAnsi="Arial" w:cs="Arial"/>
          <w:color w:val="0D0D0D"/>
        </w:rPr>
        <w:t>disorder</w:t>
      </w:r>
      <w:proofErr w:type="spellEnd"/>
      <w:r w:rsidRPr="00915296">
        <w:rPr>
          <w:rFonts w:ascii="Arial" w:hAnsi="Arial" w:cs="Arial"/>
          <w:color w:val="0D0D0D"/>
        </w:rPr>
        <w:t xml:space="preserve">. </w:t>
      </w:r>
      <w:proofErr w:type="spellStart"/>
      <w:r w:rsidRPr="00915296">
        <w:rPr>
          <w:rFonts w:ascii="Arial" w:hAnsi="Arial" w:cs="Arial"/>
          <w:color w:val="0D0D0D"/>
        </w:rPr>
        <w:t>Proceedings</w:t>
      </w:r>
      <w:proofErr w:type="spellEnd"/>
      <w:r w:rsidRPr="00915296">
        <w:rPr>
          <w:rFonts w:ascii="Arial" w:hAnsi="Arial" w:cs="Arial"/>
          <w:color w:val="0D0D0D"/>
        </w:rPr>
        <w:t xml:space="preserve"> </w:t>
      </w:r>
      <w:proofErr w:type="spellStart"/>
      <w:r w:rsidRPr="00915296">
        <w:rPr>
          <w:rFonts w:ascii="Arial" w:hAnsi="Arial" w:cs="Arial"/>
          <w:color w:val="0D0D0D"/>
        </w:rPr>
        <w:t>of</w:t>
      </w:r>
      <w:proofErr w:type="spellEnd"/>
      <w:r w:rsidRPr="00915296">
        <w:rPr>
          <w:rFonts w:ascii="Arial" w:hAnsi="Arial" w:cs="Arial"/>
          <w:color w:val="0D0D0D"/>
        </w:rPr>
        <w:t xml:space="preserve"> </w:t>
      </w:r>
      <w:proofErr w:type="spellStart"/>
      <w:r w:rsidRPr="00915296">
        <w:rPr>
          <w:rFonts w:ascii="Arial" w:hAnsi="Arial" w:cs="Arial"/>
          <w:color w:val="0D0D0D"/>
        </w:rPr>
        <w:t>the</w:t>
      </w:r>
      <w:proofErr w:type="spellEnd"/>
      <w:r w:rsidRPr="00915296">
        <w:rPr>
          <w:rFonts w:ascii="Arial" w:hAnsi="Arial" w:cs="Arial"/>
          <w:color w:val="0D0D0D"/>
        </w:rPr>
        <w:t xml:space="preserve"> </w:t>
      </w:r>
      <w:proofErr w:type="spellStart"/>
      <w:r w:rsidRPr="00915296">
        <w:rPr>
          <w:rFonts w:ascii="Arial" w:hAnsi="Arial" w:cs="Arial"/>
          <w:color w:val="0D0D0D"/>
        </w:rPr>
        <w:t>National</w:t>
      </w:r>
      <w:proofErr w:type="spellEnd"/>
      <w:r w:rsidRPr="00915296">
        <w:rPr>
          <w:rFonts w:ascii="Arial" w:hAnsi="Arial" w:cs="Arial"/>
          <w:color w:val="0D0D0D"/>
        </w:rPr>
        <w:t xml:space="preserve"> </w:t>
      </w:r>
      <w:proofErr w:type="spellStart"/>
      <w:r w:rsidRPr="00915296">
        <w:rPr>
          <w:rFonts w:ascii="Arial" w:hAnsi="Arial" w:cs="Arial"/>
          <w:color w:val="0D0D0D"/>
        </w:rPr>
        <w:t>Academy</w:t>
      </w:r>
      <w:proofErr w:type="spellEnd"/>
      <w:r w:rsidRPr="00915296">
        <w:rPr>
          <w:rFonts w:ascii="Arial" w:hAnsi="Arial" w:cs="Arial"/>
          <w:color w:val="0D0D0D"/>
        </w:rPr>
        <w:t xml:space="preserve"> </w:t>
      </w:r>
      <w:proofErr w:type="spellStart"/>
      <w:r w:rsidRPr="00915296">
        <w:rPr>
          <w:rFonts w:ascii="Arial" w:hAnsi="Arial" w:cs="Arial"/>
          <w:color w:val="0D0D0D"/>
        </w:rPr>
        <w:t>of</w:t>
      </w:r>
      <w:proofErr w:type="spellEnd"/>
      <w:r w:rsidRPr="00915296">
        <w:rPr>
          <w:rFonts w:ascii="Arial" w:hAnsi="Arial" w:cs="Arial"/>
          <w:color w:val="0D0D0D"/>
        </w:rPr>
        <w:t xml:space="preserve"> </w:t>
      </w:r>
      <w:proofErr w:type="spellStart"/>
      <w:r w:rsidRPr="00915296">
        <w:rPr>
          <w:rFonts w:ascii="Arial" w:hAnsi="Arial" w:cs="Arial"/>
          <w:color w:val="0D0D0D"/>
        </w:rPr>
        <w:t>Sciences</w:t>
      </w:r>
      <w:proofErr w:type="spellEnd"/>
      <w:r w:rsidRPr="00915296">
        <w:rPr>
          <w:rFonts w:ascii="Arial" w:hAnsi="Arial" w:cs="Arial"/>
          <w:color w:val="0D0D0D"/>
        </w:rPr>
        <w:t xml:space="preserve"> </w:t>
      </w:r>
      <w:proofErr w:type="spellStart"/>
      <w:r w:rsidRPr="00915296">
        <w:rPr>
          <w:rFonts w:ascii="Arial" w:hAnsi="Arial" w:cs="Arial"/>
          <w:color w:val="0D0D0D"/>
        </w:rPr>
        <w:t>of</w:t>
      </w:r>
      <w:proofErr w:type="spellEnd"/>
      <w:r w:rsidRPr="00915296">
        <w:rPr>
          <w:rFonts w:ascii="Arial" w:hAnsi="Arial" w:cs="Arial"/>
          <w:color w:val="0D0D0D"/>
        </w:rPr>
        <w:t xml:space="preserve"> </w:t>
      </w:r>
      <w:proofErr w:type="spellStart"/>
      <w:r w:rsidRPr="00915296">
        <w:rPr>
          <w:rFonts w:ascii="Arial" w:hAnsi="Arial" w:cs="Arial"/>
          <w:color w:val="0D0D0D"/>
        </w:rPr>
        <w:t>the</w:t>
      </w:r>
      <w:proofErr w:type="spellEnd"/>
      <w:r w:rsidRPr="00915296">
        <w:rPr>
          <w:rFonts w:ascii="Arial" w:hAnsi="Arial" w:cs="Arial"/>
          <w:color w:val="0D0D0D"/>
        </w:rPr>
        <w:t xml:space="preserve"> United States </w:t>
      </w:r>
      <w:proofErr w:type="spellStart"/>
      <w:r w:rsidRPr="00915296">
        <w:rPr>
          <w:rFonts w:ascii="Arial" w:hAnsi="Arial" w:cs="Arial"/>
          <w:color w:val="0D0D0D"/>
        </w:rPr>
        <w:t>of</w:t>
      </w:r>
      <w:proofErr w:type="spellEnd"/>
      <w:r w:rsidRPr="00915296">
        <w:rPr>
          <w:rFonts w:ascii="Arial" w:hAnsi="Arial" w:cs="Arial"/>
          <w:color w:val="0D0D0D"/>
        </w:rPr>
        <w:t xml:space="preserve"> </w:t>
      </w:r>
      <w:proofErr w:type="spellStart"/>
      <w:r w:rsidRPr="00915296">
        <w:rPr>
          <w:rFonts w:ascii="Arial" w:hAnsi="Arial" w:cs="Arial"/>
          <w:color w:val="0D0D0D"/>
        </w:rPr>
        <w:t>America</w:t>
      </w:r>
      <w:proofErr w:type="spellEnd"/>
      <w:r w:rsidRPr="00915296">
        <w:rPr>
          <w:rFonts w:ascii="Arial" w:hAnsi="Arial" w:cs="Arial"/>
          <w:color w:val="0D0D0D"/>
        </w:rPr>
        <w:t>, Washington DC, v. 110, n. 13, p. 4868–4869, mar. 2013</w:t>
      </w:r>
      <w:r w:rsidR="000434C7" w:rsidRPr="00915296">
        <w:rPr>
          <w:rFonts w:ascii="Arial" w:hAnsi="Arial" w:cs="Arial"/>
          <w:color w:val="0D0D0D"/>
        </w:rPr>
        <w:t>.</w:t>
      </w:r>
    </w:p>
    <w:p w14:paraId="38F7609F" w14:textId="4AF2373E" w:rsidR="00DF4FFF" w:rsidRPr="00915296" w:rsidRDefault="00DF4FFF" w:rsidP="00AC56F8">
      <w:pPr>
        <w:pStyle w:val="NormalWeb"/>
        <w:shd w:val="clear" w:color="auto" w:fill="FFFFFF"/>
        <w:spacing w:beforeLines="30" w:before="72" w:beforeAutospacing="0" w:afterLines="30" w:after="72" w:afterAutospacing="0" w:line="360" w:lineRule="auto"/>
        <w:jc w:val="both"/>
        <w:rPr>
          <w:rFonts w:ascii="Arial" w:hAnsi="Arial" w:cs="Arial"/>
          <w:color w:val="0D0D0D"/>
        </w:rPr>
      </w:pPr>
    </w:p>
    <w:sectPr w:rsidR="00DF4FFF" w:rsidRPr="00915296" w:rsidSect="007739BE">
      <w:headerReference w:type="default" r:id="rId16"/>
      <w:pgSz w:w="11900" w:h="16850"/>
      <w:pgMar w:top="1701" w:right="1134" w:bottom="1134" w:left="1701" w:header="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2BFDA" w14:textId="77777777" w:rsidR="006C4025" w:rsidRDefault="006C4025">
      <w:r>
        <w:separator/>
      </w:r>
    </w:p>
  </w:endnote>
  <w:endnote w:type="continuationSeparator" w:id="0">
    <w:p w14:paraId="409E2A68" w14:textId="77777777" w:rsidR="006C4025" w:rsidRDefault="006C4025">
      <w:r>
        <w:continuationSeparator/>
      </w:r>
    </w:p>
  </w:endnote>
  <w:endnote w:type="continuationNotice" w:id="1">
    <w:p w14:paraId="038E792A" w14:textId="77777777" w:rsidR="006C4025" w:rsidRDefault="006C4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8DEF7" w14:textId="77777777" w:rsidR="006C4025" w:rsidRDefault="006C4025">
      <w:r>
        <w:separator/>
      </w:r>
    </w:p>
  </w:footnote>
  <w:footnote w:type="continuationSeparator" w:id="0">
    <w:p w14:paraId="704DB06F" w14:textId="77777777" w:rsidR="006C4025" w:rsidRDefault="006C4025">
      <w:r>
        <w:continuationSeparator/>
      </w:r>
    </w:p>
  </w:footnote>
  <w:footnote w:type="continuationNotice" w:id="1">
    <w:p w14:paraId="3389AF3C" w14:textId="77777777" w:rsidR="006C4025" w:rsidRDefault="006C4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2689B" w14:textId="4BAFE25C" w:rsidR="00DF4FFF" w:rsidRDefault="00137A4E">
    <w:pPr>
      <w:pStyle w:val="Corpodetexto"/>
      <w:spacing w:line="14" w:lineRule="auto"/>
      <w:rPr>
        <w:sz w:val="20"/>
      </w:rPr>
    </w:pPr>
    <w:r>
      <w:rPr>
        <w:noProof/>
      </w:rPr>
      <w:drawing>
        <wp:anchor distT="0" distB="0" distL="0" distR="0" simplePos="0" relativeHeight="251658240" behindDoc="1" locked="0" layoutInCell="1" allowOverlap="1" wp14:anchorId="13659694" wp14:editId="3B4E6383">
          <wp:simplePos x="0" y="0"/>
          <wp:positionH relativeFrom="page">
            <wp:posOffset>5677679</wp:posOffset>
          </wp:positionH>
          <wp:positionV relativeFrom="page">
            <wp:posOffset>265422</wp:posOffset>
          </wp:positionV>
          <wp:extent cx="660455" cy="24491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0455" cy="244911"/>
                  </a:xfrm>
                  <a:prstGeom prst="rect">
                    <a:avLst/>
                  </a:prstGeom>
                </pic:spPr>
              </pic:pic>
            </a:graphicData>
          </a:graphic>
        </wp:anchor>
      </w:drawing>
    </w:r>
    <w:r w:rsidR="00351EFD">
      <w:rPr>
        <w:noProof/>
      </w:rPr>
      <mc:AlternateContent>
        <mc:Choice Requires="wps">
          <w:drawing>
            <wp:anchor distT="0" distB="0" distL="114300" distR="114300" simplePos="0" relativeHeight="251658241" behindDoc="1" locked="0" layoutInCell="1" allowOverlap="1" wp14:anchorId="494C77D3" wp14:editId="5F228E09">
              <wp:simplePos x="0" y="0"/>
              <wp:positionH relativeFrom="page">
                <wp:posOffset>1080770</wp:posOffset>
              </wp:positionH>
              <wp:positionV relativeFrom="page">
                <wp:posOffset>741045</wp:posOffset>
              </wp:positionV>
              <wp:extent cx="539559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0"/>
                      </a:xfrm>
                      <a:prstGeom prst="line">
                        <a:avLst/>
                      </a:prstGeom>
                      <a:noFill/>
                      <a:ln w="38100">
                        <a:solidFill>
                          <a:srgbClr val="BD4A4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28A83" id="Conector reto 4" o:spid="_x0000_s1026" style="position:absolute;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1pt,58.35pt" to="509.9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" strokecolor="#bd4a47" strokeweight="3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7759"/>
    <w:multiLevelType w:val="multilevel"/>
    <w:tmpl w:val="AA50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D7F91"/>
    <w:multiLevelType w:val="multilevel"/>
    <w:tmpl w:val="8394569E"/>
    <w:lvl w:ilvl="0">
      <w:start w:val="4"/>
      <w:numFmt w:val="decimal"/>
      <w:lvlText w:val="%1"/>
      <w:lvlJc w:val="left"/>
      <w:pPr>
        <w:ind w:left="1217" w:hanging="403"/>
      </w:pPr>
      <w:rPr>
        <w:rFonts w:hint="default"/>
        <w:lang w:val="pt-PT" w:eastAsia="en-US" w:bidi="ar-SA"/>
      </w:rPr>
    </w:lvl>
    <w:lvl w:ilvl="1">
      <w:start w:val="1"/>
      <w:numFmt w:val="decimal"/>
      <w:lvlText w:val="%1.%2"/>
      <w:lvlJc w:val="left"/>
      <w:pPr>
        <w:ind w:left="1217" w:hanging="403"/>
        <w:jc w:val="right"/>
      </w:pPr>
      <w:rPr>
        <w:rFonts w:hint="default"/>
        <w:b/>
        <w:bCs/>
        <w:w w:val="99"/>
        <w:lang w:val="pt-PT" w:eastAsia="en-US" w:bidi="ar-SA"/>
      </w:rPr>
    </w:lvl>
    <w:lvl w:ilvl="2">
      <w:numFmt w:val="bullet"/>
      <w:lvlText w:val="•"/>
      <w:lvlJc w:val="left"/>
      <w:pPr>
        <w:ind w:left="2727" w:hanging="403"/>
      </w:pPr>
      <w:rPr>
        <w:rFonts w:hint="default"/>
        <w:lang w:val="pt-PT" w:eastAsia="en-US" w:bidi="ar-SA"/>
      </w:rPr>
    </w:lvl>
    <w:lvl w:ilvl="3">
      <w:numFmt w:val="bullet"/>
      <w:lvlText w:val="•"/>
      <w:lvlJc w:val="left"/>
      <w:pPr>
        <w:ind w:left="3481" w:hanging="403"/>
      </w:pPr>
      <w:rPr>
        <w:rFonts w:hint="default"/>
        <w:lang w:val="pt-PT" w:eastAsia="en-US" w:bidi="ar-SA"/>
      </w:rPr>
    </w:lvl>
    <w:lvl w:ilvl="4">
      <w:numFmt w:val="bullet"/>
      <w:lvlText w:val="•"/>
      <w:lvlJc w:val="left"/>
      <w:pPr>
        <w:ind w:left="4235" w:hanging="403"/>
      </w:pPr>
      <w:rPr>
        <w:rFonts w:hint="default"/>
        <w:lang w:val="pt-PT" w:eastAsia="en-US" w:bidi="ar-SA"/>
      </w:rPr>
    </w:lvl>
    <w:lvl w:ilvl="5">
      <w:numFmt w:val="bullet"/>
      <w:lvlText w:val="•"/>
      <w:lvlJc w:val="left"/>
      <w:pPr>
        <w:ind w:left="4989" w:hanging="403"/>
      </w:pPr>
      <w:rPr>
        <w:rFonts w:hint="default"/>
        <w:lang w:val="pt-PT" w:eastAsia="en-US" w:bidi="ar-SA"/>
      </w:rPr>
    </w:lvl>
    <w:lvl w:ilvl="6">
      <w:numFmt w:val="bullet"/>
      <w:lvlText w:val="•"/>
      <w:lvlJc w:val="left"/>
      <w:pPr>
        <w:ind w:left="5743" w:hanging="403"/>
      </w:pPr>
      <w:rPr>
        <w:rFonts w:hint="default"/>
        <w:lang w:val="pt-PT" w:eastAsia="en-US" w:bidi="ar-SA"/>
      </w:rPr>
    </w:lvl>
    <w:lvl w:ilvl="7">
      <w:numFmt w:val="bullet"/>
      <w:lvlText w:val="•"/>
      <w:lvlJc w:val="left"/>
      <w:pPr>
        <w:ind w:left="6497" w:hanging="403"/>
      </w:pPr>
      <w:rPr>
        <w:rFonts w:hint="default"/>
        <w:lang w:val="pt-PT" w:eastAsia="en-US" w:bidi="ar-SA"/>
      </w:rPr>
    </w:lvl>
    <w:lvl w:ilvl="8">
      <w:numFmt w:val="bullet"/>
      <w:lvlText w:val="•"/>
      <w:lvlJc w:val="left"/>
      <w:pPr>
        <w:ind w:left="7251" w:hanging="403"/>
      </w:pPr>
      <w:rPr>
        <w:rFonts w:hint="default"/>
        <w:lang w:val="pt-PT" w:eastAsia="en-US" w:bidi="ar-SA"/>
      </w:rPr>
    </w:lvl>
  </w:abstractNum>
  <w:abstractNum w:abstractNumId="2" w15:restartNumberingAfterBreak="0">
    <w:nsid w:val="474F64CA"/>
    <w:multiLevelType w:val="hybridMultilevel"/>
    <w:tmpl w:val="E56E381E"/>
    <w:lvl w:ilvl="0" w:tplc="04160001">
      <w:start w:val="1"/>
      <w:numFmt w:val="bullet"/>
      <w:lvlText w:val=""/>
      <w:lvlJc w:val="left"/>
      <w:pPr>
        <w:ind w:left="1681" w:hanging="360"/>
      </w:pPr>
      <w:rPr>
        <w:rFonts w:ascii="Symbol" w:hAnsi="Symbol" w:hint="default"/>
      </w:rPr>
    </w:lvl>
    <w:lvl w:ilvl="1" w:tplc="04160003" w:tentative="1">
      <w:start w:val="1"/>
      <w:numFmt w:val="bullet"/>
      <w:lvlText w:val="o"/>
      <w:lvlJc w:val="left"/>
      <w:pPr>
        <w:ind w:left="2401" w:hanging="360"/>
      </w:pPr>
      <w:rPr>
        <w:rFonts w:ascii="Courier New" w:hAnsi="Courier New" w:cs="Courier New" w:hint="default"/>
      </w:rPr>
    </w:lvl>
    <w:lvl w:ilvl="2" w:tplc="04160005" w:tentative="1">
      <w:start w:val="1"/>
      <w:numFmt w:val="bullet"/>
      <w:lvlText w:val=""/>
      <w:lvlJc w:val="left"/>
      <w:pPr>
        <w:ind w:left="3121" w:hanging="360"/>
      </w:pPr>
      <w:rPr>
        <w:rFonts w:ascii="Wingdings" w:hAnsi="Wingdings" w:hint="default"/>
      </w:rPr>
    </w:lvl>
    <w:lvl w:ilvl="3" w:tplc="04160001" w:tentative="1">
      <w:start w:val="1"/>
      <w:numFmt w:val="bullet"/>
      <w:lvlText w:val=""/>
      <w:lvlJc w:val="left"/>
      <w:pPr>
        <w:ind w:left="3841" w:hanging="360"/>
      </w:pPr>
      <w:rPr>
        <w:rFonts w:ascii="Symbol" w:hAnsi="Symbol" w:hint="default"/>
      </w:rPr>
    </w:lvl>
    <w:lvl w:ilvl="4" w:tplc="04160003" w:tentative="1">
      <w:start w:val="1"/>
      <w:numFmt w:val="bullet"/>
      <w:lvlText w:val="o"/>
      <w:lvlJc w:val="left"/>
      <w:pPr>
        <w:ind w:left="4561" w:hanging="360"/>
      </w:pPr>
      <w:rPr>
        <w:rFonts w:ascii="Courier New" w:hAnsi="Courier New" w:cs="Courier New" w:hint="default"/>
      </w:rPr>
    </w:lvl>
    <w:lvl w:ilvl="5" w:tplc="04160005" w:tentative="1">
      <w:start w:val="1"/>
      <w:numFmt w:val="bullet"/>
      <w:lvlText w:val=""/>
      <w:lvlJc w:val="left"/>
      <w:pPr>
        <w:ind w:left="5281" w:hanging="360"/>
      </w:pPr>
      <w:rPr>
        <w:rFonts w:ascii="Wingdings" w:hAnsi="Wingdings" w:hint="default"/>
      </w:rPr>
    </w:lvl>
    <w:lvl w:ilvl="6" w:tplc="04160001" w:tentative="1">
      <w:start w:val="1"/>
      <w:numFmt w:val="bullet"/>
      <w:lvlText w:val=""/>
      <w:lvlJc w:val="left"/>
      <w:pPr>
        <w:ind w:left="6001" w:hanging="360"/>
      </w:pPr>
      <w:rPr>
        <w:rFonts w:ascii="Symbol" w:hAnsi="Symbol" w:hint="default"/>
      </w:rPr>
    </w:lvl>
    <w:lvl w:ilvl="7" w:tplc="04160003" w:tentative="1">
      <w:start w:val="1"/>
      <w:numFmt w:val="bullet"/>
      <w:lvlText w:val="o"/>
      <w:lvlJc w:val="left"/>
      <w:pPr>
        <w:ind w:left="6721" w:hanging="360"/>
      </w:pPr>
      <w:rPr>
        <w:rFonts w:ascii="Courier New" w:hAnsi="Courier New" w:cs="Courier New" w:hint="default"/>
      </w:rPr>
    </w:lvl>
    <w:lvl w:ilvl="8" w:tplc="04160005" w:tentative="1">
      <w:start w:val="1"/>
      <w:numFmt w:val="bullet"/>
      <w:lvlText w:val=""/>
      <w:lvlJc w:val="left"/>
      <w:pPr>
        <w:ind w:left="7441" w:hanging="360"/>
      </w:pPr>
      <w:rPr>
        <w:rFonts w:ascii="Wingdings" w:hAnsi="Wingdings" w:hint="default"/>
      </w:rPr>
    </w:lvl>
  </w:abstractNum>
  <w:abstractNum w:abstractNumId="3" w15:restartNumberingAfterBreak="0">
    <w:nsid w:val="6836366B"/>
    <w:multiLevelType w:val="multilevel"/>
    <w:tmpl w:val="DB7A833A"/>
    <w:lvl w:ilvl="0">
      <w:start w:val="1"/>
      <w:numFmt w:val="decimal"/>
      <w:lvlText w:val="%1."/>
      <w:lvlJc w:val="left"/>
      <w:pPr>
        <w:ind w:left="477" w:hanging="360"/>
      </w:pPr>
      <w:rPr>
        <w:rFonts w:hint="default"/>
      </w:rPr>
    </w:lvl>
    <w:lvl w:ilvl="1">
      <w:start w:val="1"/>
      <w:numFmt w:val="decimal"/>
      <w:isLgl/>
      <w:lvlText w:val="%1.%2"/>
      <w:lvlJc w:val="left"/>
      <w:pPr>
        <w:ind w:left="477" w:hanging="360"/>
      </w:pPr>
      <w:rPr>
        <w:rFonts w:hint="default"/>
      </w:rPr>
    </w:lvl>
    <w:lvl w:ilvl="2">
      <w:start w:val="1"/>
      <w:numFmt w:val="decimal"/>
      <w:isLgl/>
      <w:lvlText w:val="%1.%2.%3"/>
      <w:lvlJc w:val="left"/>
      <w:pPr>
        <w:ind w:left="837" w:hanging="720"/>
      </w:pPr>
      <w:rPr>
        <w:rFonts w:hint="default"/>
      </w:rPr>
    </w:lvl>
    <w:lvl w:ilvl="3">
      <w:start w:val="1"/>
      <w:numFmt w:val="decimal"/>
      <w:isLgl/>
      <w:lvlText w:val="%1.%2.%3.%4"/>
      <w:lvlJc w:val="left"/>
      <w:pPr>
        <w:ind w:left="1197" w:hanging="1080"/>
      </w:pPr>
      <w:rPr>
        <w:rFonts w:hint="default"/>
      </w:rPr>
    </w:lvl>
    <w:lvl w:ilvl="4">
      <w:start w:val="1"/>
      <w:numFmt w:val="decimal"/>
      <w:isLgl/>
      <w:lvlText w:val="%1.%2.%3.%4.%5"/>
      <w:lvlJc w:val="left"/>
      <w:pPr>
        <w:ind w:left="1197" w:hanging="1080"/>
      </w:pPr>
      <w:rPr>
        <w:rFonts w:hint="default"/>
      </w:rPr>
    </w:lvl>
    <w:lvl w:ilvl="5">
      <w:start w:val="1"/>
      <w:numFmt w:val="decimal"/>
      <w:isLgl/>
      <w:lvlText w:val="%1.%2.%3.%4.%5.%6"/>
      <w:lvlJc w:val="left"/>
      <w:pPr>
        <w:ind w:left="1557" w:hanging="1440"/>
      </w:pPr>
      <w:rPr>
        <w:rFonts w:hint="default"/>
      </w:rPr>
    </w:lvl>
    <w:lvl w:ilvl="6">
      <w:start w:val="1"/>
      <w:numFmt w:val="decimal"/>
      <w:isLgl/>
      <w:lvlText w:val="%1.%2.%3.%4.%5.%6.%7"/>
      <w:lvlJc w:val="left"/>
      <w:pPr>
        <w:ind w:left="1557" w:hanging="1440"/>
      </w:pPr>
      <w:rPr>
        <w:rFonts w:hint="default"/>
      </w:rPr>
    </w:lvl>
    <w:lvl w:ilvl="7">
      <w:start w:val="1"/>
      <w:numFmt w:val="decimal"/>
      <w:isLgl/>
      <w:lvlText w:val="%1.%2.%3.%4.%5.%6.%7.%8"/>
      <w:lvlJc w:val="left"/>
      <w:pPr>
        <w:ind w:left="1917" w:hanging="1800"/>
      </w:pPr>
      <w:rPr>
        <w:rFonts w:hint="default"/>
      </w:rPr>
    </w:lvl>
    <w:lvl w:ilvl="8">
      <w:start w:val="1"/>
      <w:numFmt w:val="decimal"/>
      <w:isLgl/>
      <w:lvlText w:val="%1.%2.%3.%4.%5.%6.%7.%8.%9"/>
      <w:lvlJc w:val="left"/>
      <w:pPr>
        <w:ind w:left="1917" w:hanging="1800"/>
      </w:pPr>
      <w:rPr>
        <w:rFonts w:hint="default"/>
      </w:rPr>
    </w:lvl>
  </w:abstractNum>
  <w:abstractNum w:abstractNumId="4" w15:restartNumberingAfterBreak="0">
    <w:nsid w:val="6ECB2B30"/>
    <w:multiLevelType w:val="hybridMultilevel"/>
    <w:tmpl w:val="27925F46"/>
    <w:lvl w:ilvl="0" w:tplc="63C6247C">
      <w:start w:val="4"/>
      <w:numFmt w:val="decimal"/>
      <w:lvlText w:val="%1."/>
      <w:lvlJc w:val="left"/>
      <w:pPr>
        <w:ind w:left="376" w:hanging="269"/>
      </w:pPr>
      <w:rPr>
        <w:rFonts w:ascii="Arial" w:eastAsia="Arial" w:hAnsi="Arial" w:cs="Arial" w:hint="default"/>
        <w:b/>
        <w:bCs/>
        <w:w w:val="100"/>
        <w:sz w:val="24"/>
        <w:szCs w:val="24"/>
        <w:lang w:val="pt-PT" w:eastAsia="en-US" w:bidi="ar-SA"/>
      </w:rPr>
    </w:lvl>
    <w:lvl w:ilvl="1" w:tplc="FFDE97A6">
      <w:start w:val="1"/>
      <w:numFmt w:val="decimal"/>
      <w:lvlText w:val="%2."/>
      <w:lvlJc w:val="left"/>
      <w:pPr>
        <w:ind w:left="842" w:hanging="360"/>
      </w:pPr>
      <w:rPr>
        <w:rFonts w:ascii="Arial MT" w:eastAsia="Arial MT" w:hAnsi="Arial MT" w:cs="Arial MT" w:hint="default"/>
        <w:w w:val="100"/>
        <w:sz w:val="24"/>
        <w:szCs w:val="24"/>
        <w:lang w:val="pt-PT" w:eastAsia="en-US" w:bidi="ar-SA"/>
      </w:rPr>
    </w:lvl>
    <w:lvl w:ilvl="2" w:tplc="36A0F2C4">
      <w:numFmt w:val="bullet"/>
      <w:lvlText w:val="•"/>
      <w:lvlJc w:val="left"/>
      <w:pPr>
        <w:ind w:left="1719" w:hanging="360"/>
      </w:pPr>
      <w:rPr>
        <w:rFonts w:hint="default"/>
        <w:lang w:val="pt-PT" w:eastAsia="en-US" w:bidi="ar-SA"/>
      </w:rPr>
    </w:lvl>
    <w:lvl w:ilvl="3" w:tplc="F0405AB6">
      <w:numFmt w:val="bullet"/>
      <w:lvlText w:val="•"/>
      <w:lvlJc w:val="left"/>
      <w:pPr>
        <w:ind w:left="2599" w:hanging="360"/>
      </w:pPr>
      <w:rPr>
        <w:rFonts w:hint="default"/>
        <w:lang w:val="pt-PT" w:eastAsia="en-US" w:bidi="ar-SA"/>
      </w:rPr>
    </w:lvl>
    <w:lvl w:ilvl="4" w:tplc="584E400A">
      <w:numFmt w:val="bullet"/>
      <w:lvlText w:val="•"/>
      <w:lvlJc w:val="left"/>
      <w:pPr>
        <w:ind w:left="3479" w:hanging="360"/>
      </w:pPr>
      <w:rPr>
        <w:rFonts w:hint="default"/>
        <w:lang w:val="pt-PT" w:eastAsia="en-US" w:bidi="ar-SA"/>
      </w:rPr>
    </w:lvl>
    <w:lvl w:ilvl="5" w:tplc="5420D2D2">
      <w:numFmt w:val="bullet"/>
      <w:lvlText w:val="•"/>
      <w:lvlJc w:val="left"/>
      <w:pPr>
        <w:ind w:left="4359" w:hanging="360"/>
      </w:pPr>
      <w:rPr>
        <w:rFonts w:hint="default"/>
        <w:lang w:val="pt-PT" w:eastAsia="en-US" w:bidi="ar-SA"/>
      </w:rPr>
    </w:lvl>
    <w:lvl w:ilvl="6" w:tplc="3DAC76B6">
      <w:numFmt w:val="bullet"/>
      <w:lvlText w:val="•"/>
      <w:lvlJc w:val="left"/>
      <w:pPr>
        <w:ind w:left="5239" w:hanging="360"/>
      </w:pPr>
      <w:rPr>
        <w:rFonts w:hint="default"/>
        <w:lang w:val="pt-PT" w:eastAsia="en-US" w:bidi="ar-SA"/>
      </w:rPr>
    </w:lvl>
    <w:lvl w:ilvl="7" w:tplc="A022C8F2">
      <w:numFmt w:val="bullet"/>
      <w:lvlText w:val="•"/>
      <w:lvlJc w:val="left"/>
      <w:pPr>
        <w:ind w:left="6119" w:hanging="360"/>
      </w:pPr>
      <w:rPr>
        <w:rFonts w:hint="default"/>
        <w:lang w:val="pt-PT" w:eastAsia="en-US" w:bidi="ar-SA"/>
      </w:rPr>
    </w:lvl>
    <w:lvl w:ilvl="8" w:tplc="A036C968">
      <w:numFmt w:val="bullet"/>
      <w:lvlText w:val="•"/>
      <w:lvlJc w:val="left"/>
      <w:pPr>
        <w:ind w:left="6999" w:hanging="360"/>
      </w:pPr>
      <w:rPr>
        <w:rFonts w:hint="default"/>
        <w:lang w:val="pt-PT" w:eastAsia="en-US" w:bidi="ar-SA"/>
      </w:rPr>
    </w:lvl>
  </w:abstractNum>
  <w:num w:numId="1" w16cid:durableId="713966593">
    <w:abstractNumId w:val="1"/>
  </w:num>
  <w:num w:numId="2" w16cid:durableId="1509981831">
    <w:abstractNumId w:val="4"/>
  </w:num>
  <w:num w:numId="3" w16cid:durableId="64689424">
    <w:abstractNumId w:val="2"/>
  </w:num>
  <w:num w:numId="4" w16cid:durableId="791285500">
    <w:abstractNumId w:val="3"/>
  </w:num>
  <w:num w:numId="5" w16cid:durableId="182966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FF"/>
    <w:rsid w:val="00000E5C"/>
    <w:rsid w:val="00002392"/>
    <w:rsid w:val="000040C0"/>
    <w:rsid w:val="00004926"/>
    <w:rsid w:val="00005C9D"/>
    <w:rsid w:val="000072D5"/>
    <w:rsid w:val="00007776"/>
    <w:rsid w:val="00011219"/>
    <w:rsid w:val="000122DF"/>
    <w:rsid w:val="00012BD3"/>
    <w:rsid w:val="00013A8D"/>
    <w:rsid w:val="00013C43"/>
    <w:rsid w:val="00013FB1"/>
    <w:rsid w:val="0001695A"/>
    <w:rsid w:val="000175D9"/>
    <w:rsid w:val="00017A01"/>
    <w:rsid w:val="00017AAA"/>
    <w:rsid w:val="0002115E"/>
    <w:rsid w:val="00021357"/>
    <w:rsid w:val="00021F67"/>
    <w:rsid w:val="0002250A"/>
    <w:rsid w:val="00022B0D"/>
    <w:rsid w:val="00023085"/>
    <w:rsid w:val="00023237"/>
    <w:rsid w:val="00024DF8"/>
    <w:rsid w:val="000256B3"/>
    <w:rsid w:val="0002624E"/>
    <w:rsid w:val="0003131E"/>
    <w:rsid w:val="0003183A"/>
    <w:rsid w:val="00031E4B"/>
    <w:rsid w:val="0003242B"/>
    <w:rsid w:val="0003254B"/>
    <w:rsid w:val="00032905"/>
    <w:rsid w:val="00041D5E"/>
    <w:rsid w:val="00043345"/>
    <w:rsid w:val="000434C7"/>
    <w:rsid w:val="000436A7"/>
    <w:rsid w:val="00043803"/>
    <w:rsid w:val="00044E69"/>
    <w:rsid w:val="00045616"/>
    <w:rsid w:val="0005059C"/>
    <w:rsid w:val="00053A7C"/>
    <w:rsid w:val="0005442F"/>
    <w:rsid w:val="00054690"/>
    <w:rsid w:val="00054BD1"/>
    <w:rsid w:val="000569C1"/>
    <w:rsid w:val="00056A94"/>
    <w:rsid w:val="00057ABF"/>
    <w:rsid w:val="00063D4A"/>
    <w:rsid w:val="00065359"/>
    <w:rsid w:val="00066255"/>
    <w:rsid w:val="00066472"/>
    <w:rsid w:val="00066FF8"/>
    <w:rsid w:val="00067887"/>
    <w:rsid w:val="00070636"/>
    <w:rsid w:val="00071843"/>
    <w:rsid w:val="00071CDC"/>
    <w:rsid w:val="0007436A"/>
    <w:rsid w:val="00075A34"/>
    <w:rsid w:val="00076154"/>
    <w:rsid w:val="00077ADE"/>
    <w:rsid w:val="00080F9B"/>
    <w:rsid w:val="00081E2C"/>
    <w:rsid w:val="000846F6"/>
    <w:rsid w:val="00084B1D"/>
    <w:rsid w:val="0008573B"/>
    <w:rsid w:val="00090524"/>
    <w:rsid w:val="000911E7"/>
    <w:rsid w:val="00092379"/>
    <w:rsid w:val="00093918"/>
    <w:rsid w:val="00094518"/>
    <w:rsid w:val="00094EFE"/>
    <w:rsid w:val="00096C0A"/>
    <w:rsid w:val="000A23CA"/>
    <w:rsid w:val="000A524F"/>
    <w:rsid w:val="000A560D"/>
    <w:rsid w:val="000B110A"/>
    <w:rsid w:val="000B130D"/>
    <w:rsid w:val="000B19C9"/>
    <w:rsid w:val="000B2058"/>
    <w:rsid w:val="000B22B1"/>
    <w:rsid w:val="000B5D9A"/>
    <w:rsid w:val="000B6A21"/>
    <w:rsid w:val="000B7061"/>
    <w:rsid w:val="000B7F7E"/>
    <w:rsid w:val="000C0093"/>
    <w:rsid w:val="000C1A5D"/>
    <w:rsid w:val="000C3775"/>
    <w:rsid w:val="000C37FF"/>
    <w:rsid w:val="000C4DF3"/>
    <w:rsid w:val="000C516C"/>
    <w:rsid w:val="000C5A81"/>
    <w:rsid w:val="000C6747"/>
    <w:rsid w:val="000D0E87"/>
    <w:rsid w:val="000D22E6"/>
    <w:rsid w:val="000D43D1"/>
    <w:rsid w:val="000D75DC"/>
    <w:rsid w:val="000D7B55"/>
    <w:rsid w:val="000E2B15"/>
    <w:rsid w:val="000E2E1C"/>
    <w:rsid w:val="000E3A4E"/>
    <w:rsid w:val="000E41D3"/>
    <w:rsid w:val="000E4801"/>
    <w:rsid w:val="000E7702"/>
    <w:rsid w:val="000E778C"/>
    <w:rsid w:val="000F3DBF"/>
    <w:rsid w:val="000F536E"/>
    <w:rsid w:val="00101AB5"/>
    <w:rsid w:val="0010227F"/>
    <w:rsid w:val="001040D6"/>
    <w:rsid w:val="00105368"/>
    <w:rsid w:val="00105D4A"/>
    <w:rsid w:val="00106D82"/>
    <w:rsid w:val="00107127"/>
    <w:rsid w:val="00107146"/>
    <w:rsid w:val="00111886"/>
    <w:rsid w:val="0011486A"/>
    <w:rsid w:val="00116124"/>
    <w:rsid w:val="00116AAD"/>
    <w:rsid w:val="00120DAE"/>
    <w:rsid w:val="001217E7"/>
    <w:rsid w:val="00121EE6"/>
    <w:rsid w:val="00125C8F"/>
    <w:rsid w:val="001267CC"/>
    <w:rsid w:val="001271EB"/>
    <w:rsid w:val="001275A8"/>
    <w:rsid w:val="00131232"/>
    <w:rsid w:val="0013476D"/>
    <w:rsid w:val="001350E2"/>
    <w:rsid w:val="0013571B"/>
    <w:rsid w:val="00136684"/>
    <w:rsid w:val="00136720"/>
    <w:rsid w:val="00137563"/>
    <w:rsid w:val="0013779C"/>
    <w:rsid w:val="00137A4E"/>
    <w:rsid w:val="00140107"/>
    <w:rsid w:val="001402AC"/>
    <w:rsid w:val="00140333"/>
    <w:rsid w:val="00141060"/>
    <w:rsid w:val="001436F9"/>
    <w:rsid w:val="0014492B"/>
    <w:rsid w:val="00144EEE"/>
    <w:rsid w:val="00145834"/>
    <w:rsid w:val="00145954"/>
    <w:rsid w:val="00147045"/>
    <w:rsid w:val="00147CF2"/>
    <w:rsid w:val="00150585"/>
    <w:rsid w:val="0015201A"/>
    <w:rsid w:val="00153AAB"/>
    <w:rsid w:val="00154914"/>
    <w:rsid w:val="0015573C"/>
    <w:rsid w:val="001563DD"/>
    <w:rsid w:val="00156425"/>
    <w:rsid w:val="001609CB"/>
    <w:rsid w:val="00160EC8"/>
    <w:rsid w:val="00161936"/>
    <w:rsid w:val="001621D6"/>
    <w:rsid w:val="00163B4C"/>
    <w:rsid w:val="0016416B"/>
    <w:rsid w:val="001666DA"/>
    <w:rsid w:val="00170322"/>
    <w:rsid w:val="00170755"/>
    <w:rsid w:val="00170920"/>
    <w:rsid w:val="00171CCD"/>
    <w:rsid w:val="00172A8C"/>
    <w:rsid w:val="00176518"/>
    <w:rsid w:val="0017674B"/>
    <w:rsid w:val="00176E26"/>
    <w:rsid w:val="00176E96"/>
    <w:rsid w:val="0017724A"/>
    <w:rsid w:val="00177AA6"/>
    <w:rsid w:val="00182527"/>
    <w:rsid w:val="00183D7B"/>
    <w:rsid w:val="001842B4"/>
    <w:rsid w:val="001846A6"/>
    <w:rsid w:val="0018525C"/>
    <w:rsid w:val="001855E8"/>
    <w:rsid w:val="00185606"/>
    <w:rsid w:val="00185980"/>
    <w:rsid w:val="00185E6E"/>
    <w:rsid w:val="001869AA"/>
    <w:rsid w:val="00187E07"/>
    <w:rsid w:val="001901D1"/>
    <w:rsid w:val="00192CC1"/>
    <w:rsid w:val="001938F0"/>
    <w:rsid w:val="00193C02"/>
    <w:rsid w:val="001945B2"/>
    <w:rsid w:val="001A002E"/>
    <w:rsid w:val="001A0643"/>
    <w:rsid w:val="001A1451"/>
    <w:rsid w:val="001A4C4D"/>
    <w:rsid w:val="001A52C7"/>
    <w:rsid w:val="001A585D"/>
    <w:rsid w:val="001A5FF7"/>
    <w:rsid w:val="001A68BE"/>
    <w:rsid w:val="001A7F4C"/>
    <w:rsid w:val="001B0042"/>
    <w:rsid w:val="001B02AC"/>
    <w:rsid w:val="001B0D4C"/>
    <w:rsid w:val="001B326F"/>
    <w:rsid w:val="001B3CA5"/>
    <w:rsid w:val="001B4B8F"/>
    <w:rsid w:val="001B51EF"/>
    <w:rsid w:val="001B5C86"/>
    <w:rsid w:val="001B69FE"/>
    <w:rsid w:val="001C0C7C"/>
    <w:rsid w:val="001C13D9"/>
    <w:rsid w:val="001C1F78"/>
    <w:rsid w:val="001C30CE"/>
    <w:rsid w:val="001C37CE"/>
    <w:rsid w:val="001C4627"/>
    <w:rsid w:val="001C4938"/>
    <w:rsid w:val="001D1790"/>
    <w:rsid w:val="001D1E30"/>
    <w:rsid w:val="001D2DD9"/>
    <w:rsid w:val="001D39D7"/>
    <w:rsid w:val="001D4B1B"/>
    <w:rsid w:val="001D4C0F"/>
    <w:rsid w:val="001D613E"/>
    <w:rsid w:val="001D6803"/>
    <w:rsid w:val="001E02C7"/>
    <w:rsid w:val="001E16F2"/>
    <w:rsid w:val="001E2586"/>
    <w:rsid w:val="001E2D44"/>
    <w:rsid w:val="001E2EF5"/>
    <w:rsid w:val="001E3CE3"/>
    <w:rsid w:val="001E3DF7"/>
    <w:rsid w:val="001E41A8"/>
    <w:rsid w:val="001E552E"/>
    <w:rsid w:val="001E66ED"/>
    <w:rsid w:val="001E6D42"/>
    <w:rsid w:val="001E7BBA"/>
    <w:rsid w:val="001E7EC0"/>
    <w:rsid w:val="001F2A71"/>
    <w:rsid w:val="001F3364"/>
    <w:rsid w:val="001F3406"/>
    <w:rsid w:val="001F4FD8"/>
    <w:rsid w:val="001F5D22"/>
    <w:rsid w:val="001F692F"/>
    <w:rsid w:val="00200D61"/>
    <w:rsid w:val="00201383"/>
    <w:rsid w:val="002023D9"/>
    <w:rsid w:val="0020364A"/>
    <w:rsid w:val="00205FCF"/>
    <w:rsid w:val="00206110"/>
    <w:rsid w:val="002069B7"/>
    <w:rsid w:val="002105AF"/>
    <w:rsid w:val="00212001"/>
    <w:rsid w:val="00212178"/>
    <w:rsid w:val="00212182"/>
    <w:rsid w:val="002133AA"/>
    <w:rsid w:val="00213C80"/>
    <w:rsid w:val="0021405E"/>
    <w:rsid w:val="00216CF3"/>
    <w:rsid w:val="0021717A"/>
    <w:rsid w:val="00217F50"/>
    <w:rsid w:val="0022149B"/>
    <w:rsid w:val="00226C93"/>
    <w:rsid w:val="002278A1"/>
    <w:rsid w:val="00230AED"/>
    <w:rsid w:val="00230C37"/>
    <w:rsid w:val="002329AD"/>
    <w:rsid w:val="0023421A"/>
    <w:rsid w:val="00234288"/>
    <w:rsid w:val="0023436D"/>
    <w:rsid w:val="00234BC3"/>
    <w:rsid w:val="00235B67"/>
    <w:rsid w:val="0023602F"/>
    <w:rsid w:val="00236147"/>
    <w:rsid w:val="00236733"/>
    <w:rsid w:val="002367DA"/>
    <w:rsid w:val="00236CC6"/>
    <w:rsid w:val="002430A4"/>
    <w:rsid w:val="0024320B"/>
    <w:rsid w:val="00245D9D"/>
    <w:rsid w:val="00245E18"/>
    <w:rsid w:val="00245E83"/>
    <w:rsid w:val="00246CE9"/>
    <w:rsid w:val="00251D20"/>
    <w:rsid w:val="00252757"/>
    <w:rsid w:val="00252858"/>
    <w:rsid w:val="0025290D"/>
    <w:rsid w:val="00252A34"/>
    <w:rsid w:val="0025588E"/>
    <w:rsid w:val="002574AD"/>
    <w:rsid w:val="002615D0"/>
    <w:rsid w:val="00261B8E"/>
    <w:rsid w:val="00262BDA"/>
    <w:rsid w:val="00264E3E"/>
    <w:rsid w:val="0026516F"/>
    <w:rsid w:val="00266169"/>
    <w:rsid w:val="00266543"/>
    <w:rsid w:val="00267511"/>
    <w:rsid w:val="00270288"/>
    <w:rsid w:val="00271F11"/>
    <w:rsid w:val="00272D94"/>
    <w:rsid w:val="00272FA4"/>
    <w:rsid w:val="00273014"/>
    <w:rsid w:val="00275776"/>
    <w:rsid w:val="00275C1E"/>
    <w:rsid w:val="002765E7"/>
    <w:rsid w:val="002769F2"/>
    <w:rsid w:val="00277532"/>
    <w:rsid w:val="00280087"/>
    <w:rsid w:val="00280A91"/>
    <w:rsid w:val="00280DDE"/>
    <w:rsid w:val="002819A5"/>
    <w:rsid w:val="00281EB3"/>
    <w:rsid w:val="00283B76"/>
    <w:rsid w:val="00284B92"/>
    <w:rsid w:val="00286312"/>
    <w:rsid w:val="002919B9"/>
    <w:rsid w:val="00293502"/>
    <w:rsid w:val="002937FC"/>
    <w:rsid w:val="002A00CC"/>
    <w:rsid w:val="002A0365"/>
    <w:rsid w:val="002A0853"/>
    <w:rsid w:val="002A10D4"/>
    <w:rsid w:val="002A1357"/>
    <w:rsid w:val="002A2A99"/>
    <w:rsid w:val="002A3BCF"/>
    <w:rsid w:val="002A5577"/>
    <w:rsid w:val="002A6269"/>
    <w:rsid w:val="002A6321"/>
    <w:rsid w:val="002A6AB8"/>
    <w:rsid w:val="002A7E29"/>
    <w:rsid w:val="002B0CFF"/>
    <w:rsid w:val="002B5BBB"/>
    <w:rsid w:val="002B7B31"/>
    <w:rsid w:val="002C1FD4"/>
    <w:rsid w:val="002C2518"/>
    <w:rsid w:val="002C42D4"/>
    <w:rsid w:val="002C4357"/>
    <w:rsid w:val="002C4DF1"/>
    <w:rsid w:val="002C6ED5"/>
    <w:rsid w:val="002D3A79"/>
    <w:rsid w:val="002D3F77"/>
    <w:rsid w:val="002D4A94"/>
    <w:rsid w:val="002D5614"/>
    <w:rsid w:val="002D592F"/>
    <w:rsid w:val="002D703F"/>
    <w:rsid w:val="002E021A"/>
    <w:rsid w:val="002E0496"/>
    <w:rsid w:val="002E06A4"/>
    <w:rsid w:val="002E105B"/>
    <w:rsid w:val="002E255F"/>
    <w:rsid w:val="002E2AD8"/>
    <w:rsid w:val="002E3007"/>
    <w:rsid w:val="002E464E"/>
    <w:rsid w:val="002E72E9"/>
    <w:rsid w:val="002E73A9"/>
    <w:rsid w:val="002E7CB0"/>
    <w:rsid w:val="002F01A2"/>
    <w:rsid w:val="002F0637"/>
    <w:rsid w:val="002F1C48"/>
    <w:rsid w:val="002F2AE1"/>
    <w:rsid w:val="002F3299"/>
    <w:rsid w:val="002F3470"/>
    <w:rsid w:val="002F3E1F"/>
    <w:rsid w:val="002F40FD"/>
    <w:rsid w:val="002F4DAB"/>
    <w:rsid w:val="002F6C1C"/>
    <w:rsid w:val="003000BB"/>
    <w:rsid w:val="003013C8"/>
    <w:rsid w:val="00303877"/>
    <w:rsid w:val="00304186"/>
    <w:rsid w:val="0030452C"/>
    <w:rsid w:val="003047E9"/>
    <w:rsid w:val="003051B4"/>
    <w:rsid w:val="00305383"/>
    <w:rsid w:val="003061B4"/>
    <w:rsid w:val="00306BBD"/>
    <w:rsid w:val="00306BE7"/>
    <w:rsid w:val="003075D6"/>
    <w:rsid w:val="00310CFC"/>
    <w:rsid w:val="003111F3"/>
    <w:rsid w:val="0031253F"/>
    <w:rsid w:val="0031344B"/>
    <w:rsid w:val="0031458A"/>
    <w:rsid w:val="00314A85"/>
    <w:rsid w:val="0031522B"/>
    <w:rsid w:val="00316309"/>
    <w:rsid w:val="00317198"/>
    <w:rsid w:val="003175EA"/>
    <w:rsid w:val="003211DE"/>
    <w:rsid w:val="00321538"/>
    <w:rsid w:val="00322252"/>
    <w:rsid w:val="00322465"/>
    <w:rsid w:val="00322691"/>
    <w:rsid w:val="003227B2"/>
    <w:rsid w:val="00323203"/>
    <w:rsid w:val="00324AA7"/>
    <w:rsid w:val="00324F35"/>
    <w:rsid w:val="00326791"/>
    <w:rsid w:val="00326EA3"/>
    <w:rsid w:val="00327B27"/>
    <w:rsid w:val="00330262"/>
    <w:rsid w:val="00331AEC"/>
    <w:rsid w:val="00331D0C"/>
    <w:rsid w:val="00332FED"/>
    <w:rsid w:val="003333CF"/>
    <w:rsid w:val="00333788"/>
    <w:rsid w:val="0033381B"/>
    <w:rsid w:val="00333AFB"/>
    <w:rsid w:val="00334E9E"/>
    <w:rsid w:val="00335DE9"/>
    <w:rsid w:val="00340B65"/>
    <w:rsid w:val="003419BC"/>
    <w:rsid w:val="003466A5"/>
    <w:rsid w:val="00347292"/>
    <w:rsid w:val="0035076F"/>
    <w:rsid w:val="00351EFD"/>
    <w:rsid w:val="003523F0"/>
    <w:rsid w:val="00352CCD"/>
    <w:rsid w:val="00353580"/>
    <w:rsid w:val="00355513"/>
    <w:rsid w:val="003569DF"/>
    <w:rsid w:val="0035790D"/>
    <w:rsid w:val="00357C34"/>
    <w:rsid w:val="00361256"/>
    <w:rsid w:val="00363267"/>
    <w:rsid w:val="003634D4"/>
    <w:rsid w:val="003645FC"/>
    <w:rsid w:val="00365343"/>
    <w:rsid w:val="00366DA9"/>
    <w:rsid w:val="00367C5C"/>
    <w:rsid w:val="00370D52"/>
    <w:rsid w:val="00371BCF"/>
    <w:rsid w:val="00375E1A"/>
    <w:rsid w:val="00380A57"/>
    <w:rsid w:val="003810E9"/>
    <w:rsid w:val="00383F7E"/>
    <w:rsid w:val="00386AD0"/>
    <w:rsid w:val="00391FDA"/>
    <w:rsid w:val="0039397A"/>
    <w:rsid w:val="00394E49"/>
    <w:rsid w:val="00396805"/>
    <w:rsid w:val="00396C86"/>
    <w:rsid w:val="00396D08"/>
    <w:rsid w:val="00396DE3"/>
    <w:rsid w:val="003A0B7F"/>
    <w:rsid w:val="003A18C4"/>
    <w:rsid w:val="003A19AE"/>
    <w:rsid w:val="003A3070"/>
    <w:rsid w:val="003A3686"/>
    <w:rsid w:val="003A3759"/>
    <w:rsid w:val="003A5379"/>
    <w:rsid w:val="003B04A1"/>
    <w:rsid w:val="003B3EA6"/>
    <w:rsid w:val="003B51FC"/>
    <w:rsid w:val="003B62DA"/>
    <w:rsid w:val="003B680B"/>
    <w:rsid w:val="003C0602"/>
    <w:rsid w:val="003C0FD4"/>
    <w:rsid w:val="003C1244"/>
    <w:rsid w:val="003C175E"/>
    <w:rsid w:val="003C189C"/>
    <w:rsid w:val="003C2491"/>
    <w:rsid w:val="003C3278"/>
    <w:rsid w:val="003C55A7"/>
    <w:rsid w:val="003C6730"/>
    <w:rsid w:val="003C7550"/>
    <w:rsid w:val="003C7ECF"/>
    <w:rsid w:val="003D10D0"/>
    <w:rsid w:val="003D3356"/>
    <w:rsid w:val="003D46BC"/>
    <w:rsid w:val="003D4CA9"/>
    <w:rsid w:val="003D6AAA"/>
    <w:rsid w:val="003E02EF"/>
    <w:rsid w:val="003E28E1"/>
    <w:rsid w:val="003E35D6"/>
    <w:rsid w:val="003E44D0"/>
    <w:rsid w:val="003E5814"/>
    <w:rsid w:val="003E7946"/>
    <w:rsid w:val="003F0B2B"/>
    <w:rsid w:val="003F25D4"/>
    <w:rsid w:val="003F329F"/>
    <w:rsid w:val="003F3DDD"/>
    <w:rsid w:val="003F4675"/>
    <w:rsid w:val="003F553A"/>
    <w:rsid w:val="003F6784"/>
    <w:rsid w:val="003F701D"/>
    <w:rsid w:val="00402940"/>
    <w:rsid w:val="004039CB"/>
    <w:rsid w:val="0040480F"/>
    <w:rsid w:val="0040513E"/>
    <w:rsid w:val="00405A96"/>
    <w:rsid w:val="00405F13"/>
    <w:rsid w:val="004114B1"/>
    <w:rsid w:val="00411AFF"/>
    <w:rsid w:val="00411EAF"/>
    <w:rsid w:val="00412751"/>
    <w:rsid w:val="00412ABA"/>
    <w:rsid w:val="00412BE3"/>
    <w:rsid w:val="004132C9"/>
    <w:rsid w:val="004140ED"/>
    <w:rsid w:val="004148D7"/>
    <w:rsid w:val="004175BD"/>
    <w:rsid w:val="004221DF"/>
    <w:rsid w:val="004226B2"/>
    <w:rsid w:val="00422A5F"/>
    <w:rsid w:val="00423C9A"/>
    <w:rsid w:val="00424626"/>
    <w:rsid w:val="004256CB"/>
    <w:rsid w:val="00425B35"/>
    <w:rsid w:val="00425C5A"/>
    <w:rsid w:val="00426821"/>
    <w:rsid w:val="004276E1"/>
    <w:rsid w:val="00427C42"/>
    <w:rsid w:val="00431342"/>
    <w:rsid w:val="00432B74"/>
    <w:rsid w:val="00432D91"/>
    <w:rsid w:val="004330AE"/>
    <w:rsid w:val="00434193"/>
    <w:rsid w:val="00435019"/>
    <w:rsid w:val="004365D5"/>
    <w:rsid w:val="00436DC7"/>
    <w:rsid w:val="00437A56"/>
    <w:rsid w:val="00437EB9"/>
    <w:rsid w:val="00437F84"/>
    <w:rsid w:val="00440086"/>
    <w:rsid w:val="004403B8"/>
    <w:rsid w:val="004408EE"/>
    <w:rsid w:val="004409B2"/>
    <w:rsid w:val="00442409"/>
    <w:rsid w:val="00442C6B"/>
    <w:rsid w:val="0044300D"/>
    <w:rsid w:val="004432DC"/>
    <w:rsid w:val="00443919"/>
    <w:rsid w:val="00443A7D"/>
    <w:rsid w:val="00443F3A"/>
    <w:rsid w:val="00444AF8"/>
    <w:rsid w:val="00444E6E"/>
    <w:rsid w:val="004454BD"/>
    <w:rsid w:val="00445F9E"/>
    <w:rsid w:val="00446DED"/>
    <w:rsid w:val="00450216"/>
    <w:rsid w:val="00450BBC"/>
    <w:rsid w:val="00453C8B"/>
    <w:rsid w:val="00454122"/>
    <w:rsid w:val="004544E1"/>
    <w:rsid w:val="00454682"/>
    <w:rsid w:val="00456459"/>
    <w:rsid w:val="00456F8B"/>
    <w:rsid w:val="00457B47"/>
    <w:rsid w:val="004608A2"/>
    <w:rsid w:val="00464920"/>
    <w:rsid w:val="00466593"/>
    <w:rsid w:val="00470886"/>
    <w:rsid w:val="00470FA5"/>
    <w:rsid w:val="00471781"/>
    <w:rsid w:val="00473F3F"/>
    <w:rsid w:val="00477A55"/>
    <w:rsid w:val="00480150"/>
    <w:rsid w:val="00480DDB"/>
    <w:rsid w:val="0048329C"/>
    <w:rsid w:val="004836A4"/>
    <w:rsid w:val="004836CC"/>
    <w:rsid w:val="004837C0"/>
    <w:rsid w:val="00483E9A"/>
    <w:rsid w:val="00484AFD"/>
    <w:rsid w:val="00487A7E"/>
    <w:rsid w:val="004902C1"/>
    <w:rsid w:val="0049090D"/>
    <w:rsid w:val="00490E16"/>
    <w:rsid w:val="00496314"/>
    <w:rsid w:val="00497860"/>
    <w:rsid w:val="004A0A3A"/>
    <w:rsid w:val="004A0BB5"/>
    <w:rsid w:val="004A3692"/>
    <w:rsid w:val="004A3F7D"/>
    <w:rsid w:val="004A5490"/>
    <w:rsid w:val="004A6697"/>
    <w:rsid w:val="004B0565"/>
    <w:rsid w:val="004B1250"/>
    <w:rsid w:val="004B3E67"/>
    <w:rsid w:val="004B3EC8"/>
    <w:rsid w:val="004B5294"/>
    <w:rsid w:val="004B5E17"/>
    <w:rsid w:val="004B7EDA"/>
    <w:rsid w:val="004C11B4"/>
    <w:rsid w:val="004C20B7"/>
    <w:rsid w:val="004C21BC"/>
    <w:rsid w:val="004C2FB2"/>
    <w:rsid w:val="004C3552"/>
    <w:rsid w:val="004C4189"/>
    <w:rsid w:val="004C5A0E"/>
    <w:rsid w:val="004C6737"/>
    <w:rsid w:val="004C6EB9"/>
    <w:rsid w:val="004D17C8"/>
    <w:rsid w:val="004D38B0"/>
    <w:rsid w:val="004D59AF"/>
    <w:rsid w:val="004E03B1"/>
    <w:rsid w:val="004E2D04"/>
    <w:rsid w:val="004E48CC"/>
    <w:rsid w:val="004E63B0"/>
    <w:rsid w:val="004E7974"/>
    <w:rsid w:val="004F02E7"/>
    <w:rsid w:val="004F031E"/>
    <w:rsid w:val="004F1358"/>
    <w:rsid w:val="004F20EC"/>
    <w:rsid w:val="004F2E55"/>
    <w:rsid w:val="004F51F5"/>
    <w:rsid w:val="004F568C"/>
    <w:rsid w:val="00501388"/>
    <w:rsid w:val="0050232C"/>
    <w:rsid w:val="00502AC0"/>
    <w:rsid w:val="00504CA6"/>
    <w:rsid w:val="00504FD5"/>
    <w:rsid w:val="0051061C"/>
    <w:rsid w:val="00510B20"/>
    <w:rsid w:val="0051146E"/>
    <w:rsid w:val="00512D62"/>
    <w:rsid w:val="005133B2"/>
    <w:rsid w:val="005154D4"/>
    <w:rsid w:val="0051583A"/>
    <w:rsid w:val="00516C4F"/>
    <w:rsid w:val="00521BB6"/>
    <w:rsid w:val="00522ECA"/>
    <w:rsid w:val="00523ED1"/>
    <w:rsid w:val="00524AE4"/>
    <w:rsid w:val="00527164"/>
    <w:rsid w:val="00527900"/>
    <w:rsid w:val="005300A1"/>
    <w:rsid w:val="005304EC"/>
    <w:rsid w:val="0053236B"/>
    <w:rsid w:val="005328D6"/>
    <w:rsid w:val="00533EF3"/>
    <w:rsid w:val="00534E4C"/>
    <w:rsid w:val="0053718B"/>
    <w:rsid w:val="00537D24"/>
    <w:rsid w:val="00540E43"/>
    <w:rsid w:val="00540F31"/>
    <w:rsid w:val="00544D9F"/>
    <w:rsid w:val="005520E5"/>
    <w:rsid w:val="00553DF1"/>
    <w:rsid w:val="0055509E"/>
    <w:rsid w:val="0055550E"/>
    <w:rsid w:val="00555C74"/>
    <w:rsid w:val="00556178"/>
    <w:rsid w:val="00556C10"/>
    <w:rsid w:val="00557348"/>
    <w:rsid w:val="0055788B"/>
    <w:rsid w:val="0056132E"/>
    <w:rsid w:val="00565271"/>
    <w:rsid w:val="00565A81"/>
    <w:rsid w:val="00567FF9"/>
    <w:rsid w:val="00571FA0"/>
    <w:rsid w:val="005729B5"/>
    <w:rsid w:val="0057334E"/>
    <w:rsid w:val="00573D17"/>
    <w:rsid w:val="00574466"/>
    <w:rsid w:val="005771D1"/>
    <w:rsid w:val="005803DB"/>
    <w:rsid w:val="00580575"/>
    <w:rsid w:val="0058476E"/>
    <w:rsid w:val="00585B1B"/>
    <w:rsid w:val="00587B9A"/>
    <w:rsid w:val="00587E8D"/>
    <w:rsid w:val="00590210"/>
    <w:rsid w:val="00590A95"/>
    <w:rsid w:val="0059327F"/>
    <w:rsid w:val="005932B4"/>
    <w:rsid w:val="005932D7"/>
    <w:rsid w:val="00593EE5"/>
    <w:rsid w:val="0059411B"/>
    <w:rsid w:val="005967FA"/>
    <w:rsid w:val="0059698E"/>
    <w:rsid w:val="00596B4D"/>
    <w:rsid w:val="00596C7E"/>
    <w:rsid w:val="005A13D3"/>
    <w:rsid w:val="005A1E9B"/>
    <w:rsid w:val="005A2CB1"/>
    <w:rsid w:val="005A2D62"/>
    <w:rsid w:val="005A39AF"/>
    <w:rsid w:val="005A6CAE"/>
    <w:rsid w:val="005A738D"/>
    <w:rsid w:val="005A7DFA"/>
    <w:rsid w:val="005B1012"/>
    <w:rsid w:val="005B180B"/>
    <w:rsid w:val="005B1F4E"/>
    <w:rsid w:val="005B27CA"/>
    <w:rsid w:val="005B64E3"/>
    <w:rsid w:val="005B77A8"/>
    <w:rsid w:val="005C06C6"/>
    <w:rsid w:val="005C2E15"/>
    <w:rsid w:val="005C3489"/>
    <w:rsid w:val="005C3B9C"/>
    <w:rsid w:val="005C3DC2"/>
    <w:rsid w:val="005C4477"/>
    <w:rsid w:val="005C4B07"/>
    <w:rsid w:val="005C588A"/>
    <w:rsid w:val="005C626E"/>
    <w:rsid w:val="005C68B6"/>
    <w:rsid w:val="005C7411"/>
    <w:rsid w:val="005C7979"/>
    <w:rsid w:val="005D1093"/>
    <w:rsid w:val="005D1981"/>
    <w:rsid w:val="005D1A2A"/>
    <w:rsid w:val="005D201E"/>
    <w:rsid w:val="005D21B0"/>
    <w:rsid w:val="005D4015"/>
    <w:rsid w:val="005D42FD"/>
    <w:rsid w:val="005D4BFD"/>
    <w:rsid w:val="005D5BB6"/>
    <w:rsid w:val="005D77AF"/>
    <w:rsid w:val="005E0BB5"/>
    <w:rsid w:val="005E13DA"/>
    <w:rsid w:val="005E1635"/>
    <w:rsid w:val="005E17B9"/>
    <w:rsid w:val="005E1818"/>
    <w:rsid w:val="005E279A"/>
    <w:rsid w:val="005E31EC"/>
    <w:rsid w:val="005E591A"/>
    <w:rsid w:val="005E5DA9"/>
    <w:rsid w:val="005F02D8"/>
    <w:rsid w:val="005F0B67"/>
    <w:rsid w:val="005F2125"/>
    <w:rsid w:val="005F4C43"/>
    <w:rsid w:val="005F4EDB"/>
    <w:rsid w:val="005F551F"/>
    <w:rsid w:val="005F5588"/>
    <w:rsid w:val="005F58C4"/>
    <w:rsid w:val="005F5DEA"/>
    <w:rsid w:val="005F5FFA"/>
    <w:rsid w:val="005F64AB"/>
    <w:rsid w:val="005F69C3"/>
    <w:rsid w:val="00602DBA"/>
    <w:rsid w:val="006034C1"/>
    <w:rsid w:val="00603EB5"/>
    <w:rsid w:val="00604073"/>
    <w:rsid w:val="0060443C"/>
    <w:rsid w:val="006051A5"/>
    <w:rsid w:val="00606ADF"/>
    <w:rsid w:val="00606FBF"/>
    <w:rsid w:val="00607C56"/>
    <w:rsid w:val="00607F79"/>
    <w:rsid w:val="006131B6"/>
    <w:rsid w:val="00615647"/>
    <w:rsid w:val="0061657A"/>
    <w:rsid w:val="006170D4"/>
    <w:rsid w:val="00617424"/>
    <w:rsid w:val="00620555"/>
    <w:rsid w:val="00620DC3"/>
    <w:rsid w:val="00621189"/>
    <w:rsid w:val="00624A21"/>
    <w:rsid w:val="006251D1"/>
    <w:rsid w:val="00625CF6"/>
    <w:rsid w:val="00627F7C"/>
    <w:rsid w:val="006335CF"/>
    <w:rsid w:val="00634C3A"/>
    <w:rsid w:val="00634F73"/>
    <w:rsid w:val="0063600C"/>
    <w:rsid w:val="006363CB"/>
    <w:rsid w:val="0063698E"/>
    <w:rsid w:val="00636B81"/>
    <w:rsid w:val="00636F38"/>
    <w:rsid w:val="0063772D"/>
    <w:rsid w:val="006421C7"/>
    <w:rsid w:val="00644ABE"/>
    <w:rsid w:val="00646ED6"/>
    <w:rsid w:val="006502D1"/>
    <w:rsid w:val="00651187"/>
    <w:rsid w:val="00651575"/>
    <w:rsid w:val="00651636"/>
    <w:rsid w:val="00651F21"/>
    <w:rsid w:val="00653C7F"/>
    <w:rsid w:val="00654525"/>
    <w:rsid w:val="00654A22"/>
    <w:rsid w:val="0065532F"/>
    <w:rsid w:val="0065762F"/>
    <w:rsid w:val="00657690"/>
    <w:rsid w:val="00660B98"/>
    <w:rsid w:val="00660ED5"/>
    <w:rsid w:val="0066178B"/>
    <w:rsid w:val="006629CF"/>
    <w:rsid w:val="00662A40"/>
    <w:rsid w:val="0066352D"/>
    <w:rsid w:val="006703FF"/>
    <w:rsid w:val="006711ED"/>
    <w:rsid w:val="006715A5"/>
    <w:rsid w:val="00672D45"/>
    <w:rsid w:val="00674044"/>
    <w:rsid w:val="006764F6"/>
    <w:rsid w:val="00677815"/>
    <w:rsid w:val="00680666"/>
    <w:rsid w:val="00680924"/>
    <w:rsid w:val="0068165F"/>
    <w:rsid w:val="00682F63"/>
    <w:rsid w:val="00683F9D"/>
    <w:rsid w:val="00684C86"/>
    <w:rsid w:val="0068557A"/>
    <w:rsid w:val="00685C07"/>
    <w:rsid w:val="00685F49"/>
    <w:rsid w:val="0068736D"/>
    <w:rsid w:val="00690996"/>
    <w:rsid w:val="00691FE1"/>
    <w:rsid w:val="00692319"/>
    <w:rsid w:val="006930D5"/>
    <w:rsid w:val="00693F7C"/>
    <w:rsid w:val="006967E3"/>
    <w:rsid w:val="00697C73"/>
    <w:rsid w:val="00697FE8"/>
    <w:rsid w:val="006A0F7E"/>
    <w:rsid w:val="006A1582"/>
    <w:rsid w:val="006A427A"/>
    <w:rsid w:val="006A5240"/>
    <w:rsid w:val="006A52D8"/>
    <w:rsid w:val="006A6B0A"/>
    <w:rsid w:val="006A708B"/>
    <w:rsid w:val="006A7554"/>
    <w:rsid w:val="006B0A41"/>
    <w:rsid w:val="006B21F0"/>
    <w:rsid w:val="006B2336"/>
    <w:rsid w:val="006B45B3"/>
    <w:rsid w:val="006B5461"/>
    <w:rsid w:val="006B5581"/>
    <w:rsid w:val="006B60F6"/>
    <w:rsid w:val="006B68E8"/>
    <w:rsid w:val="006B7028"/>
    <w:rsid w:val="006B718E"/>
    <w:rsid w:val="006C075D"/>
    <w:rsid w:val="006C2790"/>
    <w:rsid w:val="006C2D8A"/>
    <w:rsid w:val="006C2F28"/>
    <w:rsid w:val="006C4025"/>
    <w:rsid w:val="006C5135"/>
    <w:rsid w:val="006C5B12"/>
    <w:rsid w:val="006C6336"/>
    <w:rsid w:val="006C7622"/>
    <w:rsid w:val="006D0E2B"/>
    <w:rsid w:val="006D193E"/>
    <w:rsid w:val="006D1FF0"/>
    <w:rsid w:val="006D3476"/>
    <w:rsid w:val="006D3B19"/>
    <w:rsid w:val="006D5AB6"/>
    <w:rsid w:val="006D6386"/>
    <w:rsid w:val="006D6AC9"/>
    <w:rsid w:val="006D7CFB"/>
    <w:rsid w:val="006E0DF4"/>
    <w:rsid w:val="006E729B"/>
    <w:rsid w:val="006F255D"/>
    <w:rsid w:val="006F2E5A"/>
    <w:rsid w:val="006F327F"/>
    <w:rsid w:val="00700043"/>
    <w:rsid w:val="007012D7"/>
    <w:rsid w:val="00703336"/>
    <w:rsid w:val="00703C1E"/>
    <w:rsid w:val="0070445C"/>
    <w:rsid w:val="007058A9"/>
    <w:rsid w:val="007059F5"/>
    <w:rsid w:val="0070616F"/>
    <w:rsid w:val="0070657E"/>
    <w:rsid w:val="00707A6A"/>
    <w:rsid w:val="007101D8"/>
    <w:rsid w:val="00711B2A"/>
    <w:rsid w:val="00713327"/>
    <w:rsid w:val="0071371F"/>
    <w:rsid w:val="0071448D"/>
    <w:rsid w:val="007147C9"/>
    <w:rsid w:val="00714900"/>
    <w:rsid w:val="00716C01"/>
    <w:rsid w:val="007173B4"/>
    <w:rsid w:val="00717409"/>
    <w:rsid w:val="00717626"/>
    <w:rsid w:val="00717803"/>
    <w:rsid w:val="007208F1"/>
    <w:rsid w:val="00723352"/>
    <w:rsid w:val="00724232"/>
    <w:rsid w:val="00724567"/>
    <w:rsid w:val="0072569D"/>
    <w:rsid w:val="00725F56"/>
    <w:rsid w:val="00727364"/>
    <w:rsid w:val="007276F6"/>
    <w:rsid w:val="00733455"/>
    <w:rsid w:val="007341B4"/>
    <w:rsid w:val="00736613"/>
    <w:rsid w:val="00737207"/>
    <w:rsid w:val="00737227"/>
    <w:rsid w:val="007377E3"/>
    <w:rsid w:val="00737AB3"/>
    <w:rsid w:val="00747BDC"/>
    <w:rsid w:val="007516A3"/>
    <w:rsid w:val="00751821"/>
    <w:rsid w:val="007526EA"/>
    <w:rsid w:val="007527D4"/>
    <w:rsid w:val="00752A22"/>
    <w:rsid w:val="007536E4"/>
    <w:rsid w:val="00754B28"/>
    <w:rsid w:val="00755FB6"/>
    <w:rsid w:val="00756CA8"/>
    <w:rsid w:val="007607EF"/>
    <w:rsid w:val="0076121C"/>
    <w:rsid w:val="0076157A"/>
    <w:rsid w:val="007621A1"/>
    <w:rsid w:val="007624F2"/>
    <w:rsid w:val="00763632"/>
    <w:rsid w:val="00764983"/>
    <w:rsid w:val="00765645"/>
    <w:rsid w:val="00765CAF"/>
    <w:rsid w:val="00765DA6"/>
    <w:rsid w:val="00767A56"/>
    <w:rsid w:val="007739BE"/>
    <w:rsid w:val="00775398"/>
    <w:rsid w:val="00776603"/>
    <w:rsid w:val="00780225"/>
    <w:rsid w:val="00780CD8"/>
    <w:rsid w:val="007811FD"/>
    <w:rsid w:val="00783815"/>
    <w:rsid w:val="007858A5"/>
    <w:rsid w:val="00786065"/>
    <w:rsid w:val="007917CA"/>
    <w:rsid w:val="00792848"/>
    <w:rsid w:val="00792CEC"/>
    <w:rsid w:val="00793F22"/>
    <w:rsid w:val="00795250"/>
    <w:rsid w:val="0079543B"/>
    <w:rsid w:val="007961E4"/>
    <w:rsid w:val="007A04A6"/>
    <w:rsid w:val="007A0FA8"/>
    <w:rsid w:val="007A165D"/>
    <w:rsid w:val="007A1CE8"/>
    <w:rsid w:val="007A20CC"/>
    <w:rsid w:val="007A2763"/>
    <w:rsid w:val="007A575E"/>
    <w:rsid w:val="007A67E3"/>
    <w:rsid w:val="007A6878"/>
    <w:rsid w:val="007A6BEB"/>
    <w:rsid w:val="007A6C04"/>
    <w:rsid w:val="007B156F"/>
    <w:rsid w:val="007B1A32"/>
    <w:rsid w:val="007B34F6"/>
    <w:rsid w:val="007B486D"/>
    <w:rsid w:val="007B54A9"/>
    <w:rsid w:val="007B5A0C"/>
    <w:rsid w:val="007B5CF2"/>
    <w:rsid w:val="007C0451"/>
    <w:rsid w:val="007C04EC"/>
    <w:rsid w:val="007C0CCD"/>
    <w:rsid w:val="007C2532"/>
    <w:rsid w:val="007C274F"/>
    <w:rsid w:val="007C2E22"/>
    <w:rsid w:val="007C34DA"/>
    <w:rsid w:val="007C5740"/>
    <w:rsid w:val="007C62D9"/>
    <w:rsid w:val="007C7429"/>
    <w:rsid w:val="007C77A1"/>
    <w:rsid w:val="007D1534"/>
    <w:rsid w:val="007D193A"/>
    <w:rsid w:val="007D25F9"/>
    <w:rsid w:val="007D5B50"/>
    <w:rsid w:val="007E0ACA"/>
    <w:rsid w:val="007E1987"/>
    <w:rsid w:val="007E2BC7"/>
    <w:rsid w:val="007E30B5"/>
    <w:rsid w:val="007E397F"/>
    <w:rsid w:val="007E440D"/>
    <w:rsid w:val="007E47CE"/>
    <w:rsid w:val="007E5241"/>
    <w:rsid w:val="007E61A6"/>
    <w:rsid w:val="007E7C57"/>
    <w:rsid w:val="007F07F3"/>
    <w:rsid w:val="007F15FC"/>
    <w:rsid w:val="007F1A1D"/>
    <w:rsid w:val="007F5E74"/>
    <w:rsid w:val="007F7382"/>
    <w:rsid w:val="007F772F"/>
    <w:rsid w:val="007F7825"/>
    <w:rsid w:val="007F7C29"/>
    <w:rsid w:val="0080042D"/>
    <w:rsid w:val="00800ADB"/>
    <w:rsid w:val="008014A9"/>
    <w:rsid w:val="00801DFB"/>
    <w:rsid w:val="008029A6"/>
    <w:rsid w:val="008034BE"/>
    <w:rsid w:val="00804661"/>
    <w:rsid w:val="008054FF"/>
    <w:rsid w:val="008061CB"/>
    <w:rsid w:val="00807280"/>
    <w:rsid w:val="00807C7C"/>
    <w:rsid w:val="00807E7E"/>
    <w:rsid w:val="0081294C"/>
    <w:rsid w:val="008163C3"/>
    <w:rsid w:val="00817181"/>
    <w:rsid w:val="008212F2"/>
    <w:rsid w:val="008221E7"/>
    <w:rsid w:val="00827373"/>
    <w:rsid w:val="00827BA4"/>
    <w:rsid w:val="00827C10"/>
    <w:rsid w:val="0083196E"/>
    <w:rsid w:val="0083202D"/>
    <w:rsid w:val="00833D01"/>
    <w:rsid w:val="00840BBE"/>
    <w:rsid w:val="00841986"/>
    <w:rsid w:val="00843BD4"/>
    <w:rsid w:val="00843ECE"/>
    <w:rsid w:val="00844288"/>
    <w:rsid w:val="008453B3"/>
    <w:rsid w:val="00845D22"/>
    <w:rsid w:val="008466BA"/>
    <w:rsid w:val="00846AAA"/>
    <w:rsid w:val="008507CA"/>
    <w:rsid w:val="00851854"/>
    <w:rsid w:val="00851914"/>
    <w:rsid w:val="00852F02"/>
    <w:rsid w:val="00854D85"/>
    <w:rsid w:val="00857B26"/>
    <w:rsid w:val="00857CB5"/>
    <w:rsid w:val="0086230C"/>
    <w:rsid w:val="0086238E"/>
    <w:rsid w:val="00863111"/>
    <w:rsid w:val="00865B80"/>
    <w:rsid w:val="00866A7C"/>
    <w:rsid w:val="008673F1"/>
    <w:rsid w:val="00870993"/>
    <w:rsid w:val="008730A6"/>
    <w:rsid w:val="0087437D"/>
    <w:rsid w:val="008765A3"/>
    <w:rsid w:val="008769EF"/>
    <w:rsid w:val="00876C00"/>
    <w:rsid w:val="00880312"/>
    <w:rsid w:val="00880720"/>
    <w:rsid w:val="00881284"/>
    <w:rsid w:val="0088134F"/>
    <w:rsid w:val="00882F35"/>
    <w:rsid w:val="00883222"/>
    <w:rsid w:val="00883B9F"/>
    <w:rsid w:val="008858B5"/>
    <w:rsid w:val="00885EEB"/>
    <w:rsid w:val="0088703D"/>
    <w:rsid w:val="00890496"/>
    <w:rsid w:val="008912AF"/>
    <w:rsid w:val="008956C4"/>
    <w:rsid w:val="008976B5"/>
    <w:rsid w:val="008A0623"/>
    <w:rsid w:val="008A1096"/>
    <w:rsid w:val="008A1575"/>
    <w:rsid w:val="008A2B49"/>
    <w:rsid w:val="008A3534"/>
    <w:rsid w:val="008A43DC"/>
    <w:rsid w:val="008A4752"/>
    <w:rsid w:val="008A4ACC"/>
    <w:rsid w:val="008A4CCC"/>
    <w:rsid w:val="008A78BB"/>
    <w:rsid w:val="008A7C7B"/>
    <w:rsid w:val="008A7E0B"/>
    <w:rsid w:val="008B17A9"/>
    <w:rsid w:val="008B1D61"/>
    <w:rsid w:val="008B3347"/>
    <w:rsid w:val="008B36DD"/>
    <w:rsid w:val="008B3877"/>
    <w:rsid w:val="008B5244"/>
    <w:rsid w:val="008B5915"/>
    <w:rsid w:val="008B7D4C"/>
    <w:rsid w:val="008C39E8"/>
    <w:rsid w:val="008C4B59"/>
    <w:rsid w:val="008C59AD"/>
    <w:rsid w:val="008C6155"/>
    <w:rsid w:val="008C6938"/>
    <w:rsid w:val="008C7A97"/>
    <w:rsid w:val="008D1173"/>
    <w:rsid w:val="008D19CD"/>
    <w:rsid w:val="008D1C31"/>
    <w:rsid w:val="008D235D"/>
    <w:rsid w:val="008D328B"/>
    <w:rsid w:val="008D3704"/>
    <w:rsid w:val="008D3D56"/>
    <w:rsid w:val="008D3F6F"/>
    <w:rsid w:val="008D4010"/>
    <w:rsid w:val="008D58E5"/>
    <w:rsid w:val="008D6BC6"/>
    <w:rsid w:val="008D7E71"/>
    <w:rsid w:val="008E5742"/>
    <w:rsid w:val="008E6400"/>
    <w:rsid w:val="008E79DE"/>
    <w:rsid w:val="008F06FE"/>
    <w:rsid w:val="008F32BC"/>
    <w:rsid w:val="008F5F30"/>
    <w:rsid w:val="008F67EB"/>
    <w:rsid w:val="008F6E99"/>
    <w:rsid w:val="008F720F"/>
    <w:rsid w:val="0090196D"/>
    <w:rsid w:val="00901A0E"/>
    <w:rsid w:val="00901B6A"/>
    <w:rsid w:val="00905E88"/>
    <w:rsid w:val="009065E0"/>
    <w:rsid w:val="00907B3E"/>
    <w:rsid w:val="009100C2"/>
    <w:rsid w:val="00910C15"/>
    <w:rsid w:val="00911C0F"/>
    <w:rsid w:val="009139E7"/>
    <w:rsid w:val="00913A0E"/>
    <w:rsid w:val="009144D0"/>
    <w:rsid w:val="00915296"/>
    <w:rsid w:val="0091681B"/>
    <w:rsid w:val="00916919"/>
    <w:rsid w:val="00920840"/>
    <w:rsid w:val="00922561"/>
    <w:rsid w:val="00922EAC"/>
    <w:rsid w:val="00923B2F"/>
    <w:rsid w:val="009243A3"/>
    <w:rsid w:val="00931081"/>
    <w:rsid w:val="00931B3E"/>
    <w:rsid w:val="00932B6B"/>
    <w:rsid w:val="00932D57"/>
    <w:rsid w:val="00933669"/>
    <w:rsid w:val="009351D8"/>
    <w:rsid w:val="0093544A"/>
    <w:rsid w:val="00936289"/>
    <w:rsid w:val="009362C5"/>
    <w:rsid w:val="00936AF8"/>
    <w:rsid w:val="00936C7A"/>
    <w:rsid w:val="009444BC"/>
    <w:rsid w:val="00945C41"/>
    <w:rsid w:val="00947014"/>
    <w:rsid w:val="009507F7"/>
    <w:rsid w:val="009535E7"/>
    <w:rsid w:val="00954F73"/>
    <w:rsid w:val="009576F8"/>
    <w:rsid w:val="00957D0D"/>
    <w:rsid w:val="009615DB"/>
    <w:rsid w:val="009615EA"/>
    <w:rsid w:val="0096283F"/>
    <w:rsid w:val="00962D51"/>
    <w:rsid w:val="009633C8"/>
    <w:rsid w:val="00970503"/>
    <w:rsid w:val="0097176F"/>
    <w:rsid w:val="00974448"/>
    <w:rsid w:val="00975C55"/>
    <w:rsid w:val="00977189"/>
    <w:rsid w:val="0097753C"/>
    <w:rsid w:val="00980760"/>
    <w:rsid w:val="00980E1D"/>
    <w:rsid w:val="009822FF"/>
    <w:rsid w:val="00982EA3"/>
    <w:rsid w:val="009831E8"/>
    <w:rsid w:val="00984C48"/>
    <w:rsid w:val="00985D97"/>
    <w:rsid w:val="00985DA7"/>
    <w:rsid w:val="00985F36"/>
    <w:rsid w:val="00990307"/>
    <w:rsid w:val="0099084D"/>
    <w:rsid w:val="0099397D"/>
    <w:rsid w:val="00993B03"/>
    <w:rsid w:val="00995957"/>
    <w:rsid w:val="00995FAB"/>
    <w:rsid w:val="00996720"/>
    <w:rsid w:val="00997738"/>
    <w:rsid w:val="009A05B8"/>
    <w:rsid w:val="009A0B68"/>
    <w:rsid w:val="009A0CF5"/>
    <w:rsid w:val="009A365C"/>
    <w:rsid w:val="009A4325"/>
    <w:rsid w:val="009A4CA0"/>
    <w:rsid w:val="009A6131"/>
    <w:rsid w:val="009B1CC5"/>
    <w:rsid w:val="009B2311"/>
    <w:rsid w:val="009B259C"/>
    <w:rsid w:val="009B3FBE"/>
    <w:rsid w:val="009B402C"/>
    <w:rsid w:val="009B48E9"/>
    <w:rsid w:val="009B4FD5"/>
    <w:rsid w:val="009B5BB9"/>
    <w:rsid w:val="009B64C6"/>
    <w:rsid w:val="009B7D5D"/>
    <w:rsid w:val="009C024A"/>
    <w:rsid w:val="009C0D3E"/>
    <w:rsid w:val="009C1E55"/>
    <w:rsid w:val="009C3607"/>
    <w:rsid w:val="009C53D2"/>
    <w:rsid w:val="009C5A46"/>
    <w:rsid w:val="009D0D7E"/>
    <w:rsid w:val="009D1179"/>
    <w:rsid w:val="009D240A"/>
    <w:rsid w:val="009D2E5E"/>
    <w:rsid w:val="009D5BCF"/>
    <w:rsid w:val="009D7EC3"/>
    <w:rsid w:val="009E069D"/>
    <w:rsid w:val="009E0B71"/>
    <w:rsid w:val="009E2D98"/>
    <w:rsid w:val="009E4214"/>
    <w:rsid w:val="009E7090"/>
    <w:rsid w:val="009E7199"/>
    <w:rsid w:val="009E71BB"/>
    <w:rsid w:val="009E727F"/>
    <w:rsid w:val="009E7A8E"/>
    <w:rsid w:val="009F07AC"/>
    <w:rsid w:val="009F0A0E"/>
    <w:rsid w:val="009F0D22"/>
    <w:rsid w:val="009F214E"/>
    <w:rsid w:val="009F28FC"/>
    <w:rsid w:val="009F2D31"/>
    <w:rsid w:val="009F4326"/>
    <w:rsid w:val="009F6F13"/>
    <w:rsid w:val="009F7522"/>
    <w:rsid w:val="009F76CC"/>
    <w:rsid w:val="009F7DA4"/>
    <w:rsid w:val="00A0131A"/>
    <w:rsid w:val="00A04688"/>
    <w:rsid w:val="00A0472A"/>
    <w:rsid w:val="00A05826"/>
    <w:rsid w:val="00A06EF7"/>
    <w:rsid w:val="00A10286"/>
    <w:rsid w:val="00A10311"/>
    <w:rsid w:val="00A10AE6"/>
    <w:rsid w:val="00A10CAB"/>
    <w:rsid w:val="00A13031"/>
    <w:rsid w:val="00A13BC1"/>
    <w:rsid w:val="00A17A06"/>
    <w:rsid w:val="00A211E6"/>
    <w:rsid w:val="00A21395"/>
    <w:rsid w:val="00A22A7E"/>
    <w:rsid w:val="00A234C7"/>
    <w:rsid w:val="00A23ED2"/>
    <w:rsid w:val="00A247D4"/>
    <w:rsid w:val="00A2518F"/>
    <w:rsid w:val="00A25211"/>
    <w:rsid w:val="00A25966"/>
    <w:rsid w:val="00A25A03"/>
    <w:rsid w:val="00A25DFF"/>
    <w:rsid w:val="00A2653E"/>
    <w:rsid w:val="00A27B0D"/>
    <w:rsid w:val="00A27C45"/>
    <w:rsid w:val="00A30578"/>
    <w:rsid w:val="00A33A57"/>
    <w:rsid w:val="00A3402F"/>
    <w:rsid w:val="00A34610"/>
    <w:rsid w:val="00A34914"/>
    <w:rsid w:val="00A35074"/>
    <w:rsid w:val="00A3579E"/>
    <w:rsid w:val="00A357E9"/>
    <w:rsid w:val="00A35A7E"/>
    <w:rsid w:val="00A35EA8"/>
    <w:rsid w:val="00A361F8"/>
    <w:rsid w:val="00A3770B"/>
    <w:rsid w:val="00A40818"/>
    <w:rsid w:val="00A41E13"/>
    <w:rsid w:val="00A43901"/>
    <w:rsid w:val="00A43919"/>
    <w:rsid w:val="00A44E7F"/>
    <w:rsid w:val="00A505D7"/>
    <w:rsid w:val="00A521BB"/>
    <w:rsid w:val="00A52A0C"/>
    <w:rsid w:val="00A5432A"/>
    <w:rsid w:val="00A544B5"/>
    <w:rsid w:val="00A548E3"/>
    <w:rsid w:val="00A55F80"/>
    <w:rsid w:val="00A56B59"/>
    <w:rsid w:val="00A60DD4"/>
    <w:rsid w:val="00A627DE"/>
    <w:rsid w:val="00A637E7"/>
    <w:rsid w:val="00A6580F"/>
    <w:rsid w:val="00A65DFC"/>
    <w:rsid w:val="00A725E3"/>
    <w:rsid w:val="00A7512E"/>
    <w:rsid w:val="00A76B51"/>
    <w:rsid w:val="00A76DEC"/>
    <w:rsid w:val="00A76F6B"/>
    <w:rsid w:val="00A8060B"/>
    <w:rsid w:val="00A816B5"/>
    <w:rsid w:val="00A81700"/>
    <w:rsid w:val="00A81BB4"/>
    <w:rsid w:val="00A83A2B"/>
    <w:rsid w:val="00A86330"/>
    <w:rsid w:val="00A870C7"/>
    <w:rsid w:val="00A87804"/>
    <w:rsid w:val="00A90672"/>
    <w:rsid w:val="00A90CC6"/>
    <w:rsid w:val="00A94B0A"/>
    <w:rsid w:val="00A94D7E"/>
    <w:rsid w:val="00A95688"/>
    <w:rsid w:val="00A96102"/>
    <w:rsid w:val="00AA09FA"/>
    <w:rsid w:val="00AA2F47"/>
    <w:rsid w:val="00AA376C"/>
    <w:rsid w:val="00AA3D9D"/>
    <w:rsid w:val="00AA577B"/>
    <w:rsid w:val="00AA5986"/>
    <w:rsid w:val="00AA636C"/>
    <w:rsid w:val="00AA67D3"/>
    <w:rsid w:val="00AB127E"/>
    <w:rsid w:val="00AB1EE0"/>
    <w:rsid w:val="00AB22C3"/>
    <w:rsid w:val="00AB2829"/>
    <w:rsid w:val="00AB2C0B"/>
    <w:rsid w:val="00AB347F"/>
    <w:rsid w:val="00AB362D"/>
    <w:rsid w:val="00AB4EA8"/>
    <w:rsid w:val="00AC05B7"/>
    <w:rsid w:val="00AC07C2"/>
    <w:rsid w:val="00AC2071"/>
    <w:rsid w:val="00AC293F"/>
    <w:rsid w:val="00AC3098"/>
    <w:rsid w:val="00AC4EA1"/>
    <w:rsid w:val="00AC56F8"/>
    <w:rsid w:val="00AC71CA"/>
    <w:rsid w:val="00AC76BF"/>
    <w:rsid w:val="00AD02B4"/>
    <w:rsid w:val="00AD0CF6"/>
    <w:rsid w:val="00AD244F"/>
    <w:rsid w:val="00AD3D74"/>
    <w:rsid w:val="00AD3DDA"/>
    <w:rsid w:val="00AD42D5"/>
    <w:rsid w:val="00AD77A6"/>
    <w:rsid w:val="00AE0621"/>
    <w:rsid w:val="00AE06A3"/>
    <w:rsid w:val="00AE0D17"/>
    <w:rsid w:val="00AE3F2D"/>
    <w:rsid w:val="00AE56F1"/>
    <w:rsid w:val="00AE67C6"/>
    <w:rsid w:val="00AF030C"/>
    <w:rsid w:val="00AF2269"/>
    <w:rsid w:val="00AF36FC"/>
    <w:rsid w:val="00AF54E2"/>
    <w:rsid w:val="00AF597B"/>
    <w:rsid w:val="00AF6358"/>
    <w:rsid w:val="00AF638A"/>
    <w:rsid w:val="00AF666B"/>
    <w:rsid w:val="00AF6DCA"/>
    <w:rsid w:val="00B00294"/>
    <w:rsid w:val="00B003E3"/>
    <w:rsid w:val="00B0141A"/>
    <w:rsid w:val="00B0190F"/>
    <w:rsid w:val="00B02B04"/>
    <w:rsid w:val="00B03D9A"/>
    <w:rsid w:val="00B069B4"/>
    <w:rsid w:val="00B07D04"/>
    <w:rsid w:val="00B100A7"/>
    <w:rsid w:val="00B10BDC"/>
    <w:rsid w:val="00B1199E"/>
    <w:rsid w:val="00B1263C"/>
    <w:rsid w:val="00B16E82"/>
    <w:rsid w:val="00B17FE8"/>
    <w:rsid w:val="00B20324"/>
    <w:rsid w:val="00B20443"/>
    <w:rsid w:val="00B214BE"/>
    <w:rsid w:val="00B21952"/>
    <w:rsid w:val="00B23282"/>
    <w:rsid w:val="00B25461"/>
    <w:rsid w:val="00B268D3"/>
    <w:rsid w:val="00B27753"/>
    <w:rsid w:val="00B302E6"/>
    <w:rsid w:val="00B31D0D"/>
    <w:rsid w:val="00B324F1"/>
    <w:rsid w:val="00B325CF"/>
    <w:rsid w:val="00B3363B"/>
    <w:rsid w:val="00B34228"/>
    <w:rsid w:val="00B35671"/>
    <w:rsid w:val="00B3709E"/>
    <w:rsid w:val="00B41A08"/>
    <w:rsid w:val="00B4227C"/>
    <w:rsid w:val="00B45B15"/>
    <w:rsid w:val="00B45CD4"/>
    <w:rsid w:val="00B542E9"/>
    <w:rsid w:val="00B578F6"/>
    <w:rsid w:val="00B60C01"/>
    <w:rsid w:val="00B632A9"/>
    <w:rsid w:val="00B63410"/>
    <w:rsid w:val="00B63596"/>
    <w:rsid w:val="00B63B09"/>
    <w:rsid w:val="00B65771"/>
    <w:rsid w:val="00B668A5"/>
    <w:rsid w:val="00B67BCF"/>
    <w:rsid w:val="00B72F30"/>
    <w:rsid w:val="00B7310B"/>
    <w:rsid w:val="00B73603"/>
    <w:rsid w:val="00B73946"/>
    <w:rsid w:val="00B74C9F"/>
    <w:rsid w:val="00B7511C"/>
    <w:rsid w:val="00B75D68"/>
    <w:rsid w:val="00B76078"/>
    <w:rsid w:val="00B76450"/>
    <w:rsid w:val="00B767B3"/>
    <w:rsid w:val="00B77A78"/>
    <w:rsid w:val="00B80E00"/>
    <w:rsid w:val="00B820EF"/>
    <w:rsid w:val="00B83770"/>
    <w:rsid w:val="00B846EB"/>
    <w:rsid w:val="00B849E4"/>
    <w:rsid w:val="00B87F63"/>
    <w:rsid w:val="00B87FE6"/>
    <w:rsid w:val="00B905C3"/>
    <w:rsid w:val="00B9183C"/>
    <w:rsid w:val="00B9291C"/>
    <w:rsid w:val="00B9376E"/>
    <w:rsid w:val="00B93BBA"/>
    <w:rsid w:val="00B95AB7"/>
    <w:rsid w:val="00B97346"/>
    <w:rsid w:val="00B97C07"/>
    <w:rsid w:val="00BA140A"/>
    <w:rsid w:val="00BA2EA3"/>
    <w:rsid w:val="00BA3A9B"/>
    <w:rsid w:val="00BA441B"/>
    <w:rsid w:val="00BA5696"/>
    <w:rsid w:val="00BA63B8"/>
    <w:rsid w:val="00BA6A9A"/>
    <w:rsid w:val="00BA7E47"/>
    <w:rsid w:val="00BB35D4"/>
    <w:rsid w:val="00BB495E"/>
    <w:rsid w:val="00BB4D43"/>
    <w:rsid w:val="00BB5069"/>
    <w:rsid w:val="00BB5EBB"/>
    <w:rsid w:val="00BB6DEC"/>
    <w:rsid w:val="00BB6FB0"/>
    <w:rsid w:val="00BC0101"/>
    <w:rsid w:val="00BC0B50"/>
    <w:rsid w:val="00BC0FF4"/>
    <w:rsid w:val="00BC31BE"/>
    <w:rsid w:val="00BC46DA"/>
    <w:rsid w:val="00BD0716"/>
    <w:rsid w:val="00BD399A"/>
    <w:rsid w:val="00BD4AAA"/>
    <w:rsid w:val="00BD5789"/>
    <w:rsid w:val="00BD7167"/>
    <w:rsid w:val="00BD7950"/>
    <w:rsid w:val="00BE2D70"/>
    <w:rsid w:val="00BE3DA3"/>
    <w:rsid w:val="00BE3E54"/>
    <w:rsid w:val="00BE58EF"/>
    <w:rsid w:val="00BE6AAD"/>
    <w:rsid w:val="00BE7625"/>
    <w:rsid w:val="00BF20A8"/>
    <w:rsid w:val="00BF28E7"/>
    <w:rsid w:val="00BF36D3"/>
    <w:rsid w:val="00BF3FFE"/>
    <w:rsid w:val="00BF44DD"/>
    <w:rsid w:val="00BF457D"/>
    <w:rsid w:val="00BF531A"/>
    <w:rsid w:val="00C01D4F"/>
    <w:rsid w:val="00C0241B"/>
    <w:rsid w:val="00C03181"/>
    <w:rsid w:val="00C03D1F"/>
    <w:rsid w:val="00C03EA6"/>
    <w:rsid w:val="00C06D31"/>
    <w:rsid w:val="00C072F2"/>
    <w:rsid w:val="00C10480"/>
    <w:rsid w:val="00C10CED"/>
    <w:rsid w:val="00C10FE9"/>
    <w:rsid w:val="00C11451"/>
    <w:rsid w:val="00C115B8"/>
    <w:rsid w:val="00C1263D"/>
    <w:rsid w:val="00C12889"/>
    <w:rsid w:val="00C13AAA"/>
    <w:rsid w:val="00C13E7D"/>
    <w:rsid w:val="00C15AA4"/>
    <w:rsid w:val="00C2070F"/>
    <w:rsid w:val="00C20C1E"/>
    <w:rsid w:val="00C21298"/>
    <w:rsid w:val="00C21563"/>
    <w:rsid w:val="00C234FB"/>
    <w:rsid w:val="00C2409C"/>
    <w:rsid w:val="00C2468B"/>
    <w:rsid w:val="00C25921"/>
    <w:rsid w:val="00C25BD8"/>
    <w:rsid w:val="00C263FE"/>
    <w:rsid w:val="00C26BB1"/>
    <w:rsid w:val="00C2755B"/>
    <w:rsid w:val="00C30AA0"/>
    <w:rsid w:val="00C33A4B"/>
    <w:rsid w:val="00C3408F"/>
    <w:rsid w:val="00C35EA6"/>
    <w:rsid w:val="00C36EC9"/>
    <w:rsid w:val="00C374EB"/>
    <w:rsid w:val="00C402FF"/>
    <w:rsid w:val="00C40D25"/>
    <w:rsid w:val="00C41ECE"/>
    <w:rsid w:val="00C427AB"/>
    <w:rsid w:val="00C4312F"/>
    <w:rsid w:val="00C43791"/>
    <w:rsid w:val="00C453BA"/>
    <w:rsid w:val="00C4546E"/>
    <w:rsid w:val="00C474EB"/>
    <w:rsid w:val="00C47A07"/>
    <w:rsid w:val="00C5057D"/>
    <w:rsid w:val="00C520B1"/>
    <w:rsid w:val="00C5240C"/>
    <w:rsid w:val="00C53D02"/>
    <w:rsid w:val="00C5620D"/>
    <w:rsid w:val="00C56A66"/>
    <w:rsid w:val="00C6096D"/>
    <w:rsid w:val="00C63B5C"/>
    <w:rsid w:val="00C63ED9"/>
    <w:rsid w:val="00C645E2"/>
    <w:rsid w:val="00C659BC"/>
    <w:rsid w:val="00C65AAF"/>
    <w:rsid w:val="00C70708"/>
    <w:rsid w:val="00C708C8"/>
    <w:rsid w:val="00C71008"/>
    <w:rsid w:val="00C718FC"/>
    <w:rsid w:val="00C72C1E"/>
    <w:rsid w:val="00C75B30"/>
    <w:rsid w:val="00C778A8"/>
    <w:rsid w:val="00C801DE"/>
    <w:rsid w:val="00C82F8E"/>
    <w:rsid w:val="00C83509"/>
    <w:rsid w:val="00C8523A"/>
    <w:rsid w:val="00C85681"/>
    <w:rsid w:val="00C8623D"/>
    <w:rsid w:val="00C86574"/>
    <w:rsid w:val="00C8672F"/>
    <w:rsid w:val="00C87E49"/>
    <w:rsid w:val="00C90E40"/>
    <w:rsid w:val="00C9235E"/>
    <w:rsid w:val="00C926E5"/>
    <w:rsid w:val="00C9480F"/>
    <w:rsid w:val="00C94D44"/>
    <w:rsid w:val="00C95D73"/>
    <w:rsid w:val="00C9787A"/>
    <w:rsid w:val="00CA1819"/>
    <w:rsid w:val="00CA1B61"/>
    <w:rsid w:val="00CA4DD4"/>
    <w:rsid w:val="00CA6673"/>
    <w:rsid w:val="00CB03CC"/>
    <w:rsid w:val="00CB20B7"/>
    <w:rsid w:val="00CB507B"/>
    <w:rsid w:val="00CB5439"/>
    <w:rsid w:val="00CB5CEE"/>
    <w:rsid w:val="00CC0A29"/>
    <w:rsid w:val="00CC172E"/>
    <w:rsid w:val="00CC2672"/>
    <w:rsid w:val="00CC2A9D"/>
    <w:rsid w:val="00CC33BA"/>
    <w:rsid w:val="00CC5254"/>
    <w:rsid w:val="00CD097A"/>
    <w:rsid w:val="00CD2FD7"/>
    <w:rsid w:val="00CD401A"/>
    <w:rsid w:val="00CD47E9"/>
    <w:rsid w:val="00CD55FE"/>
    <w:rsid w:val="00CD677F"/>
    <w:rsid w:val="00CD69CD"/>
    <w:rsid w:val="00CD74BF"/>
    <w:rsid w:val="00CD77E6"/>
    <w:rsid w:val="00CE1B1A"/>
    <w:rsid w:val="00CE2BE3"/>
    <w:rsid w:val="00CE2F37"/>
    <w:rsid w:val="00CE2F3E"/>
    <w:rsid w:val="00CE592C"/>
    <w:rsid w:val="00CE75DF"/>
    <w:rsid w:val="00CF159C"/>
    <w:rsid w:val="00CF31F4"/>
    <w:rsid w:val="00CF3D26"/>
    <w:rsid w:val="00CF402A"/>
    <w:rsid w:val="00CF6026"/>
    <w:rsid w:val="00D000CB"/>
    <w:rsid w:val="00D00CC9"/>
    <w:rsid w:val="00D01473"/>
    <w:rsid w:val="00D03836"/>
    <w:rsid w:val="00D04063"/>
    <w:rsid w:val="00D045EF"/>
    <w:rsid w:val="00D05362"/>
    <w:rsid w:val="00D058F7"/>
    <w:rsid w:val="00D06D68"/>
    <w:rsid w:val="00D10676"/>
    <w:rsid w:val="00D107AE"/>
    <w:rsid w:val="00D10A1A"/>
    <w:rsid w:val="00D11ECF"/>
    <w:rsid w:val="00D1637B"/>
    <w:rsid w:val="00D16FEE"/>
    <w:rsid w:val="00D20798"/>
    <w:rsid w:val="00D22B35"/>
    <w:rsid w:val="00D25E37"/>
    <w:rsid w:val="00D26DA6"/>
    <w:rsid w:val="00D27AE1"/>
    <w:rsid w:val="00D27F1D"/>
    <w:rsid w:val="00D27FA1"/>
    <w:rsid w:val="00D27FCA"/>
    <w:rsid w:val="00D303D0"/>
    <w:rsid w:val="00D3074D"/>
    <w:rsid w:val="00D31576"/>
    <w:rsid w:val="00D320EC"/>
    <w:rsid w:val="00D343AF"/>
    <w:rsid w:val="00D3540A"/>
    <w:rsid w:val="00D35D2D"/>
    <w:rsid w:val="00D41293"/>
    <w:rsid w:val="00D425FB"/>
    <w:rsid w:val="00D4380E"/>
    <w:rsid w:val="00D44B7D"/>
    <w:rsid w:val="00D45344"/>
    <w:rsid w:val="00D46C23"/>
    <w:rsid w:val="00D472A0"/>
    <w:rsid w:val="00D50A36"/>
    <w:rsid w:val="00D548BB"/>
    <w:rsid w:val="00D553F1"/>
    <w:rsid w:val="00D61113"/>
    <w:rsid w:val="00D613D2"/>
    <w:rsid w:val="00D61698"/>
    <w:rsid w:val="00D62100"/>
    <w:rsid w:val="00D648A7"/>
    <w:rsid w:val="00D65BD0"/>
    <w:rsid w:val="00D672CD"/>
    <w:rsid w:val="00D71E6B"/>
    <w:rsid w:val="00D7345B"/>
    <w:rsid w:val="00D746EA"/>
    <w:rsid w:val="00D74F30"/>
    <w:rsid w:val="00D750B4"/>
    <w:rsid w:val="00D7557B"/>
    <w:rsid w:val="00D7695A"/>
    <w:rsid w:val="00D8214B"/>
    <w:rsid w:val="00D8230B"/>
    <w:rsid w:val="00D82B5D"/>
    <w:rsid w:val="00D83D51"/>
    <w:rsid w:val="00D849B9"/>
    <w:rsid w:val="00D85231"/>
    <w:rsid w:val="00D85A68"/>
    <w:rsid w:val="00D9026D"/>
    <w:rsid w:val="00D90926"/>
    <w:rsid w:val="00D9256B"/>
    <w:rsid w:val="00D92F7F"/>
    <w:rsid w:val="00D95C70"/>
    <w:rsid w:val="00D95F4C"/>
    <w:rsid w:val="00D963C9"/>
    <w:rsid w:val="00D97BA7"/>
    <w:rsid w:val="00DA0D14"/>
    <w:rsid w:val="00DA12D5"/>
    <w:rsid w:val="00DA53D4"/>
    <w:rsid w:val="00DA7482"/>
    <w:rsid w:val="00DA775E"/>
    <w:rsid w:val="00DB06BC"/>
    <w:rsid w:val="00DB1D13"/>
    <w:rsid w:val="00DB2038"/>
    <w:rsid w:val="00DB42BD"/>
    <w:rsid w:val="00DB4E0B"/>
    <w:rsid w:val="00DB5333"/>
    <w:rsid w:val="00DC05E4"/>
    <w:rsid w:val="00DC3CBA"/>
    <w:rsid w:val="00DC4341"/>
    <w:rsid w:val="00DC47A0"/>
    <w:rsid w:val="00DC4E04"/>
    <w:rsid w:val="00DC6275"/>
    <w:rsid w:val="00DC62F4"/>
    <w:rsid w:val="00DC7BD0"/>
    <w:rsid w:val="00DD0672"/>
    <w:rsid w:val="00DD0A3A"/>
    <w:rsid w:val="00DD0C8C"/>
    <w:rsid w:val="00DD1C2B"/>
    <w:rsid w:val="00DD3225"/>
    <w:rsid w:val="00DD46F8"/>
    <w:rsid w:val="00DD506B"/>
    <w:rsid w:val="00DD5A39"/>
    <w:rsid w:val="00DD67F1"/>
    <w:rsid w:val="00DD717F"/>
    <w:rsid w:val="00DD7555"/>
    <w:rsid w:val="00DE0155"/>
    <w:rsid w:val="00DE0982"/>
    <w:rsid w:val="00DE2EB7"/>
    <w:rsid w:val="00DE2F3D"/>
    <w:rsid w:val="00DE5CEE"/>
    <w:rsid w:val="00DE7F65"/>
    <w:rsid w:val="00DF4FFF"/>
    <w:rsid w:val="00DF7FD8"/>
    <w:rsid w:val="00E00A30"/>
    <w:rsid w:val="00E02C07"/>
    <w:rsid w:val="00E02C11"/>
    <w:rsid w:val="00E03D4F"/>
    <w:rsid w:val="00E1192D"/>
    <w:rsid w:val="00E1422F"/>
    <w:rsid w:val="00E16E12"/>
    <w:rsid w:val="00E1787D"/>
    <w:rsid w:val="00E2344F"/>
    <w:rsid w:val="00E234DF"/>
    <w:rsid w:val="00E24196"/>
    <w:rsid w:val="00E24A19"/>
    <w:rsid w:val="00E269D4"/>
    <w:rsid w:val="00E276E0"/>
    <w:rsid w:val="00E316A5"/>
    <w:rsid w:val="00E326FF"/>
    <w:rsid w:val="00E33DE7"/>
    <w:rsid w:val="00E3425C"/>
    <w:rsid w:val="00E343E3"/>
    <w:rsid w:val="00E3484E"/>
    <w:rsid w:val="00E36960"/>
    <w:rsid w:val="00E37E37"/>
    <w:rsid w:val="00E41F4E"/>
    <w:rsid w:val="00E42CC3"/>
    <w:rsid w:val="00E4426B"/>
    <w:rsid w:val="00E462F6"/>
    <w:rsid w:val="00E47279"/>
    <w:rsid w:val="00E47884"/>
    <w:rsid w:val="00E50818"/>
    <w:rsid w:val="00E513A0"/>
    <w:rsid w:val="00E52190"/>
    <w:rsid w:val="00E52508"/>
    <w:rsid w:val="00E52F0E"/>
    <w:rsid w:val="00E55662"/>
    <w:rsid w:val="00E5583F"/>
    <w:rsid w:val="00E56A12"/>
    <w:rsid w:val="00E56F06"/>
    <w:rsid w:val="00E572E2"/>
    <w:rsid w:val="00E57AD2"/>
    <w:rsid w:val="00E61176"/>
    <w:rsid w:val="00E642FF"/>
    <w:rsid w:val="00E64888"/>
    <w:rsid w:val="00E64E9A"/>
    <w:rsid w:val="00E66000"/>
    <w:rsid w:val="00E661CC"/>
    <w:rsid w:val="00E66C67"/>
    <w:rsid w:val="00E67791"/>
    <w:rsid w:val="00E70DC3"/>
    <w:rsid w:val="00E718E0"/>
    <w:rsid w:val="00E7269C"/>
    <w:rsid w:val="00E735FC"/>
    <w:rsid w:val="00E74244"/>
    <w:rsid w:val="00E804B3"/>
    <w:rsid w:val="00E80F5A"/>
    <w:rsid w:val="00E83103"/>
    <w:rsid w:val="00E85C19"/>
    <w:rsid w:val="00E90F9A"/>
    <w:rsid w:val="00E910B0"/>
    <w:rsid w:val="00E925AF"/>
    <w:rsid w:val="00E94F8B"/>
    <w:rsid w:val="00E95DC1"/>
    <w:rsid w:val="00E96B90"/>
    <w:rsid w:val="00EA11B7"/>
    <w:rsid w:val="00EA1C6C"/>
    <w:rsid w:val="00EA2202"/>
    <w:rsid w:val="00EA3640"/>
    <w:rsid w:val="00EA4E95"/>
    <w:rsid w:val="00EA5013"/>
    <w:rsid w:val="00EA5454"/>
    <w:rsid w:val="00EA5B99"/>
    <w:rsid w:val="00EB0F9B"/>
    <w:rsid w:val="00EB2067"/>
    <w:rsid w:val="00EB2515"/>
    <w:rsid w:val="00EB326B"/>
    <w:rsid w:val="00EB3447"/>
    <w:rsid w:val="00EB4A37"/>
    <w:rsid w:val="00EB5911"/>
    <w:rsid w:val="00EB70EC"/>
    <w:rsid w:val="00EC22B4"/>
    <w:rsid w:val="00EC2C1F"/>
    <w:rsid w:val="00EC3390"/>
    <w:rsid w:val="00EC4267"/>
    <w:rsid w:val="00EC5DB2"/>
    <w:rsid w:val="00EC6438"/>
    <w:rsid w:val="00EC65BF"/>
    <w:rsid w:val="00EC7A10"/>
    <w:rsid w:val="00EC7D84"/>
    <w:rsid w:val="00ED3189"/>
    <w:rsid w:val="00ED3610"/>
    <w:rsid w:val="00ED36FC"/>
    <w:rsid w:val="00ED48F6"/>
    <w:rsid w:val="00ED4FCB"/>
    <w:rsid w:val="00ED6E73"/>
    <w:rsid w:val="00EE0842"/>
    <w:rsid w:val="00EE2B38"/>
    <w:rsid w:val="00EE2FFA"/>
    <w:rsid w:val="00EE40DC"/>
    <w:rsid w:val="00EE44AB"/>
    <w:rsid w:val="00EE5FBB"/>
    <w:rsid w:val="00EF008F"/>
    <w:rsid w:val="00EF18E0"/>
    <w:rsid w:val="00EF27A9"/>
    <w:rsid w:val="00EF6553"/>
    <w:rsid w:val="00F00C47"/>
    <w:rsid w:val="00F011D0"/>
    <w:rsid w:val="00F0253D"/>
    <w:rsid w:val="00F105AC"/>
    <w:rsid w:val="00F10847"/>
    <w:rsid w:val="00F11579"/>
    <w:rsid w:val="00F12124"/>
    <w:rsid w:val="00F13D93"/>
    <w:rsid w:val="00F14832"/>
    <w:rsid w:val="00F151AB"/>
    <w:rsid w:val="00F1529F"/>
    <w:rsid w:val="00F155A3"/>
    <w:rsid w:val="00F155B9"/>
    <w:rsid w:val="00F16117"/>
    <w:rsid w:val="00F21D6B"/>
    <w:rsid w:val="00F24BEE"/>
    <w:rsid w:val="00F306FE"/>
    <w:rsid w:val="00F31F4E"/>
    <w:rsid w:val="00F337CB"/>
    <w:rsid w:val="00F33AC5"/>
    <w:rsid w:val="00F33FC8"/>
    <w:rsid w:val="00F342AD"/>
    <w:rsid w:val="00F34DEB"/>
    <w:rsid w:val="00F35CA3"/>
    <w:rsid w:val="00F4116F"/>
    <w:rsid w:val="00F4430C"/>
    <w:rsid w:val="00F45045"/>
    <w:rsid w:val="00F45155"/>
    <w:rsid w:val="00F45491"/>
    <w:rsid w:val="00F459F9"/>
    <w:rsid w:val="00F46C78"/>
    <w:rsid w:val="00F51307"/>
    <w:rsid w:val="00F51D30"/>
    <w:rsid w:val="00F53501"/>
    <w:rsid w:val="00F61409"/>
    <w:rsid w:val="00F61D39"/>
    <w:rsid w:val="00F62514"/>
    <w:rsid w:val="00F6316F"/>
    <w:rsid w:val="00F65847"/>
    <w:rsid w:val="00F65BB2"/>
    <w:rsid w:val="00F66579"/>
    <w:rsid w:val="00F70968"/>
    <w:rsid w:val="00F70AAF"/>
    <w:rsid w:val="00F726A6"/>
    <w:rsid w:val="00F72C0D"/>
    <w:rsid w:val="00F73AE3"/>
    <w:rsid w:val="00F75280"/>
    <w:rsid w:val="00F76207"/>
    <w:rsid w:val="00F76768"/>
    <w:rsid w:val="00F76AFC"/>
    <w:rsid w:val="00F77CE3"/>
    <w:rsid w:val="00F77DCB"/>
    <w:rsid w:val="00F80D9C"/>
    <w:rsid w:val="00F82AEA"/>
    <w:rsid w:val="00F82E05"/>
    <w:rsid w:val="00F830A8"/>
    <w:rsid w:val="00F83ACA"/>
    <w:rsid w:val="00F8459A"/>
    <w:rsid w:val="00F85541"/>
    <w:rsid w:val="00F85777"/>
    <w:rsid w:val="00F86CE8"/>
    <w:rsid w:val="00F92CE2"/>
    <w:rsid w:val="00F92F2A"/>
    <w:rsid w:val="00F94486"/>
    <w:rsid w:val="00F94B53"/>
    <w:rsid w:val="00FA070B"/>
    <w:rsid w:val="00FA5035"/>
    <w:rsid w:val="00FA6263"/>
    <w:rsid w:val="00FA6E8A"/>
    <w:rsid w:val="00FA6FB8"/>
    <w:rsid w:val="00FA7E7C"/>
    <w:rsid w:val="00FB0B85"/>
    <w:rsid w:val="00FB235C"/>
    <w:rsid w:val="00FB27C9"/>
    <w:rsid w:val="00FB2E44"/>
    <w:rsid w:val="00FB332B"/>
    <w:rsid w:val="00FB3CE3"/>
    <w:rsid w:val="00FB3E35"/>
    <w:rsid w:val="00FB6E52"/>
    <w:rsid w:val="00FC261B"/>
    <w:rsid w:val="00FC3451"/>
    <w:rsid w:val="00FC3544"/>
    <w:rsid w:val="00FC4E4C"/>
    <w:rsid w:val="00FC51EB"/>
    <w:rsid w:val="00FC5293"/>
    <w:rsid w:val="00FC5F14"/>
    <w:rsid w:val="00FC6074"/>
    <w:rsid w:val="00FC6A68"/>
    <w:rsid w:val="00FC7294"/>
    <w:rsid w:val="00FD1AD1"/>
    <w:rsid w:val="00FD1BCA"/>
    <w:rsid w:val="00FD2A03"/>
    <w:rsid w:val="00FD2FA4"/>
    <w:rsid w:val="00FD3965"/>
    <w:rsid w:val="00FD5FF6"/>
    <w:rsid w:val="00FE068E"/>
    <w:rsid w:val="00FE09BF"/>
    <w:rsid w:val="00FE20C2"/>
    <w:rsid w:val="00FE28B2"/>
    <w:rsid w:val="00FE4043"/>
    <w:rsid w:val="00FE4232"/>
    <w:rsid w:val="00FE430F"/>
    <w:rsid w:val="00FE53BD"/>
    <w:rsid w:val="00FE620D"/>
    <w:rsid w:val="00FE7E4E"/>
    <w:rsid w:val="00FF1230"/>
    <w:rsid w:val="00FF12EE"/>
    <w:rsid w:val="00FF2DC3"/>
    <w:rsid w:val="00FF3526"/>
    <w:rsid w:val="00FF5124"/>
    <w:rsid w:val="00FF5B0D"/>
    <w:rsid w:val="00FF6469"/>
    <w:rsid w:val="00FF7A65"/>
    <w:rsid w:val="00FF7B2D"/>
    <w:rsid w:val="00FF7CD0"/>
    <w:rsid w:val="011903A3"/>
    <w:rsid w:val="0357CAC3"/>
    <w:rsid w:val="112D7881"/>
    <w:rsid w:val="19FA532B"/>
    <w:rsid w:val="23136E7A"/>
    <w:rsid w:val="23E7E206"/>
    <w:rsid w:val="2C58BE04"/>
    <w:rsid w:val="2CF890AB"/>
    <w:rsid w:val="328BDF72"/>
    <w:rsid w:val="3C021DDA"/>
    <w:rsid w:val="40965CFF"/>
    <w:rsid w:val="4770C370"/>
    <w:rsid w:val="4ACE7A56"/>
    <w:rsid w:val="59ECA680"/>
    <w:rsid w:val="647EBAAD"/>
    <w:rsid w:val="65D1890E"/>
    <w:rsid w:val="667DE27E"/>
    <w:rsid w:val="68A8DF64"/>
    <w:rsid w:val="6915E5F8"/>
    <w:rsid w:val="69E6B264"/>
    <w:rsid w:val="78B840D2"/>
    <w:rsid w:val="79DD08A0"/>
    <w:rsid w:val="7EF23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84EE8"/>
  <w15:docId w15:val="{B4B7284C-7AB4-4F5D-8D5C-418B7B4A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left="117" w:hanging="403"/>
      <w:outlineLvl w:val="0"/>
    </w:pPr>
    <w:rPr>
      <w:rFonts w:ascii="Arial" w:eastAsia="Arial" w:hAnsi="Arial" w:cs="Arial"/>
      <w:b/>
      <w:bCs/>
      <w:sz w:val="24"/>
      <w:szCs w:val="24"/>
    </w:rPr>
  </w:style>
  <w:style w:type="paragraph" w:styleId="Ttulo4">
    <w:name w:val="heading 4"/>
    <w:basedOn w:val="Normal"/>
    <w:next w:val="Normal"/>
    <w:link w:val="Ttulo4Char"/>
    <w:uiPriority w:val="9"/>
    <w:semiHidden/>
    <w:unhideWhenUsed/>
    <w:qFormat/>
    <w:rsid w:val="005C62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41" w:hanging="361"/>
    </w:pPr>
  </w:style>
  <w:style w:type="paragraph" w:customStyle="1" w:styleId="TableParagraph">
    <w:name w:val="Table Paragraph"/>
    <w:basedOn w:val="Normal"/>
    <w:uiPriority w:val="1"/>
    <w:qFormat/>
  </w:style>
  <w:style w:type="character" w:styleId="Forte">
    <w:name w:val="Strong"/>
    <w:basedOn w:val="Fontepargpadro"/>
    <w:uiPriority w:val="22"/>
    <w:qFormat/>
    <w:rsid w:val="008F32BC"/>
    <w:rPr>
      <w:b/>
      <w:bCs/>
    </w:rPr>
  </w:style>
  <w:style w:type="paragraph" w:styleId="Cabealho">
    <w:name w:val="header"/>
    <w:basedOn w:val="Normal"/>
    <w:link w:val="CabealhoChar"/>
    <w:uiPriority w:val="99"/>
    <w:unhideWhenUsed/>
    <w:rsid w:val="00D9026D"/>
    <w:pPr>
      <w:tabs>
        <w:tab w:val="center" w:pos="4252"/>
        <w:tab w:val="right" w:pos="8504"/>
      </w:tabs>
    </w:pPr>
  </w:style>
  <w:style w:type="character" w:customStyle="1" w:styleId="CabealhoChar">
    <w:name w:val="Cabeçalho Char"/>
    <w:basedOn w:val="Fontepargpadro"/>
    <w:link w:val="Cabealho"/>
    <w:uiPriority w:val="99"/>
    <w:rsid w:val="00D9026D"/>
    <w:rPr>
      <w:rFonts w:ascii="Arial MT" w:eastAsia="Arial MT" w:hAnsi="Arial MT" w:cs="Arial MT"/>
      <w:lang w:val="pt-PT"/>
    </w:rPr>
  </w:style>
  <w:style w:type="paragraph" w:styleId="Rodap">
    <w:name w:val="footer"/>
    <w:basedOn w:val="Normal"/>
    <w:link w:val="RodapChar"/>
    <w:uiPriority w:val="99"/>
    <w:unhideWhenUsed/>
    <w:rsid w:val="00D9026D"/>
    <w:pPr>
      <w:tabs>
        <w:tab w:val="center" w:pos="4252"/>
        <w:tab w:val="right" w:pos="8504"/>
      </w:tabs>
    </w:pPr>
  </w:style>
  <w:style w:type="character" w:customStyle="1" w:styleId="RodapChar">
    <w:name w:val="Rodapé Char"/>
    <w:basedOn w:val="Fontepargpadro"/>
    <w:link w:val="Rodap"/>
    <w:uiPriority w:val="99"/>
    <w:rsid w:val="00D9026D"/>
    <w:rPr>
      <w:rFonts w:ascii="Arial MT" w:eastAsia="Arial MT" w:hAnsi="Arial MT" w:cs="Arial MT"/>
      <w:lang w:val="pt-PT"/>
    </w:rPr>
  </w:style>
  <w:style w:type="paragraph" w:styleId="NormalWeb">
    <w:name w:val="Normal (Web)"/>
    <w:basedOn w:val="Normal"/>
    <w:uiPriority w:val="99"/>
    <w:unhideWhenUsed/>
    <w:rsid w:val="004F2E55"/>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4F2E55"/>
    <w:rPr>
      <w:color w:val="0000FF"/>
      <w:u w:val="single"/>
    </w:rPr>
  </w:style>
  <w:style w:type="character" w:customStyle="1" w:styleId="Ttulo4Char">
    <w:name w:val="Título 4 Char"/>
    <w:basedOn w:val="Fontepargpadro"/>
    <w:link w:val="Ttulo4"/>
    <w:uiPriority w:val="9"/>
    <w:semiHidden/>
    <w:rsid w:val="005C626E"/>
    <w:rPr>
      <w:rFonts w:asciiTheme="majorHAnsi" w:eastAsiaTheme="majorEastAsia" w:hAnsiTheme="majorHAnsi" w:cstheme="majorBidi"/>
      <w:i/>
      <w:iCs/>
      <w:color w:val="365F91" w:themeColor="accent1" w:themeShade="BF"/>
      <w:lang w:val="pt-PT"/>
    </w:rPr>
  </w:style>
  <w:style w:type="character" w:styleId="MenoPendente">
    <w:name w:val="Unresolved Mention"/>
    <w:basedOn w:val="Fontepargpadro"/>
    <w:uiPriority w:val="99"/>
    <w:semiHidden/>
    <w:unhideWhenUsed/>
    <w:rsid w:val="008D6BC6"/>
    <w:rPr>
      <w:color w:val="605E5C"/>
      <w:shd w:val="clear" w:color="auto" w:fill="E1DFDD"/>
    </w:rPr>
  </w:style>
  <w:style w:type="table" w:customStyle="1" w:styleId="TableNormal1">
    <w:name w:val="Table Normal1"/>
    <w:uiPriority w:val="2"/>
    <w:semiHidden/>
    <w:unhideWhenUsed/>
    <w:qFormat/>
    <w:rsid w:val="00BB5EBB"/>
    <w:tblPr>
      <w:tblInd w:w="0" w:type="dxa"/>
      <w:tblCellMar>
        <w:top w:w="0" w:type="dxa"/>
        <w:left w:w="0" w:type="dxa"/>
        <w:bottom w:w="0" w:type="dxa"/>
        <w:right w:w="0" w:type="dxa"/>
      </w:tblCellMar>
    </w:tblPr>
  </w:style>
  <w:style w:type="paragraph" w:styleId="Legenda">
    <w:name w:val="caption"/>
    <w:basedOn w:val="Normal"/>
    <w:next w:val="Normal"/>
    <w:uiPriority w:val="35"/>
    <w:unhideWhenUsed/>
    <w:qFormat/>
    <w:rsid w:val="008D235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6904">
      <w:bodyDiv w:val="1"/>
      <w:marLeft w:val="0"/>
      <w:marRight w:val="0"/>
      <w:marTop w:val="0"/>
      <w:marBottom w:val="0"/>
      <w:divBdr>
        <w:top w:val="none" w:sz="0" w:space="0" w:color="auto"/>
        <w:left w:val="none" w:sz="0" w:space="0" w:color="auto"/>
        <w:bottom w:val="none" w:sz="0" w:space="0" w:color="auto"/>
        <w:right w:val="none" w:sz="0" w:space="0" w:color="auto"/>
      </w:divBdr>
    </w:div>
    <w:div w:id="473569058">
      <w:bodyDiv w:val="1"/>
      <w:marLeft w:val="0"/>
      <w:marRight w:val="0"/>
      <w:marTop w:val="0"/>
      <w:marBottom w:val="0"/>
      <w:divBdr>
        <w:top w:val="none" w:sz="0" w:space="0" w:color="auto"/>
        <w:left w:val="none" w:sz="0" w:space="0" w:color="auto"/>
        <w:bottom w:val="none" w:sz="0" w:space="0" w:color="auto"/>
        <w:right w:val="none" w:sz="0" w:space="0" w:color="auto"/>
      </w:divBdr>
    </w:div>
    <w:div w:id="486826733">
      <w:bodyDiv w:val="1"/>
      <w:marLeft w:val="0"/>
      <w:marRight w:val="0"/>
      <w:marTop w:val="0"/>
      <w:marBottom w:val="0"/>
      <w:divBdr>
        <w:top w:val="none" w:sz="0" w:space="0" w:color="auto"/>
        <w:left w:val="none" w:sz="0" w:space="0" w:color="auto"/>
        <w:bottom w:val="none" w:sz="0" w:space="0" w:color="auto"/>
        <w:right w:val="none" w:sz="0" w:space="0" w:color="auto"/>
      </w:divBdr>
    </w:div>
    <w:div w:id="528763802">
      <w:bodyDiv w:val="1"/>
      <w:marLeft w:val="0"/>
      <w:marRight w:val="0"/>
      <w:marTop w:val="0"/>
      <w:marBottom w:val="0"/>
      <w:divBdr>
        <w:top w:val="none" w:sz="0" w:space="0" w:color="auto"/>
        <w:left w:val="none" w:sz="0" w:space="0" w:color="auto"/>
        <w:bottom w:val="none" w:sz="0" w:space="0" w:color="auto"/>
        <w:right w:val="none" w:sz="0" w:space="0" w:color="auto"/>
      </w:divBdr>
    </w:div>
    <w:div w:id="532349977">
      <w:bodyDiv w:val="1"/>
      <w:marLeft w:val="0"/>
      <w:marRight w:val="0"/>
      <w:marTop w:val="0"/>
      <w:marBottom w:val="0"/>
      <w:divBdr>
        <w:top w:val="none" w:sz="0" w:space="0" w:color="auto"/>
        <w:left w:val="none" w:sz="0" w:space="0" w:color="auto"/>
        <w:bottom w:val="none" w:sz="0" w:space="0" w:color="auto"/>
        <w:right w:val="none" w:sz="0" w:space="0" w:color="auto"/>
      </w:divBdr>
    </w:div>
    <w:div w:id="626086141">
      <w:bodyDiv w:val="1"/>
      <w:marLeft w:val="0"/>
      <w:marRight w:val="0"/>
      <w:marTop w:val="0"/>
      <w:marBottom w:val="0"/>
      <w:divBdr>
        <w:top w:val="none" w:sz="0" w:space="0" w:color="auto"/>
        <w:left w:val="none" w:sz="0" w:space="0" w:color="auto"/>
        <w:bottom w:val="none" w:sz="0" w:space="0" w:color="auto"/>
        <w:right w:val="none" w:sz="0" w:space="0" w:color="auto"/>
      </w:divBdr>
    </w:div>
    <w:div w:id="766778976">
      <w:bodyDiv w:val="1"/>
      <w:marLeft w:val="0"/>
      <w:marRight w:val="0"/>
      <w:marTop w:val="0"/>
      <w:marBottom w:val="0"/>
      <w:divBdr>
        <w:top w:val="none" w:sz="0" w:space="0" w:color="auto"/>
        <w:left w:val="none" w:sz="0" w:space="0" w:color="auto"/>
        <w:bottom w:val="none" w:sz="0" w:space="0" w:color="auto"/>
        <w:right w:val="none" w:sz="0" w:space="0" w:color="auto"/>
      </w:divBdr>
    </w:div>
    <w:div w:id="906301190">
      <w:bodyDiv w:val="1"/>
      <w:marLeft w:val="0"/>
      <w:marRight w:val="0"/>
      <w:marTop w:val="0"/>
      <w:marBottom w:val="0"/>
      <w:divBdr>
        <w:top w:val="none" w:sz="0" w:space="0" w:color="auto"/>
        <w:left w:val="none" w:sz="0" w:space="0" w:color="auto"/>
        <w:bottom w:val="none" w:sz="0" w:space="0" w:color="auto"/>
        <w:right w:val="none" w:sz="0" w:space="0" w:color="auto"/>
      </w:divBdr>
    </w:div>
    <w:div w:id="925072104">
      <w:bodyDiv w:val="1"/>
      <w:marLeft w:val="0"/>
      <w:marRight w:val="0"/>
      <w:marTop w:val="0"/>
      <w:marBottom w:val="0"/>
      <w:divBdr>
        <w:top w:val="none" w:sz="0" w:space="0" w:color="auto"/>
        <w:left w:val="none" w:sz="0" w:space="0" w:color="auto"/>
        <w:bottom w:val="none" w:sz="0" w:space="0" w:color="auto"/>
        <w:right w:val="none" w:sz="0" w:space="0" w:color="auto"/>
      </w:divBdr>
    </w:div>
    <w:div w:id="1070956503">
      <w:bodyDiv w:val="1"/>
      <w:marLeft w:val="0"/>
      <w:marRight w:val="0"/>
      <w:marTop w:val="0"/>
      <w:marBottom w:val="0"/>
      <w:divBdr>
        <w:top w:val="none" w:sz="0" w:space="0" w:color="auto"/>
        <w:left w:val="none" w:sz="0" w:space="0" w:color="auto"/>
        <w:bottom w:val="none" w:sz="0" w:space="0" w:color="auto"/>
        <w:right w:val="none" w:sz="0" w:space="0" w:color="auto"/>
      </w:divBdr>
    </w:div>
    <w:div w:id="1134953223">
      <w:bodyDiv w:val="1"/>
      <w:marLeft w:val="0"/>
      <w:marRight w:val="0"/>
      <w:marTop w:val="0"/>
      <w:marBottom w:val="0"/>
      <w:divBdr>
        <w:top w:val="none" w:sz="0" w:space="0" w:color="auto"/>
        <w:left w:val="none" w:sz="0" w:space="0" w:color="auto"/>
        <w:bottom w:val="none" w:sz="0" w:space="0" w:color="auto"/>
        <w:right w:val="none" w:sz="0" w:space="0" w:color="auto"/>
      </w:divBdr>
    </w:div>
    <w:div w:id="1187253716">
      <w:bodyDiv w:val="1"/>
      <w:marLeft w:val="0"/>
      <w:marRight w:val="0"/>
      <w:marTop w:val="0"/>
      <w:marBottom w:val="0"/>
      <w:divBdr>
        <w:top w:val="none" w:sz="0" w:space="0" w:color="auto"/>
        <w:left w:val="none" w:sz="0" w:space="0" w:color="auto"/>
        <w:bottom w:val="none" w:sz="0" w:space="0" w:color="auto"/>
        <w:right w:val="none" w:sz="0" w:space="0" w:color="auto"/>
      </w:divBdr>
    </w:div>
    <w:div w:id="1211261723">
      <w:bodyDiv w:val="1"/>
      <w:marLeft w:val="0"/>
      <w:marRight w:val="0"/>
      <w:marTop w:val="0"/>
      <w:marBottom w:val="0"/>
      <w:divBdr>
        <w:top w:val="none" w:sz="0" w:space="0" w:color="auto"/>
        <w:left w:val="none" w:sz="0" w:space="0" w:color="auto"/>
        <w:bottom w:val="none" w:sz="0" w:space="0" w:color="auto"/>
        <w:right w:val="none" w:sz="0" w:space="0" w:color="auto"/>
      </w:divBdr>
    </w:div>
    <w:div w:id="1453286410">
      <w:bodyDiv w:val="1"/>
      <w:marLeft w:val="0"/>
      <w:marRight w:val="0"/>
      <w:marTop w:val="0"/>
      <w:marBottom w:val="0"/>
      <w:divBdr>
        <w:top w:val="none" w:sz="0" w:space="0" w:color="auto"/>
        <w:left w:val="none" w:sz="0" w:space="0" w:color="auto"/>
        <w:bottom w:val="none" w:sz="0" w:space="0" w:color="auto"/>
        <w:right w:val="none" w:sz="0" w:space="0" w:color="auto"/>
      </w:divBdr>
    </w:div>
    <w:div w:id="1464080992">
      <w:bodyDiv w:val="1"/>
      <w:marLeft w:val="0"/>
      <w:marRight w:val="0"/>
      <w:marTop w:val="0"/>
      <w:marBottom w:val="0"/>
      <w:divBdr>
        <w:top w:val="none" w:sz="0" w:space="0" w:color="auto"/>
        <w:left w:val="none" w:sz="0" w:space="0" w:color="auto"/>
        <w:bottom w:val="none" w:sz="0" w:space="0" w:color="auto"/>
        <w:right w:val="none" w:sz="0" w:space="0" w:color="auto"/>
      </w:divBdr>
    </w:div>
    <w:div w:id="1584027031">
      <w:bodyDiv w:val="1"/>
      <w:marLeft w:val="0"/>
      <w:marRight w:val="0"/>
      <w:marTop w:val="0"/>
      <w:marBottom w:val="0"/>
      <w:divBdr>
        <w:top w:val="none" w:sz="0" w:space="0" w:color="auto"/>
        <w:left w:val="none" w:sz="0" w:space="0" w:color="auto"/>
        <w:bottom w:val="none" w:sz="0" w:space="0" w:color="auto"/>
        <w:right w:val="none" w:sz="0" w:space="0" w:color="auto"/>
      </w:divBdr>
    </w:div>
    <w:div w:id="1624119030">
      <w:bodyDiv w:val="1"/>
      <w:marLeft w:val="0"/>
      <w:marRight w:val="0"/>
      <w:marTop w:val="0"/>
      <w:marBottom w:val="0"/>
      <w:divBdr>
        <w:top w:val="none" w:sz="0" w:space="0" w:color="auto"/>
        <w:left w:val="none" w:sz="0" w:space="0" w:color="auto"/>
        <w:bottom w:val="none" w:sz="0" w:space="0" w:color="auto"/>
        <w:right w:val="none" w:sz="0" w:space="0" w:color="auto"/>
      </w:divBdr>
    </w:div>
    <w:div w:id="1649170397">
      <w:bodyDiv w:val="1"/>
      <w:marLeft w:val="0"/>
      <w:marRight w:val="0"/>
      <w:marTop w:val="0"/>
      <w:marBottom w:val="0"/>
      <w:divBdr>
        <w:top w:val="none" w:sz="0" w:space="0" w:color="auto"/>
        <w:left w:val="none" w:sz="0" w:space="0" w:color="auto"/>
        <w:bottom w:val="none" w:sz="0" w:space="0" w:color="auto"/>
        <w:right w:val="none" w:sz="0" w:space="0" w:color="auto"/>
      </w:divBdr>
    </w:div>
    <w:div w:id="1772161740">
      <w:bodyDiv w:val="1"/>
      <w:marLeft w:val="0"/>
      <w:marRight w:val="0"/>
      <w:marTop w:val="0"/>
      <w:marBottom w:val="0"/>
      <w:divBdr>
        <w:top w:val="none" w:sz="0" w:space="0" w:color="auto"/>
        <w:left w:val="none" w:sz="0" w:space="0" w:color="auto"/>
        <w:bottom w:val="none" w:sz="0" w:space="0" w:color="auto"/>
        <w:right w:val="none" w:sz="0" w:space="0" w:color="auto"/>
      </w:divBdr>
    </w:div>
    <w:div w:id="1834252761">
      <w:bodyDiv w:val="1"/>
      <w:marLeft w:val="0"/>
      <w:marRight w:val="0"/>
      <w:marTop w:val="0"/>
      <w:marBottom w:val="0"/>
      <w:divBdr>
        <w:top w:val="none" w:sz="0" w:space="0" w:color="auto"/>
        <w:left w:val="none" w:sz="0" w:space="0" w:color="auto"/>
        <w:bottom w:val="none" w:sz="0" w:space="0" w:color="auto"/>
        <w:right w:val="none" w:sz="0" w:space="0" w:color="auto"/>
      </w:divBdr>
    </w:div>
    <w:div w:id="2147356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5226-09F3-47C9-9A33-F5670C5A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7171</Words>
  <Characters>38726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Signer</dc:creator>
  <cp:keywords/>
  <cp:lastModifiedBy>MARCOS VINICIUS SOKABE RIBEIRO</cp:lastModifiedBy>
  <cp:revision>8</cp:revision>
  <dcterms:created xsi:type="dcterms:W3CDTF">2024-05-27T19:30:00Z</dcterms:created>
  <dcterms:modified xsi:type="dcterms:W3CDTF">2024-06-09T23:05:00Z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para Microsoft 365</vt:lpwstr>
  </property>
  <property fmtid="{D5CDD505-2E9C-101B-9397-08002B2CF9AE}" pid="4" name="LastSaved">
    <vt:filetime>2022-11-27T00:00:00Z</vt:filetime>
  </property>
</Properties>
</file>