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DF7861">
      <w:pPr>
        <w:jc w:val="both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NOÇÕES PRELIMINARES</w:t>
      </w:r>
    </w:p>
    <w:p w14:paraId="286FD906">
      <w:pPr>
        <w:jc w:val="both"/>
        <w:rPr>
          <w:rFonts w:hint="default"/>
          <w:b/>
          <w:bCs/>
          <w:lang w:val="pt-BR"/>
        </w:rPr>
      </w:pPr>
    </w:p>
    <w:p w14:paraId="4436F150">
      <w:pPr>
        <w:jc w:val="both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1. Distribuição por Faixa de Preço (100k-1kk+)</w:t>
      </w:r>
    </w:p>
    <w:p w14:paraId="0D7EF761">
      <w:pPr>
        <w:jc w:val="both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Dominância de apartamentos acessíveis: Cerca de 60-70% dos apartamentos estão nas faixas até R$300k (0-100k, 100k-200k e 200k-300k)</w:t>
      </w:r>
    </w:p>
    <w:p w14:paraId="42230AB1">
      <w:pPr>
        <w:jc w:val="both"/>
        <w:rPr>
          <w:rFonts w:hint="default"/>
          <w:b w:val="0"/>
          <w:bCs w:val="0"/>
          <w:lang w:val="pt-BR"/>
        </w:rPr>
      </w:pPr>
    </w:p>
    <w:p w14:paraId="52BF0BC0">
      <w:pPr>
        <w:jc w:val="both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Queda acentuada: Há uma redução drástica na quantidade de imóveis acima de R$500k</w:t>
      </w:r>
    </w:p>
    <w:p w14:paraId="22B75EEA">
      <w:pPr>
        <w:jc w:val="both"/>
        <w:rPr>
          <w:rFonts w:hint="default"/>
          <w:b w:val="0"/>
          <w:bCs w:val="0"/>
          <w:lang w:val="pt-BR"/>
        </w:rPr>
      </w:pPr>
    </w:p>
    <w:p w14:paraId="379E729F">
      <w:pPr>
        <w:jc w:val="both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Faixa de apartamentos populares: A concentração em valores mais baixos sugere um mercado voltado para classes média/baixa</w:t>
      </w:r>
    </w:p>
    <w:p w14:paraId="36A5253F">
      <w:pPr>
        <w:jc w:val="both"/>
        <w:rPr>
          <w:rFonts w:hint="default"/>
          <w:b w:val="0"/>
          <w:bCs w:val="0"/>
          <w:lang w:val="pt-BR"/>
        </w:rPr>
      </w:pPr>
    </w:p>
    <w:p w14:paraId="28376E85">
      <w:pPr>
        <w:jc w:val="both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2. Distribuição por Faixa de Preço (1kk-4,5kk)</w:t>
      </w:r>
    </w:p>
    <w:p w14:paraId="5371DEA6">
      <w:pPr>
        <w:jc w:val="both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Pico inicial: A quantidade máxima ocorre na faixa de R$1kk, com queda progressiva</w:t>
      </w:r>
    </w:p>
    <w:p w14:paraId="168B8A10">
      <w:pPr>
        <w:jc w:val="both"/>
        <w:rPr>
          <w:rFonts w:hint="default"/>
          <w:b w:val="0"/>
          <w:bCs w:val="0"/>
          <w:lang w:val="pt-BR"/>
        </w:rPr>
      </w:pPr>
    </w:p>
    <w:p w14:paraId="2CCB2086">
      <w:pPr>
        <w:jc w:val="both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Redução exponencial: Cada aumento de R$500k reduz aproximadamente pela metade a quantidade de imóveis</w:t>
      </w:r>
    </w:p>
    <w:p w14:paraId="10C7C8C5">
      <w:pPr>
        <w:jc w:val="both"/>
        <w:rPr>
          <w:rFonts w:hint="default"/>
          <w:b w:val="0"/>
          <w:bCs w:val="0"/>
          <w:lang w:val="pt-BR"/>
        </w:rPr>
      </w:pPr>
    </w:p>
    <w:p w14:paraId="5C0F20FC">
      <w:pPr>
        <w:jc w:val="both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Mercado de alto padrão limitado: Poucos imóveis acima de R$3kk indicam um mercado restrito</w:t>
      </w:r>
    </w:p>
    <w:p w14:paraId="4DA3B952">
      <w:pPr>
        <w:jc w:val="both"/>
        <w:rPr>
          <w:rFonts w:hint="default"/>
          <w:b w:val="0"/>
          <w:bCs w:val="0"/>
          <w:lang w:val="pt-BR"/>
        </w:rPr>
      </w:pPr>
    </w:p>
    <w:p w14:paraId="7050C2C5">
      <w:pPr>
        <w:jc w:val="both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3. Distribuição do Preço por m² (Geral e Sem Outliers)</w:t>
      </w:r>
    </w:p>
    <w:p w14:paraId="43AE6028">
      <w:pPr>
        <w:jc w:val="both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Concentração normal: A maioria dos imóveis tem preço por m² entre R</w:t>
      </w:r>
    </w:p>
    <w:p w14:paraId="406EC7ED">
      <w:pPr>
        <w:jc w:val="both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2k−8k</w:t>
      </w:r>
    </w:p>
    <w:p w14:paraId="7EAF05FD">
      <w:pPr>
        <w:jc w:val="both"/>
        <w:rPr>
          <w:rFonts w:hint="default"/>
          <w:b w:val="0"/>
          <w:bCs w:val="0"/>
          <w:lang w:val="pt-BR"/>
        </w:rPr>
      </w:pPr>
    </w:p>
    <w:p w14:paraId="423AC8E2">
      <w:pPr>
        <w:jc w:val="both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Distorção por outliers: A versão sem outliers mostra a verdadeira distribuição, ocultada anteriormente por valores extremos</w:t>
      </w:r>
    </w:p>
    <w:p w14:paraId="778F89F9">
      <w:pPr>
        <w:jc w:val="both"/>
        <w:rPr>
          <w:rFonts w:hint="default"/>
          <w:b w:val="0"/>
          <w:bCs w:val="0"/>
          <w:lang w:val="pt-BR"/>
        </w:rPr>
      </w:pPr>
    </w:p>
    <w:p w14:paraId="2468E3E8">
      <w:pPr>
        <w:jc w:val="both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Faixa predominante: Cerca de 80% dos imóveis estão abaixo de R$6k/m²</w:t>
      </w:r>
    </w:p>
    <w:p w14:paraId="4A692493">
      <w:pPr>
        <w:jc w:val="both"/>
        <w:rPr>
          <w:rFonts w:hint="default"/>
          <w:b w:val="0"/>
          <w:bCs w:val="0"/>
          <w:lang w:val="pt-BR"/>
        </w:rPr>
      </w:pPr>
    </w:p>
    <w:p w14:paraId="1DBA0086">
      <w:pPr>
        <w:jc w:val="both"/>
        <w:rPr>
          <w:rFonts w:hint="default"/>
          <w:b w:val="0"/>
          <w:bCs w:val="0"/>
          <w:lang w:val="pt-BR"/>
        </w:rPr>
      </w:pPr>
    </w:p>
    <w:p w14:paraId="44725EB8">
      <w:pPr>
        <w:jc w:val="both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4. Análise dos Outliers (4.38% do total)</w:t>
      </w:r>
    </w:p>
    <w:p w14:paraId="666D568E">
      <w:pPr>
        <w:jc w:val="both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 xml:space="preserve">Valores extremos: Preços por m² chegam a R$79k </w:t>
      </w:r>
    </w:p>
    <w:p w14:paraId="69351929">
      <w:pPr>
        <w:jc w:val="both"/>
        <w:rPr>
          <w:rFonts w:hint="default"/>
          <w:b w:val="0"/>
          <w:bCs w:val="0"/>
          <w:lang w:val="pt-BR"/>
        </w:rPr>
      </w:pPr>
    </w:p>
    <w:p w14:paraId="6E9A924E">
      <w:pPr>
        <w:jc w:val="both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Características comuns: Os outliers incluem tanto imóveis pequenos (20m²) quanto grandes (570m²)</w:t>
      </w:r>
    </w:p>
    <w:p w14:paraId="07DFEE46">
      <w:pPr>
        <w:jc w:val="both"/>
        <w:rPr>
          <w:rFonts w:hint="default"/>
          <w:b w:val="0"/>
          <w:bCs w:val="0"/>
          <w:lang w:val="pt-BR"/>
        </w:rPr>
      </w:pPr>
    </w:p>
    <w:p w14:paraId="6E80EB63">
      <w:pPr>
        <w:jc w:val="both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Possíveis causas:</w:t>
      </w:r>
    </w:p>
    <w:p w14:paraId="4D28C057">
      <w:pPr>
        <w:jc w:val="both"/>
        <w:rPr>
          <w:rFonts w:hint="default"/>
          <w:b w:val="0"/>
          <w:bCs w:val="0"/>
          <w:lang w:val="pt-BR"/>
        </w:rPr>
      </w:pPr>
    </w:p>
    <w:p w14:paraId="265D0F59">
      <w:pPr>
        <w:jc w:val="both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Imóveis em localizações premium</w:t>
      </w:r>
    </w:p>
    <w:p w14:paraId="32F0E4DB">
      <w:pPr>
        <w:jc w:val="both"/>
        <w:rPr>
          <w:rFonts w:hint="default"/>
          <w:b w:val="0"/>
          <w:bCs w:val="0"/>
          <w:lang w:val="pt-BR"/>
        </w:rPr>
      </w:pPr>
    </w:p>
    <w:p w14:paraId="0329B4D9">
      <w:pPr>
        <w:jc w:val="both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Imóveis com características especiais (luxo, histórico, etc.)</w:t>
      </w:r>
    </w:p>
    <w:p w14:paraId="425DFA64">
      <w:pPr>
        <w:jc w:val="both"/>
        <w:rPr>
          <w:rFonts w:hint="default"/>
          <w:b w:val="0"/>
          <w:bCs w:val="0"/>
          <w:lang w:val="pt-BR"/>
        </w:rPr>
      </w:pPr>
    </w:p>
    <w:p w14:paraId="45A0A273">
      <w:pPr>
        <w:jc w:val="both"/>
        <w:rPr>
          <w:rFonts w:hint="default"/>
          <w:b w:val="0"/>
          <w:bCs w:val="0"/>
          <w:lang w:val="pt-BR"/>
        </w:rPr>
      </w:pPr>
    </w:p>
    <w:p w14:paraId="4A4835F2">
      <w:pPr>
        <w:jc w:val="both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Segmentação de mercado clara: Duas distribuições distintas (até 1kk e acima de 1kk) sugerem mercados diferentes</w:t>
      </w:r>
    </w:p>
    <w:p w14:paraId="33AB15D8">
      <w:pPr>
        <w:jc w:val="both"/>
        <w:rPr>
          <w:rFonts w:hint="default"/>
          <w:b w:val="0"/>
          <w:bCs w:val="0"/>
          <w:lang w:val="pt-BR"/>
        </w:rPr>
      </w:pPr>
    </w:p>
    <w:p w14:paraId="110C7A69">
      <w:pPr>
        <w:jc w:val="both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Relação não linear: Preços por m² não crescem proporcionalmente ao valor total do imóvel</w:t>
      </w:r>
    </w:p>
    <w:p w14:paraId="66C293F6">
      <w:pPr>
        <w:jc w:val="both"/>
        <w:rPr>
          <w:rFonts w:hint="default"/>
          <w:b w:val="0"/>
          <w:bCs w:val="0"/>
          <w:lang w:val="pt-BR"/>
        </w:rPr>
      </w:pPr>
    </w:p>
    <w:p w14:paraId="4BA49F04">
      <w:pPr>
        <w:jc w:val="both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Oportunidade de limpeza: 4.38% de outliers podem distorcer análises e modelos preditivos</w:t>
      </w:r>
    </w:p>
    <w:p w14:paraId="32D519AE">
      <w:pPr>
        <w:jc w:val="both"/>
        <w:rPr>
          <w:rFonts w:hint="default"/>
          <w:b w:val="0"/>
          <w:bCs w:val="0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234A3"/>
    <w:rsid w:val="31E133FF"/>
    <w:rsid w:val="3502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2025-04-12T18:22:00Z</dcterms:created>
  <dc:creator>vini</dc:creator>
  <cp:lastModifiedBy>vini</cp:lastModifiedBy>
  <dcterms:modified xsi:type="dcterms:W3CDTF">2025-04-13T20:55:17Z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1046-12.2.0.20782</vt:lpwstr>
  </property>
  <property fmtid="{D5CDD505-2E9C-101B-9397-08002B2CF9AE}" pid="3" name="ICV">
    <vt:lpwstr>73BAA3F92430463F9143CC06A7E280B8_13</vt:lpwstr>
  </property>
</Properties>
</file>