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YaHei" w:eastAsia="Microsoft YaHei" w:hAnsi="Microsoft YaHei"/>
          <w:b/>
          <w:bCs/>
          <w:color w:val="2E5496"/>
          <w:sz w:val="40"/>
          <w:szCs w:val="40"/>
        </w:rPr>
        <w:t xml:space="preserve">AI 生成测试用例 POC</w:t>
      </w:r>
    </w:p>
    <w:p>
      <w:pPr>
        <w:spacing w:after="200"/>
      </w:pPr>
      <w:r>
        <w:rPr>
          <w:rFonts w:ascii="Microsoft YaHei" w:eastAsia="Microsoft YaHei" w:hAnsi="Microsoft YaHei"/>
          <w:b/>
          <w:bCs/>
          <w:color w:val="2E5496"/>
          <w:sz w:val="40"/>
          <w:szCs w:val="40"/>
        </w:rPr>
        <w:t xml:space="preserve">现状评估与改进方案</w:t>
      </w:r>
    </w:p>
    <w:p>
      <w:pPr>
        <w:spacing w:after="60" w:before="0" w:line="276"/>
      </w:pPr>
      <w:r>
        <w:rPr>
          <w:rFonts w:ascii="Microsoft YaHei" w:eastAsia="Microsoft YaHei" w:hAnsi="Microsoft YaHei"/>
          <w:b/>
          <w:bCs/>
        </w:rPr>
        <w:t xml:space="preserve">试点对象：</w:t>
      </w:r>
      <w:r>
        <w:rPr>
          <w:rFonts w:ascii="Microsoft YaHei" w:eastAsia="Microsoft YaHei" w:hAnsi="Microsoft YaHei"/>
        </w:rPr>
        <w:t xml:space="preserve">深圳前海联合交易中心《现货竞买和竞卖交易业务细则》（QME）</w:t>
      </w:r>
    </w:p>
    <w:p>
      <w:pPr>
        <w:spacing w:after="60" w:before="0" w:line="276"/>
      </w:pPr>
      <w:r>
        <w:rPr>
          <w:rFonts w:ascii="Microsoft YaHei" w:eastAsia="Microsoft YaHei" w:hAnsi="Microsoft YaHei"/>
          <w:b/>
          <w:bCs/>
        </w:rPr>
        <w:t xml:space="preserve">基准参照：</w:t>
      </w:r>
      <w:r>
        <w:rPr>
          <w:rFonts w:ascii="Microsoft YaHei" w:eastAsia="Microsoft YaHei" w:hAnsi="Microsoft YaHei"/>
        </w:rPr>
        <w:t xml:space="preserve">CTCS 真实回归用例库（17,666 条，竞价模块 1,363 条）</w:t>
      </w:r>
    </w:p>
    <w:p>
      <w:pPr>
        <w:spacing w:after="60" w:before="0" w:line="276"/>
      </w:pPr>
      <w:r>
        <w:rPr>
          <w:rFonts w:ascii="Microsoft YaHei" w:eastAsia="Microsoft YaHei" w:hAnsi="Microsoft YaHei"/>
          <w:b/>
          <w:bCs/>
        </w:rPr>
        <w:t xml:space="preserve">用途：</w:t>
      </w:r>
      <w:r>
        <w:rPr>
          <w:rFonts w:ascii="Microsoft YaHei" w:eastAsia="Microsoft YaHei" w:hAnsi="Microsoft YaHei"/>
        </w:rPr>
        <w:t xml:space="preserve">供评审与管理层参阅　|　日期：2026-06-18</w:t>
      </w:r>
    </w:p>
    <w:p>
      <w:pPr>
        <w:pBdr>
          <w:bottom w:val="single" w:color="2E5496" w:sz="12" w:space="4"/>
        </w:pBdr>
        <w:spacing w:after="200"/>
      </w:pPr>
      <w:r>
        <w:rPr>
          <w:rFonts w:ascii="Microsoft YaHei" w:eastAsia="Microsoft YaHei" w:hAnsi="Microsoft YaHei"/>
        </w:rPr>
        <w:t xml:space="preserve"/>
      </w:r>
    </w:p>
    <w:p>
      <w:pPr>
        <w:spacing w:after="100" w:before="0" w:line="276"/>
      </w:pPr>
      <w:r>
        <w:rPr>
          <w:rFonts w:ascii="Microsoft YaHei" w:eastAsia="Microsoft YaHei" w:hAnsi="Microsoft YaHei"/>
          <w:b/>
          <w:bCs/>
          <w:color w:val="2E5496"/>
          <w:sz w:val="26"/>
          <w:szCs w:val="26"/>
        </w:rPr>
        <w:t xml:space="preserve">目录</w:t>
      </w:r>
    </w:p>
    <w:p>
      <w:pPr>
        <w:spacing w:after="50" w:before="0" w:line="276"/>
        <w:ind w:left="240"/>
      </w:pPr>
      <w:r>
        <w:rPr>
          <w:rFonts w:ascii="Microsoft YaHei" w:eastAsia="Microsoft YaHei" w:hAnsi="Microsoft YaHei"/>
        </w:rPr>
        <w:t xml:space="preserve">1　执行摘要</w:t>
      </w:r>
    </w:p>
    <w:p>
      <w:pPr>
        <w:spacing w:after="50" w:before="0" w:line="276"/>
        <w:ind w:left="240"/>
      </w:pPr>
      <w:r>
        <w:rPr>
          <w:rFonts w:ascii="Microsoft YaHei" w:eastAsia="Microsoft YaHei" w:hAnsi="Microsoft YaHei"/>
        </w:rPr>
        <w:t xml:space="preserve">2　POC 现状速览</w:t>
      </w:r>
    </w:p>
    <w:p>
      <w:pPr>
        <w:spacing w:after="50" w:before="0" w:line="276"/>
        <w:ind w:left="240"/>
      </w:pPr>
      <w:r>
        <w:rPr>
          <w:rFonts w:ascii="Microsoft YaHei" w:eastAsia="Microsoft YaHei" w:hAnsi="Microsoft YaHei"/>
        </w:rPr>
        <w:t xml:space="preserve">3　做得好的、值得保留的部分</w:t>
      </w:r>
    </w:p>
    <w:p>
      <w:pPr>
        <w:spacing w:after="50" w:before="0" w:line="276"/>
        <w:ind w:left="240"/>
      </w:pPr>
      <w:r>
        <w:rPr>
          <w:rFonts w:ascii="Microsoft YaHei" w:eastAsia="Microsoft YaHei" w:hAnsi="Microsoft YaHei"/>
        </w:rPr>
        <w:t xml:space="preserve">4　核心问题诊断（G1–G7）</w:t>
      </w:r>
    </w:p>
    <w:p>
      <w:pPr>
        <w:spacing w:after="50" w:before="0" w:line="276"/>
        <w:ind w:left="240"/>
      </w:pPr>
      <w:r>
        <w:rPr>
          <w:rFonts w:ascii="Microsoft YaHei" w:eastAsia="Microsoft YaHei" w:hAnsi="Microsoft YaHei"/>
        </w:rPr>
        <w:t xml:space="preserve">5　改进路线图（P0–P5）</w:t>
      </w:r>
    </w:p>
    <w:p>
      <w:pPr>
        <w:spacing w:after="50" w:before="0" w:line="276"/>
        <w:ind w:left="240"/>
      </w:pPr>
      <w:r>
        <w:rPr>
          <w:rFonts w:ascii="Microsoft YaHei" w:eastAsia="Microsoft YaHei" w:hAnsi="Microsoft YaHei"/>
        </w:rPr>
        <w:t xml:space="preserve">6　建议的下一步（请决策）</w:t>
      </w:r>
    </w:p>
    <w:p>
      <w:pPr>
        <w:spacing w:after="50" w:before="0" w:line="276"/>
        <w:ind w:left="240"/>
      </w:pPr>
      <w:r>
        <w:rPr>
          <w:rFonts w:ascii="Microsoft YaHei" w:eastAsia="Microsoft YaHei" w:hAnsi="Microsoft YaHei"/>
        </w:rPr>
        <w:t xml:space="preserve">附录 A　AI 测试点 vs CTCS 真实用例 对照</w:t>
      </w:r>
    </w:p>
    <w:p>
      <w:pPr>
        <w:spacing w:after="50" w:before="0" w:line="276"/>
        <w:ind w:left="240"/>
      </w:pPr>
      <w:r>
        <w:rPr>
          <w:rFonts w:ascii="Microsoft YaHei" w:eastAsia="Microsoft YaHei" w:hAnsi="Microsoft YaHei"/>
        </w:rPr>
        <w:t xml:space="preserve">附录 B　当前产物与版本问题清单</w:t>
      </w:r>
    </w:p>
    <w:p>
      <w:pPr>
        <w:spacing w:after="120"/>
      </w:pPr>
      <w:r>
        <w:br/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1　执行摘要</w:t>
      </w:r>
    </w:p>
    <w:p>
      <w:pPr>
        <w:spacing w:after="120" w:before="0" w:line="276"/>
      </w:pPr>
      <w:r>
        <w:rPr>
          <w:rFonts w:ascii="Microsoft YaHei" w:eastAsia="Microsoft YaHei" w:hAnsi="Microsoft YaHei"/>
        </w:rPr>
        <w:t xml:space="preserve">本 POC 验证的命题是：能否用 AI 从一份业务规则文档自动生成软件测试用例。结论分两面——方法论这条链路是成立且做得相当规范的，但当前产物离“可交付、可执行的测试用例”还有明确差距，且部分指标的表述会让管理层高估成熟度。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2E5496" w:sz="6"/>
              <w:left w:val="single" w:color="2E5496" w:sz="6"/>
              <w:bottom w:val="single" w:color="2E5496" w:sz="6"/>
              <w:right w:val="single" w:color="2E5496" w:sz="6"/>
            </w:tcBorders>
            <w:shd w:fill="EAF0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  <w:b/>
                <w:bCs/>
              </w:rPr>
              <w:t xml:space="preserve">结论（一句话）：方法论与可追溯性已达到可展示水平，但产物目前是规则层的“测试点”，不是系统级测试用例；要让 POC 有说服力，下一步关键是用 CTCS 真实用例做基准量化召回率，并注入系统输入把用例做“实”。</w:t>
            </w:r>
          </w:p>
        </w:tc>
      </w:tr>
    </w:tbl>
    <w:p>
      <w:pPr>
        <w:spacing w:after="120"/>
      </w:pPr>
      <w:r>
        <w:rPr>
          <w:rFonts w:ascii="Microsoft YaHei" w:eastAsia="Microsoft YaHei" w:hAnsi="Microsoft YaHei"/>
        </w:rPr>
        <w:t xml:space="preserve"/>
      </w:r>
    </w:p>
    <w:p>
      <w:pPr>
        <w:spacing w:after="100" w:before="0" w:line="276"/>
      </w:pPr>
      <w:r>
        <w:rPr>
          <w:rFonts w:ascii="Microsoft YaHei" w:eastAsia="Microsoft YaHei" w:hAnsi="Microsoft YaHei"/>
        </w:rPr>
        <w:t xml:space="preserve">按维度给出的诚实判断如下：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0"/>
      </w:tblGrid>
      <w:tr>
        <w:trPr>
          <w:cantSplit/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  <w:b/>
                <w:bCs/>
                <w:color w:val="FFFFFF"/>
              </w:rPr>
              <w:t xml:space="preserve">维度</w:t>
            </w:r>
          </w:p>
        </w:tc>
        <w:tc>
          <w:tcPr>
            <w:tcW w:type="dxa" w:w="6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  <w:b/>
                <w:bCs/>
                <w:color w:val="FFFFFF"/>
              </w:rPr>
              <w:t xml:space="preserve">判断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  <w:b/>
                <w:bCs/>
              </w:rPr>
              <w:t xml:space="preserve">方法论 / 流程</w:t>
            </w:r>
          </w:p>
        </w:tc>
        <w:tc>
          <w:tcPr>
            <w:tcW w:type="dxa" w:w="6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0E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强。证据→需求→设计→生成→验证 的链路完整、纪律好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  <w:b/>
                <w:bCs/>
              </w:rPr>
              <w:t xml:space="preserve">可追溯性</w:t>
            </w:r>
          </w:p>
        </w:tc>
        <w:tc>
          <w:tcPr>
            <w:tcW w:type="dxa" w:w="6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0E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强。每条用例可回溯到条款/页码，含哈希校验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  <w:b/>
                <w:bCs/>
              </w:rPr>
              <w:t xml:space="preserve">反幻觉控制</w:t>
            </w:r>
          </w:p>
        </w:tc>
        <w:tc>
          <w:tcPr>
            <w:tcW w:type="dxa" w:w="6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0E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强。未把页面、按钮、金额、费率等无依据内容写成事实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  <w:b/>
                <w:bCs/>
              </w:rPr>
              <w:t xml:space="preserve">用例可执行性</w:t>
            </w:r>
          </w:p>
        </w:tc>
        <w:tc>
          <w:tcPr>
            <w:tcW w:type="dxa" w:w="6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E2E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弱。预期多为复述规则，缺具体步骤/数据/可判定断言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  <w:b/>
                <w:bCs/>
              </w:rPr>
              <w:t xml:space="preserve">指标表述</w:t>
            </w:r>
          </w:p>
        </w:tc>
        <w:tc>
          <w:tcPr>
            <w:tcW w:type="dxa" w:w="6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9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有误导性。“100% 覆盖”衡量的是内部一致性，非测试有效性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  <w:b/>
                <w:bCs/>
              </w:rPr>
              <w:t xml:space="preserve">系统测试面覆盖</w:t>
            </w:r>
          </w:p>
        </w:tc>
        <w:tc>
          <w:tcPr>
            <w:tcW w:type="dxa" w:w="6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E2E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弱。66 条规则测试点 vs 同业务 1,363 条真实用例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  <w:b/>
                <w:bCs/>
              </w:rPr>
              <w:t xml:space="preserve">产物治理</w:t>
            </w:r>
          </w:p>
        </w:tc>
        <w:tc>
          <w:tcPr>
            <w:tcW w:type="dxa" w:w="6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9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乱。QME/QH 两套 ID 并存、4+ 份重叠 Excel、残留锁文件</w:t>
            </w:r>
          </w:p>
        </w:tc>
      </w:tr>
    </w:tbl>
    <w:p>
      <w:pPr>
        <w:pStyle w:val="Heading1"/>
      </w:pPr>
      <w:r>
        <w:rPr>
          <w:rFonts w:ascii="Microsoft YaHei" w:eastAsia="Microsoft YaHei" w:hAnsi="Microsoft YaHei"/>
        </w:rPr>
        <w:t xml:space="preserve">2　POC 现状速览</w:t>
      </w:r>
    </w:p>
    <w:p>
      <w:pPr>
        <w:spacing w:after="120" w:before="0" w:line="276"/>
      </w:pPr>
      <w:r>
        <w:rPr>
          <w:rFonts w:ascii="Microsoft YaHei" w:eastAsia="Microsoft YaHei" w:hAnsi="Microsoft YaHei"/>
        </w:rPr>
        <w:t xml:space="preserve">整个 workbench 按阶段组织，从单一来源文档出发，逐层产出证据库、需求卡、覆盖设计、测试点草稿、验证报告，最终汇总为 Excel 产物：</w:t>
      </w:r>
    </w:p>
    <w:p>
      <w:pPr>
        <w:spacing w:after="140" w:before="0" w:line="276"/>
      </w:pPr>
      <w:r>
        <w:rPr>
          <w:rFonts w:ascii="Microsoft YaHei" w:eastAsia="Microsoft YaHei" w:hAnsi="Microsoft YaHei"/>
          <w:i/>
          <w:iCs/>
        </w:rPr>
        <w:t xml:space="preserve">证据（parsed） → 需求卡（requirements） → 覆盖与风险设计（design） → 测试点生成（generated） → 验证与缺口（validation） → 汇总产物（approved）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20"/>
        <w:gridCol w:w="4300"/>
      </w:tblGrid>
      <w:tr>
        <w:trPr>
          <w:cantSplit/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  <w:b/>
                <w:bCs/>
                <w:color w:val="FFFFFF"/>
              </w:rPr>
              <w:t xml:space="preserve">指标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  <w:b/>
                <w:bCs/>
                <w:color w:val="FFFFFF"/>
              </w:rPr>
              <w:t xml:space="preserve">数值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  <w:b/>
                <w:bCs/>
                <w:color w:val="FFFFFF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输入文档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1 份 PDF（10 页）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另引用 1 份方法论文档；多份外部管理办法/公告未提供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证据片段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47 条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按条/款切分，含页码、原文、SHA256 与 text_hash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需求卡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41 张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REQ-QME-001…041，含 actor/触发/规则/输入输出/置信度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测试点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66 条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TC-QME-001…066，高层用例（test conditions）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待确认（Needs Confirmation）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  <w:b/>
                <w:bCs/>
              </w:rPr>
              <w:t xml:space="preserve">21 条（约 32%）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实为开放问题，不宜计入“可交付用例”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需求覆盖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41 / 41 = 100%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指“被至少 1 条测试点引用”，非系统覆盖度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可执行自动化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0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本阶段未生成可运行脚本，Pass Rate 标注“不适用”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Excel 产物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4+ 份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v1 / merged / merged_v2(QH 体系) / 汇总版，相互重叠</w:t>
            </w:r>
          </w:p>
        </w:tc>
      </w:tr>
    </w:tbl>
    <w:p>
      <w:pPr>
        <w:pStyle w:val="Heading1"/>
      </w:pPr>
      <w:r>
        <w:rPr>
          <w:rFonts w:ascii="Microsoft YaHei" w:eastAsia="Microsoft YaHei" w:hAnsi="Microsoft YaHei"/>
        </w:rPr>
        <w:t xml:space="preserve">3　做得好的、值得保留的部分</w:t>
      </w:r>
    </w:p>
    <w:p>
      <w:pPr>
        <w:spacing w:after="120" w:before="0" w:line="276"/>
      </w:pPr>
      <w:r>
        <w:rPr>
          <w:rFonts w:ascii="Microsoft YaHei" w:eastAsia="Microsoft YaHei" w:hAnsi="Microsoft YaHei"/>
        </w:rPr>
        <w:t xml:space="preserve">这些是 POC 的真实亮点，改进时应保留而不是推倒：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Microsoft YaHei" w:eastAsia="Microsoft YaHei" w:hAnsi="Microsoft YaHei"/>
          <w:b/>
          <w:bCs/>
        </w:rPr>
        <w:t xml:space="preserve">可追溯性闭环：</w:t>
      </w:r>
      <w:r>
        <w:rPr>
          <w:rFonts w:ascii="Microsoft YaHei" w:eastAsia="Microsoft YaHei" w:hAnsi="Microsoft YaHei"/>
        </w:rPr>
        <w:t xml:space="preserve">每条用例都挂着 req_id 与 evidence_id，可一路回到 PDF 的具体条款、页码和原文片段，并用哈希锁定来源版本。这是多数人工用例库都做不到的。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Microsoft YaHei" w:eastAsia="Microsoft YaHei" w:hAnsi="Microsoft YaHei"/>
          <w:b/>
          <w:bCs/>
        </w:rPr>
        <w:t xml:space="preserve">反幻觉纪律：</w:t>
      </w:r>
      <w:r>
        <w:rPr>
          <w:rFonts w:ascii="Microsoft YaHei" w:eastAsia="Microsoft YaHei" w:hAnsi="Microsoft YaHei"/>
        </w:rPr>
        <w:t xml:space="preserve">显式拒绝了 5 类无依据写法（固定页面按钮名、担保金额公式、手续费费率、结算交收细节、违约处罚明细），把缺实现细节的项标为 Needs Confirmation，而不是编造。方向完全正确。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Microsoft YaHei" w:eastAsia="Microsoft YaHei" w:hAnsi="Microsoft YaHei"/>
          <w:b/>
          <w:bCs/>
        </w:rPr>
        <w:t xml:space="preserve">覆盖与设计技术模型：</w:t>
      </w:r>
      <w:r>
        <w:rPr>
          <w:rFonts w:ascii="Microsoft YaHei" w:eastAsia="Microsoft YaHei" w:hAnsi="Microsoft YaHei"/>
        </w:rPr>
        <w:t xml:space="preserve">按需求类型选择等价类/边界值/决策表/状态迁移/场景法，并对涉及资金、权限、合同的需求上提为 P0，正负向与边界分布有据可依。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Microsoft YaHei" w:eastAsia="Microsoft YaHei" w:hAnsi="Microsoft YaHei"/>
          <w:b/>
          <w:bCs/>
        </w:rPr>
        <w:t xml:space="preserve">需求全覆盖：</w:t>
      </w:r>
      <w:r>
        <w:rPr>
          <w:rFonts w:ascii="Microsoft YaHei" w:eastAsia="Microsoft YaHei" w:hAnsi="Microsoft YaHei"/>
        </w:rPr>
        <w:t xml:space="preserve">41 张需求卡 100% 被测试点引用，没有遗漏的规则条款。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4　核心问题诊断（G1–G7）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520"/>
        <w:gridCol w:w="1600"/>
      </w:tblGrid>
      <w:tr>
        <w:trPr>
          <w:cantSplit/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  <w:b/>
                <w:bCs/>
                <w:color w:val="FFFFFF"/>
              </w:rPr>
              <w:t xml:space="preserve">编号</w:t>
            </w:r>
          </w:p>
        </w:tc>
        <w:tc>
          <w:tcPr>
            <w:tcW w:type="dxa" w:w="6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  <w:b/>
                <w:bCs/>
                <w:color w:val="FFFFFF"/>
              </w:rPr>
              <w:t xml:space="preserve">问题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  <w:b/>
                <w:bCs/>
                <w:color w:val="FFFFFF"/>
              </w:rPr>
              <w:t xml:space="preserve">严重度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G1</w:t>
            </w:r>
          </w:p>
        </w:tc>
        <w:tc>
          <w:tcPr>
            <w:tcW w:type="dxa" w:w="6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用例停留在“测试点”层级，不可执行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E2E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  <w:b/>
                <w:bCs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G2</w:t>
            </w:r>
          </w:p>
        </w:tc>
        <w:tc>
          <w:tcPr>
            <w:tcW w:type="dxa" w:w="6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关键指标具有误导性（“100%”≠测试有效性）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E2E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  <w:b/>
                <w:bCs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G3</w:t>
            </w:r>
          </w:p>
        </w:tc>
        <w:tc>
          <w:tcPr>
            <w:tcW w:type="dxa" w:w="6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与系统真实测试面差距大（66 vs 1,363）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E2E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  <w:b/>
                <w:bCs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G4</w:t>
            </w:r>
          </w:p>
        </w:tc>
        <w:tc>
          <w:tcPr>
            <w:tcW w:type="dxa" w:w="6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约 32% 用例为 Needs Confirmation，实为开放问题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9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  <w:b/>
                <w:bCs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G5</w:t>
            </w:r>
          </w:p>
        </w:tc>
        <w:tc>
          <w:tcPr>
            <w:tcW w:type="dxa" w:w="6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版本与 ID 体系混乱（QME/QH 双体系、重叠 Excel）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9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  <w:b/>
                <w:bCs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G6</w:t>
            </w:r>
          </w:p>
        </w:tc>
        <w:tc>
          <w:tcPr>
            <w:tcW w:type="dxa" w:w="6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未对齐公司规范与 gold standard（无召回/新增基准）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9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  <w:b/>
                <w:bCs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G7</w:t>
            </w:r>
          </w:p>
        </w:tc>
        <w:tc>
          <w:tcPr>
            <w:tcW w:type="dxa" w:w="6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单一文档输入封顶了可达质量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9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  <w:b/>
                <w:bCs/>
              </w:rPr>
              <w:t xml:space="preserve">中</w:t>
            </w:r>
          </w:p>
        </w:tc>
      </w:tr>
    </w:tbl>
    <w:p>
      <w:pPr>
        <w:spacing w:after="100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G1　用例停留在“测试点”层级，不可执行</w:t>
      </w:r>
    </w:p>
    <w:p>
      <w:pPr>
        <w:spacing w:after="120" w:before="0" w:line="276"/>
      </w:pPr>
      <w:r>
        <w:rPr>
          <w:rFonts w:ascii="Microsoft YaHei" w:eastAsia="Microsoft YaHei" w:hAnsi="Microsoft YaHei"/>
        </w:rPr>
        <w:t xml:space="preserve">现象：多数用例的“预期结果”是把业务细则原文换种说法复述（如 TC-QME-012 的预期＝“加价竞买应以初始价为起点……按最小加价幅度整倍数加价回应”），步骤是“检查……是否……”，没有具体页面入口、测试数据和可判定（pass/fail）的断言。</w:t>
      </w:r>
    </w:p>
    <w:p>
      <w:pPr>
        <w:spacing w:after="120" w:before="0" w:line="276"/>
      </w:pPr>
      <w:r>
        <w:rPr>
          <w:rFonts w:ascii="Microsoft YaHei" w:eastAsia="Microsoft YaHei" w:hAnsi="Microsoft YaHei"/>
        </w:rPr>
        <w:t xml:space="preserve">影响：评审者无法据此直接执行，QA 仍需逐条二次设计；与 CTCS 真实用例（明确到“报价值 ≤ 初始价＋最大价格变动幅度、增量为最小变动幅度的整数倍”）相比，落地性差一个量级。</w:t>
      </w:r>
    </w:p>
    <w:p>
      <w:pPr>
        <w:spacing w:after="120" w:before="0" w:line="276"/>
      </w:pPr>
      <w:r>
        <w:rPr>
          <w:rFonts w:ascii="Microsoft YaHei" w:eastAsia="Microsoft YaHei" w:hAnsi="Microsoft YaHei"/>
          <w:b/>
          <w:bCs/>
        </w:rPr>
        <w:t xml:space="preserve">根因（部分客观）：</w:t>
      </w:r>
      <w:r>
        <w:rPr>
          <w:rFonts w:ascii="Microsoft YaHei" w:eastAsia="Microsoft YaHei" w:hAnsi="Microsoft YaHei"/>
        </w:rPr>
        <w:t xml:space="preserve">来源是业务规则文档，本身不含系统页面/字段/接口，因此只能产出规则级测试点。这不是模型能力问题，而是输入不足——见 G7。</w:t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G2　关键指标具有误导性</w:t>
      </w:r>
    </w:p>
    <w:p>
      <w:pPr>
        <w:spacing w:after="120" w:before="0" w:line="276"/>
      </w:pPr>
      <w:r>
        <w:rPr>
          <w:rFonts w:ascii="Microsoft YaHei" w:eastAsia="Microsoft YaHei" w:hAnsi="Microsoft YaHei"/>
        </w:rPr>
        <w:t xml:space="preserve">现象：poc_metrics 与验证报告突出“Traceability 100%、Requirement Coverage 100%”，而真正重要的 Validity（有效性）标注为“待人工评审”。</w:t>
      </w:r>
    </w:p>
    <w:p>
      <w:pPr>
        <w:spacing w:after="120" w:before="0" w:line="276"/>
      </w:pPr>
      <w:r>
        <w:rPr>
          <w:rFonts w:ascii="Microsoft YaHei" w:eastAsia="Microsoft YaHei" w:hAnsi="Microsoft YaHei"/>
        </w:rPr>
        <w:t xml:space="preserve">影响：管理层容易把“100%”读成“测试已覆盖系统的 100%”。实际上它只表示“从这一份 PDF 抽取的 41 条需求都被引用了”，既不代表测试有效，也不代表系统被覆盖。建议把指标拆成两类分别汇报：内部一致性（已达成）与 测试有效性 / 系统覆盖度（待验证）。</w:t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G3　与系统真实测试面差距大</w:t>
      </w:r>
    </w:p>
    <w:p>
      <w:pPr>
        <w:spacing w:after="120" w:before="0" w:line="276"/>
      </w:pPr>
      <w:r>
        <w:rPr>
          <w:rFonts w:ascii="Microsoft YaHei" w:eastAsia="Microsoft YaHei" w:hAnsi="Microsoft YaHei"/>
        </w:rPr>
        <w:t xml:space="preserve">把同一块竞价业务横向一比就很直观：本 POC 66 条规则测试点，而 CTCS 竞价模块有 1,363 条真实用例。真实库里大量内容根本不在这份业务细则里，却是系统必须测的——例如费用扣补（186 条）、履约担保金按定额/成交比例/成交定额（61 条）、多档报价（31 条）、最小回应人数（52 条）、并发（30 条）、安全要求（33 条）以及大量前/后台 UI 与查询用例。</w:t>
      </w:r>
    </w:p>
    <w:p>
      <w:pPr>
        <w:spacing w:after="120" w:before="0" w:line="276"/>
      </w:pPr>
      <w:r>
        <w:rPr>
          <w:rFonts w:ascii="Microsoft YaHei" w:eastAsia="Microsoft YaHei" w:hAnsi="Microsoft YaHei"/>
        </w:rPr>
        <w:t xml:space="preserve">影响：仅凭业务细则，AI 触及的是系统测试面的一小片。这进一步说明 POC 的价值主张应从“替代人工写用例”收敛为“把需求分析到测试点这一步做快、做全、做可追溯”。</w:t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G4　约 32% 用例为 Needs Confirmation</w:t>
      </w:r>
    </w:p>
    <w:p>
      <w:pPr>
        <w:spacing w:after="120" w:before="0" w:line="276"/>
      </w:pPr>
      <w:r>
        <w:rPr>
          <w:rFonts w:ascii="Microsoft YaHei" w:eastAsia="Microsoft YaHei" w:hAnsi="Microsoft YaHei"/>
        </w:rPr>
        <w:t xml:space="preserve">66 条里 21 条需确认，本质是抛给业务/产品的开放问题（如无效报价系统如何处理、非公开方案可见角色、担保配置在哪维护）。它们有价值，但应作为待澄清清单（backlog）单独管理，而不是计入“已生成用例”的分母，否则交付口径虚高。</w:t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G5　版本与 ID 体系混乱</w:t>
      </w:r>
    </w:p>
    <w:p>
      <w:pPr>
        <w:spacing w:after="120" w:before="0" w:line="276"/>
      </w:pPr>
      <w:r>
        <w:rPr>
          <w:rFonts w:ascii="Microsoft YaHei" w:eastAsia="Microsoft YaHei" w:hAnsi="Microsoft YaHei"/>
        </w:rPr>
        <w:t xml:space="preserve">approved/ 下并存多份重叠产物：test_cases_v1、merged_test_cases（87 行）、merged_test_cases_v2（91 行，且用的是另一套 TC-QH / REQ-002 / QH-RULE 体系）、以及 8 sheet 的汇总版，外加若干 ~$ 锁文件。两套需求/证据/用例 ID 体系并存，说明有两次未受治理的生成被混在一起，没有“单一事实来源”。</w:t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G6　未对齐公司规范与 gold standard</w:t>
      </w:r>
    </w:p>
    <w:p>
      <w:pPr>
        <w:spacing w:after="120" w:before="0" w:line="276"/>
      </w:pPr>
      <w:r>
        <w:rPr>
          <w:rFonts w:ascii="Microsoft YaHei" w:eastAsia="Microsoft YaHei" w:hAnsi="Microsoft YaHei"/>
        </w:rPr>
        <w:t xml:space="preserve">AI 的字段（tc_id/req_ids/design_technique/confidence…）与 CTCS 规范（所属模块/功能点/案例类型/优先级/升级测试…）不一致，评审需要心算对照。更关键的是：你们手里就有 gold standard（1,363 条真实竞价用例），但 POC 从未据此做基准——没有量化“AI 重现了多少人工用例（召回率）、提出了多少有效新用例（新增率）、评审通过率多少（精确率）”。这恰恰是 POC 最有说服力的证据，目前缺失。</w:t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G7　单一文档输入封顶了可达质量</w:t>
      </w:r>
    </w:p>
    <w:p>
      <w:pPr>
        <w:spacing w:after="120" w:before="0" w:line="276"/>
      </w:pPr>
      <w:r>
        <w:rPr>
          <w:rFonts w:ascii="Microsoft YaHei" w:eastAsia="Microsoft YaHei" w:hAnsi="Microsoft YaHei"/>
        </w:rPr>
        <w:t xml:space="preserve">只摄取了一份 PDF，而细则中大量执行细节显式 deferred 到外部文件——《结算业务管理办法》《交收业务管理办法》《违规违约管理办法》以及每场“公告”。这些没有提供，担保金额、费率、违约金、结算交收等就只能停在“引用关系”层面。输入不补齐，质量天花板就锁死在规则层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5　改进路线图（P0–P5）</w:t>
      </w:r>
    </w:p>
    <w:p>
      <w:pPr>
        <w:spacing w:after="120" w:before="0" w:line="276"/>
      </w:pPr>
      <w:r>
        <w:rPr>
          <w:rFonts w:ascii="Microsoft YaHei" w:eastAsia="Microsoft YaHei" w:hAnsi="Microsoft YaHei"/>
        </w:rPr>
        <w:t xml:space="preserve">按“先治理、再诚实化、后做实”的次序推进。P0–P2 投入小、见效快，建议优先；P3–P5 需要业务侧补充输入。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60"/>
        <w:gridCol w:w="2560"/>
        <w:gridCol w:w="1000"/>
      </w:tblGrid>
      <w:tr>
        <w:trPr>
          <w:cantSplit/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  <w:b/>
                <w:bCs/>
                <w:color w:val="FFFFFF"/>
              </w:rPr>
              <w:t xml:space="preserve">阶段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  <w:b/>
                <w:bCs/>
                <w:color w:val="FFFFFF"/>
              </w:rPr>
              <w:t xml:space="preserve">关键动作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  <w:b/>
                <w:bCs/>
                <w:color w:val="FFFFFF"/>
              </w:rPr>
              <w:t xml:space="preserve">产出与价值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  <w:b/>
                <w:bCs/>
                <w:color w:val="FFFFFF"/>
              </w:rPr>
              <w:t xml:space="preserve">工作量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  <w:b/>
                <w:bCs/>
              </w:rPr>
              <w:t xml:space="preserve">P0　治理收敛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统一为单一 ID 体系（QME）；归档/删除 v2(QH) 与重复 Excel、清理锁文件；确立唯一权威工作簿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一套干净、唯一的事实来源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  <w:b/>
                <w:bCs/>
              </w:rPr>
              <w:t xml:space="preserve">小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  <w:b/>
                <w:bCs/>
              </w:rPr>
              <w:t xml:space="preserve">P1　指标诚实化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把指标拆为“内部一致性（已达）”与“测试有效性/系统覆盖（待验）”；明确分母口径（剔除 Needs Confirmation）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给管理层正确预期，避免高估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  <w:b/>
                <w:bCs/>
              </w:rPr>
              <w:t xml:space="preserve">小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  <w:b/>
                <w:bCs/>
              </w:rPr>
              <w:t xml:space="preserve">P2　对标 CTCS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用 1,363 条竞价真实用例做基准，量化召回率 / 新增有效用例 / 评审通过率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POC 最有说服力的证据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  <w:b/>
                <w:bCs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  <w:b/>
                <w:bCs/>
              </w:rPr>
              <w:t xml:space="preserve">P3　用例可执行化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两层模型：规则测试点（可追溯）＋ 注入系统输入后实例化为含步骤/数据/断言的具体用例；Needs Confirmation 转 BA 待办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可被 QA 直接执行的用例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  <w:b/>
                <w:bCs/>
              </w:rPr>
              <w:t xml:space="preserve">大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  <w:b/>
                <w:bCs/>
              </w:rPr>
              <w:t xml:space="preserve">P4　规范化输出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产出一份 Excel：CTCS 列（所属模块/功能点/案例类型/优先级）＋ 追溯列（需求ID/证据ID）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团队可直接接收的交付物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  <w:b/>
                <w:bCs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  <w:b/>
                <w:bCs/>
              </w:rPr>
              <w:t xml:space="preserve">P5　自动化试点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选约 10 条可断言 P0（报价步长、成交门槛边界、权限准入）写可执行断言，跑出真实 Pass Rate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用真实数字证明可自动化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  <w:b/>
                <w:bCs/>
              </w:rPr>
              <w:t xml:space="preserve">中</w:t>
            </w:r>
          </w:p>
        </w:tc>
      </w:tr>
    </w:tbl>
    <w:p>
      <w:pPr>
        <w:pStyle w:val="Heading1"/>
      </w:pPr>
      <w:r>
        <w:rPr>
          <w:rFonts w:ascii="Microsoft YaHei" w:eastAsia="Microsoft YaHei" w:hAnsi="Microsoft YaHei"/>
        </w:rPr>
        <w:t xml:space="preserve">6　建议的下一步（请决策）</w:t>
      </w:r>
    </w:p>
    <w:p>
      <w:pPr>
        <w:spacing w:after="60" w:before="0" w:line="276"/>
      </w:pPr>
      <w:r>
        <w:rPr>
          <w:rFonts w:ascii="Microsoft YaHei" w:eastAsia="Microsoft YaHei" w:hAnsi="Microsoft YaHei"/>
          <w:b/>
          <w:bCs/>
        </w:rPr>
        <w:t xml:space="preserve">我可以立即代做（无需额外输入）：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Microsoft YaHei" w:eastAsia="Microsoft YaHei" w:hAnsi="Microsoft YaHei"/>
        </w:rPr>
        <w:t xml:space="preserve">P0：把现有产物清理、合并为单一权威 Excel（统一 QME 体系，套 CTCS 列＋追溯列）。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Microsoft YaHei" w:eastAsia="Microsoft YaHei" w:hAnsi="Microsoft YaHei"/>
        </w:rPr>
        <w:t xml:space="preserve">P2：基于已有的 1,363 条 CTCS 竞价用例做对标分析，量化 AI 的召回率与新增有效用例，产出对标报告。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Microsoft YaHei" w:eastAsia="Microsoft YaHei" w:hAnsi="Microsoft YaHei"/>
        </w:rPr>
        <w:t xml:space="preserve">把第 5 节路线图扩写为一份独立的《方法论与落地方案》文档，或做成给管理层的 PPT。</w:t>
      </w:r>
    </w:p>
    <w:p>
      <w:pPr>
        <w:spacing w:after="60" w:before="0" w:line="276"/>
      </w:pPr>
      <w:r>
        <w:rPr>
          <w:rFonts w:ascii="Microsoft YaHei" w:eastAsia="Microsoft YaHei" w:hAnsi="Microsoft YaHei"/>
          <w:b/>
          <w:bCs/>
        </w:rPr>
        <w:t xml:space="preserve">需要你们提供（以解锁 P3–P5 的质量上限）：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Microsoft YaHei" w:eastAsia="Microsoft YaHei" w:hAnsi="Microsoft YaHei"/>
        </w:rPr>
        <w:t xml:space="preserve">系统侧输入：场次创建字段清单 / 公告模板 / 相关管理办法，使用例可实例化为具体步骤与断言。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Microsoft YaHei" w:eastAsia="Microsoft YaHei" w:hAnsi="Microsoft YaHei"/>
        </w:rPr>
        <w:t xml:space="preserve">确认事项：是否统一为 QME 体系；用例风格以“CTCS 列＋追溯列”为基准是否可行。</w:t>
      </w:r>
    </w:p>
    <w:p>
      <w:pPr>
        <w:spacing w:after="60"/>
      </w:pPr>
      <w:r>
        <w:rPr>
          <w:rFonts w:ascii="Microsoft YaHei" w:eastAsia="Microsoft YaHei" w:hAnsi="Microsoft YaHei"/>
        </w:rPr>
        <w:t xml:space="preserve"/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2E5496" w:sz="6"/>
              <w:left w:val="single" w:color="2E5496" w:sz="6"/>
              <w:bottom w:val="single" w:color="2E5496" w:sz="6"/>
              <w:right w:val="single" w:color="2E5496" w:sz="6"/>
            </w:tcBorders>
            <w:shd w:fill="FBE9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建议优先级：先做 P0（治理）＋ P2（对标）。它们投入最小，且对标结果能直接回答管理层最关心的问题——“AI 到底能顶多少人工用例”。等你确认，我就开工。</w:t>
            </w:r>
          </w:p>
        </w:tc>
      </w:tr>
    </w:tbl>
    <w:p>
      <w:pPr>
        <w:pStyle w:val="Heading1"/>
        <w:pageBreakBefore/>
      </w:pPr>
      <w:r>
        <w:rPr>
          <w:rFonts w:ascii="Microsoft YaHei" w:eastAsia="Microsoft YaHei" w:hAnsi="Microsoft YaHei"/>
        </w:rPr>
        <w:t xml:space="preserve">附录 A　AI 测试点 vs CTCS 真实用例 对照</w:t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A.1　字段 / 结构对照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60"/>
        <w:gridCol w:w="3560"/>
      </w:tblGrid>
      <w:tr>
        <w:trPr>
          <w:cantSplit/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  <w:b/>
                <w:bCs/>
                <w:color w:val="FFFFFF"/>
              </w:rPr>
              <w:t xml:space="preserve">维度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  <w:b/>
                <w:bCs/>
                <w:color w:val="FFFFFF"/>
              </w:rPr>
              <w:t xml:space="preserve">CTCS 真实用例库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  <w:b/>
                <w:bCs/>
                <w:color w:val="FFFFFF"/>
              </w:rPr>
              <w:t xml:space="preserve">本 POC（AI 生成）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核心字段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所属模块、功能点、用例名称、前置条件、测试步骤、预期、优先级、案例类型、升级测试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tc_id、feature、precondition、steps、expected_result、test_type、risk_level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治理字段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创建者、版本号、备注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review_status、confidence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追溯字段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相关需求（自由文本）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0E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req_ids、evidence_ids（结构化、可回溯到条款）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方法字段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（无）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design_technique、automation_hint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优先级口径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1 / 2 / 3 / 4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P0 / P1 / P2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案例分类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查询类/核心流程/异常分支/权限控制类/边界值/并发/安全要求…（运营视角，12 类）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正向/反向/边界/权限/合规…（设计视角）</w:t>
            </w:r>
          </w:p>
        </w:tc>
      </w:tr>
    </w:tbl>
    <w:p>
      <w:pPr>
        <w:spacing w:after="120" w:before="80" w:line="276"/>
      </w:pPr>
      <w:r>
        <w:rPr>
          <w:rFonts w:ascii="Microsoft YaHei" w:eastAsia="Microsoft YaHei" w:hAnsi="Microsoft YaHei"/>
          <w:b/>
          <w:bCs/>
        </w:rPr>
        <w:t xml:space="preserve">要点：</w:t>
      </w:r>
      <w:r>
        <w:rPr>
          <w:rFonts w:ascii="Microsoft YaHei" w:eastAsia="Microsoft YaHei" w:hAnsi="Microsoft YaHei"/>
        </w:rPr>
        <w:t xml:space="preserve">AI 在“追溯/方法”维度更强，CTCS 在“运营分类/治理/落地”维度更全。理想做法是合并两者长处——CTCS 列为主，叠加 AI 的追溯列。</w:t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A.2　粒度对照（同为“加价/报价”规则）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60"/>
        <w:gridCol w:w="3760"/>
      </w:tblGrid>
      <w:tr>
        <w:trPr>
          <w:cantSplit/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  <w:b/>
                <w:bCs/>
                <w:color w:val="FFFFFF"/>
              </w:rPr>
              <w:t xml:space="preserve">对比项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  <w:b/>
                <w:bCs/>
                <w:color w:val="FFFFFF"/>
              </w:rPr>
              <w:t xml:space="preserve">CTCS 真实用例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  <w:b/>
                <w:bCs/>
                <w:color w:val="FFFFFF"/>
              </w:rPr>
              <w:t xml:space="preserve">本 POC 用例（TC-QME-012）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名称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前台-未结束的场次，报价报量逻辑校验（单价竞买）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加价竞买报价（正向/边界）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步骤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进入竞买竞卖-未结束的场次 → 点击“参加交易”→ 进入“报价报量”页面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竞买方提交报价 105 和对应数量；检查回应是否被判为有效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预期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0E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报价：第一次默认初始价，只可增加，增量为最小价格变动幅度的整数倍，报价值 ≤ 初始价＋最大价格变动幅度；后续报价默认上次报价值，规则同上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E2E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“加价竞买应以初始价为起点，由低至高按最小加价幅度整倍数加价回应，并可按公告报对应数量”（复述规则）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可执行性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可直接执行（有入口、有边界、有判定）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需二次设计（无系统入口与可判定断言）</w:t>
            </w:r>
          </w:p>
        </w:tc>
      </w:tr>
    </w:tbl>
    <w:p>
      <w:pPr>
        <w:pStyle w:val="Heading3"/>
      </w:pPr>
      <w:r>
        <w:rPr>
          <w:rFonts w:ascii="Microsoft YaHei" w:eastAsia="Microsoft YaHei" w:hAnsi="Microsoft YaHei"/>
        </w:rPr>
        <w:t xml:space="preserve">A.3　范围 / 数量对照（竞价业务）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460"/>
        <w:gridCol w:w="3460"/>
      </w:tblGrid>
      <w:tr>
        <w:trPr>
          <w:cantSplit/>
          <w:tblHeader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  <w:b/>
                <w:bCs/>
                <w:color w:val="FFFFFF"/>
              </w:rPr>
              <w:t xml:space="preserve">指标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  <w:b/>
                <w:bCs/>
                <w:color w:val="FFFFFF"/>
              </w:rPr>
              <w:t xml:space="preserve">CTCS 竞价模块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  <w:b/>
                <w:bCs/>
                <w:color w:val="FFFFFF"/>
              </w:rPr>
              <w:t xml:space="preserve">本 POC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用例数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1,363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66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优先级分布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P1 247 / P2 211 / P3 482 / P4 423（以中低优先级、细颗粒为主）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P0 47 / P1 18 / P2 1（几乎全压到 P0）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覆盖的功能点（示例）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费用扣补、场次管理、履约担保金、多档报价、最小回应人数、有效出价、招投标/拍卖规则、成交查询…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交易模式、报价步长、成交门槛、资质/担保前置、权限准入、合同签署…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文档外但系统必测的内容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担保金额算法、费率、并发、安全、UI/查询大量覆盖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9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多为 Rejected 或 Needs Confirmation（因 PDF 无依据）</w:t>
            </w:r>
          </w:p>
        </w:tc>
      </w:tr>
    </w:tbl>
    <w:p>
      <w:pPr>
        <w:spacing w:after="120" w:before="80" w:line="276"/>
      </w:pPr>
      <w:r>
        <w:rPr>
          <w:rFonts w:ascii="Microsoft YaHei" w:eastAsia="Microsoft YaHei" w:hAnsi="Microsoft YaHei"/>
          <w:b/>
          <w:bCs/>
        </w:rPr>
        <w:t xml:space="preserve">说明：</w:t>
      </w:r>
      <w:r>
        <w:rPr>
          <w:rFonts w:ascii="Microsoft YaHei" w:eastAsia="Microsoft YaHei" w:hAnsi="Microsoft YaHei"/>
        </w:rPr>
        <w:t xml:space="preserve">两者并非一一对应（CTCS 是既有系统的历史库，QME 是新规则），不能简单相减；但数量级与颗粒度差异，足以说明“仅靠业务细则”能触及的测试面有限。</w:t>
      </w:r>
    </w:p>
    <w:p>
      <w:pPr>
        <w:pStyle w:val="Heading1"/>
        <w:pageBreakBefore/>
      </w:pPr>
      <w:r>
        <w:rPr>
          <w:rFonts w:ascii="Microsoft YaHei" w:eastAsia="Microsoft YaHei" w:hAnsi="Microsoft YaHei"/>
        </w:rPr>
        <w:t xml:space="preserve">附录 B　当前产物与版本问题清单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60"/>
        <w:gridCol w:w="2360"/>
      </w:tblGrid>
      <w:tr>
        <w:trPr>
          <w:cantSplit/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  <w:b/>
                <w:bCs/>
                <w:color w:val="FFFFFF"/>
              </w:rPr>
              <w:t xml:space="preserve">文件（approved/）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  <w:b/>
                <w:bCs/>
                <w:color w:val="FFFFFF"/>
              </w:rPr>
              <w:t xml:space="preserve">内容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  <w:b/>
                <w:bCs/>
                <w:color w:val="FFFFFF"/>
              </w:rPr>
              <w:t xml:space="preserve">问题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test_cases_v1.xlsx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66 条 QME 用例，7 个 sheet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早期版本，与后续 merged 重叠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merged_test_cases.xlsx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87 行，含 source=test_cases_v1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合并中间态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merged_test_cases_v2.xlsx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91 行，TC-QH / REQ-002 / QH-RULE 体系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E2E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第二套 ID 体系，与 QME 冲突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AI生成测试用例_前海现货竞买竞卖业务细则.xlsx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8 sheet 汇总版（Summary/Evidence/…/Traceability）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结构最全，宜作为整合基底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~$*.xlsx（3 个）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Excel 锁文件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9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应删除，属临时残留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CTCS_回归测试案例20260520.xlsx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真实回归库 17,666 条 / 10 模块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eastAsia="Microsoft YaHei" w:hAnsi="Microsoft YaHei"/>
              </w:rPr>
              <w:t xml:space="preserve">基准参照，勿混入 AI 产物</w:t>
            </w:r>
          </w:p>
        </w:tc>
      </w:tr>
    </w:tbl>
    <w:p>
      <w:pPr>
        <w:spacing w:after="120" w:before="80" w:line="276"/>
      </w:pPr>
      <w:r>
        <w:rPr>
          <w:rFonts w:ascii="Microsoft YaHei" w:eastAsia="Microsoft YaHei" w:hAnsi="Microsoft YaHei"/>
          <w:b/>
          <w:bCs/>
        </w:rPr>
        <w:t xml:space="preserve">建议：</w:t>
      </w:r>
      <w:r>
        <w:rPr>
          <w:rFonts w:ascii="Microsoft YaHei" w:eastAsia="Microsoft YaHei" w:hAnsi="Microsoft YaHei"/>
        </w:rPr>
        <w:t xml:space="preserve">以 8-sheet 汇总版为基底，统一为 QME 体系，归档其余版本，保留 CTCS 库仅作基准。</w:t>
      </w:r>
    </w:p>
    <w:p>
      <w:pPr>
        <w:spacing w:after="160"/>
      </w:pPr>
      <w:r>
        <w:rPr>
          <w:rFonts w:ascii="Microsoft YaHei" w:eastAsia="Microsoft YaHei" w:hAnsi="Microsoft YaHei"/>
        </w:rPr>
        <w:t xml:space="preserve"/>
      </w:r>
    </w:p>
    <w:p>
      <w:pPr>
        <w:pBdr>
          <w:top w:val="single" w:color="2E5496" w:sz="6" w:space="4"/>
        </w:pBdr>
        <w:spacing w:after="40" w:before="100"/>
      </w:pPr>
      <w:r>
        <w:rPr>
          <w:rFonts w:ascii="Microsoft YaHei" w:eastAsia="Microsoft YaHei" w:hAnsi="Microsoft YaHei"/>
        </w:rPr>
        <w:t xml:space="preserve"/>
      </w:r>
    </w:p>
    <w:p>
      <w:pPr>
        <w:spacing w:after="120" w:before="0" w:line="276"/>
      </w:pPr>
      <w:r>
        <w:rPr>
          <w:rFonts w:ascii="Microsoft YaHei" w:eastAsia="Microsoft YaHei" w:hAnsi="Microsoft YaHei"/>
          <w:i/>
          <w:iCs/>
          <w:color w:val="666666"/>
          <w:sz w:val="18"/>
          <w:szCs w:val="18"/>
        </w:rPr>
        <w:t xml:space="preserve">本文件为对现有 POC 的评估与改进建议，不修改你们的原始产物；待确认方向后再据此重做用例与文档。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eastAsia="Microsoft YaHei" w:hAnsi="Microsoft YaHei"/>
        <w:color w:val="999999"/>
        <w:sz w:val="18"/>
        <w:szCs w:val="18"/>
      </w:rPr>
      <w:t xml:space="preserve">第 </w:t>
    </w:r>
    <w:r>
      <w:rPr>
        <w:rFonts w:ascii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eastAsia="Microsoft YaHei" w:hAnsi="Microsoft YaHei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Microsoft YaHei" w:eastAsia="Microsoft YaHei" w:hAnsi="Microsoft YaHei"/>
        <w:color w:val="999999"/>
        <w:sz w:val="16"/>
        <w:szCs w:val="16"/>
      </w:rPr>
      <w:t xml:space="preserve">AI 生成测试用例 POC — 现状评估与改进方案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  <w:lvl w:ilvl="1" w15:tentative="1">
      <w:start w:val="1"/>
      <w:numFmt w:val="bullet"/>
      <w:lvlText w:val="◦"/>
      <w:lvlJc w:val="left"/>
      <w:pPr>
        <w:ind w:left="9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Microsoft YaHei" w:eastAsia="Microsoft YaHei" w:hAnsi="Microsoft YaHei"/>
      <w:b/>
      <w:bCs/>
      <w:color w:val="2E549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icrosoft YaHei" w:eastAsia="Microsoft YaHei" w:hAnsi="Microsoft YaHei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Microsoft YaHei" w:eastAsia="Microsoft YaHei" w:hAnsi="Microsoft YaHei"/>
      <w:b/>
      <w:bCs/>
      <w:color w:val="1F3864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2026-06-18T07:23:30.079Z</dcterms:created>
  <dcterms:modified xsi:type="dcterms:W3CDTF">2026-06-18T07:23:30.079Z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