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3923" w:val="left" w:leader="none"/>
        </w:tabs>
        <w:spacing w:line="240" w:lineRule="auto" w:before="74" w:after="0"/>
        <w:ind w:left="3923" w:right="0" w:hanging="278"/>
        <w:jc w:val="left"/>
      </w:pPr>
      <w:r>
        <w:rPr/>
        <w:t>Обзор</w:t>
      </w:r>
      <w:r>
        <w:rPr>
          <w:spacing w:val="-6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before="96"/>
        <w:ind w:left="0"/>
        <w:jc w:val="left"/>
        <w:rPr>
          <w:b/>
          <w:sz w:val="28"/>
        </w:rPr>
      </w:pPr>
    </w:p>
    <w:p>
      <w:pPr>
        <w:pStyle w:val="Heading1"/>
        <w:numPr>
          <w:ilvl w:val="1"/>
          <w:numId w:val="1"/>
        </w:numPr>
        <w:tabs>
          <w:tab w:pos="2783" w:val="left" w:leader="none"/>
        </w:tabs>
        <w:spacing w:line="240" w:lineRule="auto" w:before="0" w:after="0"/>
        <w:ind w:left="2783" w:right="0" w:hanging="360"/>
        <w:jc w:val="left"/>
      </w:pPr>
      <w:r>
        <w:rPr/>
        <w:t>Постановка</w:t>
      </w:r>
      <w:r>
        <w:rPr>
          <w:spacing w:val="-9"/>
        </w:rPr>
        <w:t> </w:t>
      </w:r>
      <w:r>
        <w:rPr/>
        <w:t>задачи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ключевые</w:t>
      </w:r>
      <w:r>
        <w:rPr>
          <w:spacing w:val="-7"/>
        </w:rPr>
        <w:t> </w:t>
      </w:r>
      <w:r>
        <w:rPr>
          <w:spacing w:val="-2"/>
        </w:rPr>
        <w:t>сложности.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1"/>
        <w:ind w:right="21"/>
      </w:pPr>
      <w:r>
        <w:rPr/>
        <w:t>Задача автоматической классификации архитектурных стилей по визуальным данным лежит на стыке архитектуроведения и компьютерного зрения. В наиболее общем виде она формулируется</w:t>
      </w:r>
      <w:r>
        <w:rPr>
          <w:spacing w:val="-8"/>
        </w:rPr>
        <w:t> </w:t>
      </w:r>
      <w:r>
        <w:rPr/>
        <w:t>как</w:t>
      </w:r>
      <w:r>
        <w:rPr>
          <w:spacing w:val="-8"/>
        </w:rPr>
        <w:t> </w:t>
      </w:r>
      <w:r>
        <w:rPr/>
        <w:t>отображение</w:t>
      </w:r>
      <w:r>
        <w:rPr>
          <w:spacing w:val="-8"/>
        </w:rPr>
        <w:t> </w:t>
      </w:r>
      <w:r>
        <w:rPr/>
        <w:t>изображения</w:t>
      </w:r>
      <w:r>
        <w:rPr>
          <w:spacing w:val="-8"/>
        </w:rPr>
        <w:t> </w:t>
      </w:r>
      <w:r>
        <w:rPr/>
        <w:t>здания</w:t>
      </w:r>
      <w:r>
        <w:rPr>
          <w:spacing w:val="-8"/>
        </w:rPr>
        <w:t> </w:t>
      </w:r>
      <w:r>
        <w:rPr/>
        <w:t>(его</w:t>
      </w:r>
      <w:r>
        <w:rPr>
          <w:spacing w:val="-8"/>
        </w:rPr>
        <w:t> </w:t>
      </w:r>
      <w:r>
        <w:rPr/>
        <w:t>фасада)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дискретное</w:t>
      </w:r>
      <w:r>
        <w:rPr>
          <w:spacing w:val="-8"/>
        </w:rPr>
        <w:t> </w:t>
      </w:r>
      <w:r>
        <w:rPr/>
        <w:t>пространство стилевых категорий: исторических эпох (романтизм, готика, барокко, модерн и т.д.), региональных традиций (мексиканская колониальная архитектура, китайская традиционная, европейский модернизм) или авторских почерков отдельных архитекторов.</w:t>
      </w:r>
    </w:p>
    <w:p>
      <w:pPr>
        <w:pStyle w:val="BodyText"/>
        <w:spacing w:line="276" w:lineRule="auto"/>
        <w:ind w:right="14"/>
      </w:pPr>
      <w:r>
        <w:rPr/>
        <w:t>Практика и теория архитектуры подчеркивают, что стиль определяется совокупностью признаков: формы и композиции объёма,</w:t>
      </w:r>
      <w:r>
        <w:rPr>
          <w:spacing w:val="-8"/>
        </w:rPr>
        <w:t> </w:t>
      </w:r>
      <w:r>
        <w:rPr/>
        <w:t>структурной</w:t>
      </w:r>
      <w:r>
        <w:rPr>
          <w:spacing w:val="-8"/>
        </w:rPr>
        <w:t> </w:t>
      </w:r>
      <w:r>
        <w:rPr/>
        <w:t>схемы,</w:t>
      </w:r>
      <w:r>
        <w:rPr>
          <w:spacing w:val="-8"/>
        </w:rPr>
        <w:t> </w:t>
      </w:r>
      <w:r>
        <w:rPr/>
        <w:t>системы</w:t>
      </w:r>
      <w:r>
        <w:rPr>
          <w:spacing w:val="-8"/>
        </w:rPr>
        <w:t> </w:t>
      </w:r>
      <w:r>
        <w:rPr/>
        <w:t>деталей,</w:t>
      </w:r>
      <w:r>
        <w:rPr>
          <w:spacing w:val="-8"/>
        </w:rPr>
        <w:t> </w:t>
      </w:r>
      <w:r>
        <w:rPr/>
        <w:t>материалов</w:t>
      </w:r>
      <w:r>
        <w:rPr>
          <w:spacing w:val="-8"/>
        </w:rPr>
        <w:t> </w:t>
      </w:r>
      <w:r>
        <w:rPr/>
        <w:t>и цветовой палитры, а также связи здания с контекстом. В работах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глубокому</w:t>
      </w:r>
      <w:r>
        <w:rPr>
          <w:spacing w:val="-8"/>
        </w:rPr>
        <w:t> </w:t>
      </w:r>
      <w:r>
        <w:rPr/>
        <w:t>обучению</w:t>
      </w:r>
      <w:r>
        <w:rPr>
          <w:spacing w:val="-8"/>
        </w:rPr>
        <w:t> </w:t>
      </w:r>
      <w:r>
        <w:rPr/>
        <w:t>эта многомерность постепенно</w:t>
      </w:r>
      <w:r>
        <w:rPr>
          <w:spacing w:val="-9"/>
        </w:rPr>
        <w:t> </w:t>
      </w:r>
      <w:r>
        <w:rPr/>
        <w:t>начинает</w:t>
      </w:r>
      <w:r>
        <w:rPr>
          <w:spacing w:val="-9"/>
        </w:rPr>
        <w:t> </w:t>
      </w:r>
      <w:r>
        <w:rPr/>
        <w:t>учитываться: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первых</w:t>
      </w:r>
      <w:r>
        <w:rPr>
          <w:spacing w:val="-9"/>
        </w:rPr>
        <w:t> </w:t>
      </w:r>
      <w:r>
        <w:rPr/>
        <w:t>подходов,</w:t>
      </w:r>
      <w:r>
        <w:rPr>
          <w:spacing w:val="-9"/>
        </w:rPr>
        <w:t> </w:t>
      </w:r>
      <w:r>
        <w:rPr/>
        <w:t>где</w:t>
      </w:r>
      <w:r>
        <w:rPr>
          <w:spacing w:val="-9"/>
        </w:rPr>
        <w:t> </w:t>
      </w:r>
      <w:r>
        <w:rPr/>
        <w:t>стиль</w:t>
      </w:r>
      <w:r>
        <w:rPr>
          <w:spacing w:val="-9"/>
        </w:rPr>
        <w:t> </w:t>
      </w:r>
      <w:r>
        <w:rPr/>
        <w:t>описывался глобальной геометрией фасада, к более сложным моделям, анализирующим отдельные фасадные элементы, материалы, цвет и даже текстовые описания.</w:t>
      </w:r>
    </w:p>
    <w:p>
      <w:pPr>
        <w:pStyle w:val="BodyText"/>
        <w:spacing w:line="276" w:lineRule="auto"/>
        <w:ind w:right="16"/>
      </w:pPr>
      <w:r>
        <w:rPr/>
        <w:t>Ряд современных исследований явно формулируют ключевые трудности задач стилевой классификации. В работе Li и Dong, посвященной классификации архитектурных стилей на основе глубинных моделей и CAD-данных, выделяются: разнообразие всех возможных стилей, множественность влияющих факторов (история, культура, география), субъективность экспертной атрибуции, сложность сбора и разметки репрезентативных данных, технические ограничения существующих алгоритмов и необходимость междисциплинарной интеграции архитектурной теории и вычислительных методов. </w:t>
      </w:r>
      <w:r>
        <w:rPr/>
        <w:t>Эти тезисы во многом универсальны и задают контекст для рассматриваемых далее работ.</w:t>
      </w:r>
    </w:p>
    <w:p>
      <w:pPr>
        <w:pStyle w:val="BodyText"/>
        <w:spacing w:line="276" w:lineRule="auto"/>
        <w:ind w:right="23"/>
      </w:pPr>
      <w:r>
        <w:rPr/>
        <w:t>Литература</w:t>
      </w:r>
      <w:r>
        <w:rPr>
          <w:spacing w:val="-8"/>
        </w:rPr>
        <w:t> </w:t>
      </w:r>
      <w:r>
        <w:rPr/>
        <w:t>нижу</w:t>
      </w:r>
      <w:r>
        <w:rPr>
          <w:spacing w:val="-8"/>
        </w:rPr>
        <w:t> </w:t>
      </w:r>
      <w:r>
        <w:rPr/>
        <w:t>структурирована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типу</w:t>
      </w:r>
      <w:r>
        <w:rPr>
          <w:spacing w:val="-8"/>
        </w:rPr>
        <w:t> </w:t>
      </w:r>
      <w:r>
        <w:rPr/>
        <w:t>используемых</w:t>
      </w:r>
      <w:r>
        <w:rPr>
          <w:spacing w:val="-8"/>
        </w:rPr>
        <w:t> </w:t>
      </w:r>
      <w:r>
        <w:rPr/>
        <w:t>данных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методов:</w:t>
      </w:r>
      <w:r>
        <w:rPr>
          <w:spacing w:val="-8"/>
        </w:rPr>
        <w:t> </w:t>
      </w:r>
      <w:r>
        <w:rPr/>
        <w:t>от</w:t>
      </w:r>
      <w:r>
        <w:rPr>
          <w:spacing w:val="-8"/>
        </w:rPr>
        <w:t> </w:t>
      </w:r>
      <w:r>
        <w:rPr/>
        <w:t>классических признаков и моделей, формируемых через сверточные сети - к семантической сегментации фасадов, анализу материалов и цвета, интеграции с CAD/BIM и, наконец, к подходам на основе vision–language моделей, ориентированным на интерпретируемый анализ стиля.</w:t>
      </w:r>
    </w:p>
    <w:p>
      <w:pPr>
        <w:pStyle w:val="Heading1"/>
        <w:numPr>
          <w:ilvl w:val="1"/>
          <w:numId w:val="2"/>
        </w:numPr>
        <w:tabs>
          <w:tab w:pos="3537" w:val="left" w:leader="none"/>
        </w:tabs>
        <w:spacing w:line="240" w:lineRule="auto" w:before="240" w:after="0"/>
        <w:ind w:left="3537" w:right="0" w:hanging="420"/>
        <w:jc w:val="left"/>
      </w:pPr>
      <w:r>
        <w:rPr/>
        <w:t>Датасеты</w:t>
      </w:r>
      <w:r>
        <w:rPr>
          <w:spacing w:val="-5"/>
        </w:rPr>
        <w:t> </w:t>
      </w:r>
      <w:r>
        <w:rPr/>
        <w:t>и</w:t>
      </w:r>
      <w:r>
        <w:rPr>
          <w:spacing w:val="-2"/>
        </w:rPr>
        <w:t> </w:t>
      </w:r>
      <w:r>
        <w:rPr/>
        <w:t>постановки</w:t>
      </w:r>
      <w:r>
        <w:rPr>
          <w:spacing w:val="-2"/>
        </w:rPr>
        <w:t> задач.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20"/>
      </w:pPr>
      <w:r>
        <w:rPr/>
        <w:t>Существенной предпосылкой развития методов классификации стилей стало появление специализированных датасетов.</w:t>
      </w:r>
    </w:p>
    <w:p>
      <w:pPr>
        <w:pStyle w:val="BodyText"/>
        <w:spacing w:line="276" w:lineRule="auto"/>
        <w:ind w:right="13"/>
      </w:pPr>
      <w:r>
        <w:rPr/>
        <w:t>Одним из первых крупных наборов данных является датасет архитектурных стилей, предложенный Xu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соавт.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нём</w:t>
      </w:r>
      <w:r>
        <w:rPr>
          <w:spacing w:val="-8"/>
        </w:rPr>
        <w:t> </w:t>
      </w:r>
      <w:r>
        <w:rPr/>
        <w:t>содержится</w:t>
      </w:r>
      <w:r>
        <w:rPr>
          <w:spacing w:val="-8"/>
        </w:rPr>
        <w:t> </w:t>
      </w:r>
      <w:r>
        <w:rPr/>
        <w:t>около</w:t>
      </w:r>
      <w:r>
        <w:rPr>
          <w:spacing w:val="-8"/>
        </w:rPr>
        <w:t> </w:t>
      </w:r>
      <w:r>
        <w:rPr/>
        <w:t>5000</w:t>
      </w:r>
      <w:r>
        <w:rPr>
          <w:spacing w:val="-8"/>
        </w:rPr>
        <w:t> </w:t>
      </w:r>
      <w:r>
        <w:rPr/>
        <w:t>изображений</w:t>
      </w:r>
      <w:r>
        <w:rPr>
          <w:spacing w:val="-8"/>
        </w:rPr>
        <w:t> </w:t>
      </w:r>
      <w:r>
        <w:rPr/>
        <w:t>фасадов,</w:t>
      </w:r>
      <w:r>
        <w:rPr>
          <w:spacing w:val="-8"/>
        </w:rPr>
        <w:t> </w:t>
      </w:r>
      <w:r>
        <w:rPr/>
        <w:t>собранных</w:t>
      </w:r>
      <w:r>
        <w:rPr>
          <w:spacing w:val="-8"/>
        </w:rPr>
        <w:t> </w:t>
      </w:r>
      <w:r>
        <w:rPr/>
        <w:t>из Wikimedia Commons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отнесенных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25</w:t>
      </w:r>
      <w:r>
        <w:rPr>
          <w:spacing w:val="-6"/>
        </w:rPr>
        <w:t> </w:t>
      </w:r>
      <w:r>
        <w:rPr/>
        <w:t>стилям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/>
        <w:t>древнеримской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готической</w:t>
      </w:r>
      <w:r>
        <w:rPr>
          <w:spacing w:val="-6"/>
        </w:rPr>
        <w:t> </w:t>
      </w:r>
      <w:r>
        <w:rPr/>
        <w:t>архитектуры до современных направлений (International Style, Postmodernism, Deconstructivism и др.). Каждый стиль представлен от 50 до 300 изображений.</w:t>
      </w:r>
    </w:p>
    <w:p>
      <w:pPr>
        <w:pStyle w:val="BodyText"/>
        <w:spacing w:line="276" w:lineRule="auto"/>
        <w:ind w:right="18"/>
      </w:pPr>
      <w:r>
        <w:rPr/>
        <w:t>На базе этого датасета позже строятся более сложные</w:t>
      </w:r>
      <w:r>
        <w:rPr>
          <w:spacing w:val="-6"/>
        </w:rPr>
        <w:t> </w:t>
      </w:r>
      <w:r>
        <w:rPr/>
        <w:t>методы</w:t>
      </w:r>
      <w:r>
        <w:rPr>
          <w:spacing w:val="-6"/>
        </w:rPr>
        <w:t> </w:t>
      </w:r>
      <w:r>
        <w:rPr/>
        <w:t>(Zhao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др.),</w:t>
      </w:r>
      <w:r>
        <w:rPr>
          <w:spacing w:val="-6"/>
        </w:rPr>
        <w:t> </w:t>
      </w:r>
      <w:r>
        <w:rPr/>
        <w:t>поэтому</w:t>
      </w:r>
      <w:r>
        <w:rPr>
          <w:spacing w:val="-6"/>
        </w:rPr>
        <w:t> </w:t>
      </w:r>
      <w:r>
        <w:rPr/>
        <w:t>он</w:t>
      </w:r>
      <w:r>
        <w:rPr>
          <w:spacing w:val="-6"/>
        </w:rPr>
        <w:t> </w:t>
      </w:r>
      <w:r>
        <w:rPr/>
        <w:t>важен как эталон для классических подходов. Однако он ограничен фасадами преимущественно западной архитектуры, использует плоский список стилей и опирается на web-разметку, подверженную шуму.</w:t>
      </w:r>
    </w:p>
    <w:p>
      <w:pPr>
        <w:pStyle w:val="BodyText"/>
        <w:spacing w:after="0" w:line="276" w:lineRule="auto"/>
        <w:sectPr>
          <w:type w:val="continuous"/>
          <w:pgSz w:w="11920" w:h="16840"/>
          <w:pgMar w:top="1060" w:bottom="280" w:left="992" w:right="1133"/>
        </w:sectPr>
      </w:pPr>
    </w:p>
    <w:p>
      <w:pPr>
        <w:pStyle w:val="BodyText"/>
        <w:spacing w:line="276" w:lineRule="auto" w:before="74"/>
        <w:ind w:right="15"/>
      </w:pPr>
      <w:r>
        <w:rPr/>
        <w:t>Отдельную линию представляют региональные наборы данных. Montoya Obeso и соавт. формируют датасет мексиканской архитектуры, разделrнный на три стилистические категории: доколониальная (prehispanic), колониальная и современная, плюс класс </w:t>
      </w:r>
      <w:r>
        <w:rPr>
          <w:rFonts w:ascii="Arial MT" w:hAnsi="Arial MT"/>
          <w:color w:val="464646"/>
          <w:sz w:val="21"/>
        </w:rPr>
        <w:t>«</w:t>
      </w:r>
      <w:r>
        <w:rPr/>
        <w:t>other </w:t>
      </w:r>
      <w:r>
        <w:rPr>
          <w:rFonts w:ascii="Arial MT" w:hAnsi="Arial MT"/>
          <w:color w:val="464646"/>
          <w:sz w:val="21"/>
        </w:rPr>
        <w:t>» </w:t>
      </w:r>
      <w:r>
        <w:rPr/>
        <w:t>для нерелевантных изображений. Коллекция получена из видеоматериалов культурных учреждений Мексики, кадры вручную отнесены к классам. На каждый из четырех классов выделяется по 2000 изображений для обучения и 2000 для валидации, а затем набор расширяется с помощью аугментаций (повороты, зеркальные отражения) до 64000 обучающих примеров. Это один из первых датасетов, где стили формально заданы именно как целевые классы для глубинной модели.</w:t>
      </w:r>
    </w:p>
    <w:p>
      <w:pPr>
        <w:pStyle w:val="BodyText"/>
        <w:spacing w:line="276" w:lineRule="auto"/>
        <w:ind w:right="14"/>
      </w:pPr>
      <w:r>
        <w:rPr/>
        <w:t>Важным шагом вперед с точки зрения</w:t>
      </w:r>
      <w:r>
        <w:rPr>
          <w:spacing w:val="-5"/>
        </w:rPr>
        <w:t> </w:t>
      </w:r>
      <w:r>
        <w:rPr/>
        <w:t>масштаба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сложности</w:t>
      </w:r>
      <w:r>
        <w:rPr>
          <w:spacing w:val="-5"/>
        </w:rPr>
        <w:t> </w:t>
      </w:r>
      <w:r>
        <w:rPr/>
        <w:t>является</w:t>
      </w:r>
      <w:r>
        <w:rPr>
          <w:spacing w:val="-5"/>
        </w:rPr>
        <w:t> </w:t>
      </w:r>
      <w:r>
        <w:rPr/>
        <w:t>датасет</w:t>
      </w:r>
      <w:r>
        <w:rPr>
          <w:spacing w:val="-5"/>
        </w:rPr>
        <w:t> </w:t>
      </w:r>
      <w:r>
        <w:rPr/>
        <w:t>WikiChurches, предложенный Barz и Denzler. Он построен на связке Wikidata и Wikimedia Commons и включает 9485 изображений 9346 европейских церквей. Каждый объект снабжен меткой архитектурного стиля, полученной из Wikidata, а стили организованы в трехуровневую иерархию: 64 стиля верхнего уровня (Gothic, Romanesque, Baroque, Renaissance и др.), </w:t>
      </w:r>
      <w:r>
        <w:rPr/>
        <w:t>45 подстилей второго уровня (Gothic Revival, Brick Gothic, English Gothic и т.п.) и 8 стилей третьего уровня. На основе этой структуры выделяются несколько подмножеств: WikiChurches-14 (14 наиболее распространённых стилей), WikiChurches-6 (6 крупнейших классов - Gothic, Romanesque, Baroque, Renaissance, Classical Revival, Modern Architecture) и WikiChurches-4/19 (четыре основных стиля и 19 подстилей для задач иерархической классификации). Отдельной особенностью датасета является наличие 631 bounding box’а характерных элементов (tracery, арочные окна, контрфорсы, пинакли и др.), размеченных экспертом по истории архитектуры для четырех базовых стилей. Авторы подчеркивают сильную несбалансированность классов (две трети изображений приходятся на Gothic и Romanesque) и наличие около 6,5% шумных меток, что делает WikiChurches реалистичным, но сложным бенчмарком.</w:t>
      </w:r>
    </w:p>
    <w:p>
      <w:pPr>
        <w:pStyle w:val="BodyText"/>
        <w:spacing w:line="276" w:lineRule="auto"/>
        <w:ind w:right="14"/>
      </w:pPr>
      <w:r>
        <w:rPr/>
        <w:t>Наряду со стилевыми наборами данных формируются датасеты, ориентированные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анализ фасада как структуры и его материалов. В контексте семантической сегментации фасадов важны наборы ECP-Monge и CMP, содержащие выпрямленные изображения </w:t>
      </w:r>
      <w:r>
        <w:rPr/>
        <w:t>фасадов европейских</w:t>
      </w:r>
      <w:r>
        <w:rPr>
          <w:spacing w:val="53"/>
        </w:rPr>
        <w:t> </w:t>
      </w:r>
      <w:r>
        <w:rPr/>
        <w:t>зданий</w:t>
      </w:r>
      <w:r>
        <w:rPr>
          <w:spacing w:val="55"/>
        </w:rPr>
        <w:t> </w:t>
      </w:r>
      <w:r>
        <w:rPr/>
        <w:t>с</w:t>
      </w:r>
      <w:r>
        <w:rPr>
          <w:spacing w:val="56"/>
        </w:rPr>
        <w:t> </w:t>
      </w:r>
      <w:r>
        <w:rPr/>
        <w:t>пиксельной</w:t>
      </w:r>
      <w:r>
        <w:rPr>
          <w:spacing w:val="55"/>
        </w:rPr>
        <w:t> </w:t>
      </w:r>
      <w:r>
        <w:rPr/>
        <w:t>разметкой</w:t>
      </w:r>
      <w:r>
        <w:rPr>
          <w:spacing w:val="41"/>
        </w:rPr>
        <w:t> </w:t>
      </w:r>
      <w:r>
        <w:rPr/>
        <w:t>классов</w:t>
      </w:r>
      <w:r>
        <w:rPr>
          <w:spacing w:val="41"/>
        </w:rPr>
        <w:t> </w:t>
      </w:r>
      <w:r>
        <w:rPr/>
        <w:t>«окно»,</w:t>
      </w:r>
      <w:r>
        <w:rPr>
          <w:spacing w:val="41"/>
        </w:rPr>
        <w:t> </w:t>
      </w:r>
      <w:r>
        <w:rPr/>
        <w:t>«дверь»,</w:t>
      </w:r>
      <w:r>
        <w:rPr>
          <w:spacing w:val="41"/>
        </w:rPr>
        <w:t> </w:t>
      </w:r>
      <w:r>
        <w:rPr/>
        <w:t>«балкон»,</w:t>
      </w:r>
      <w:r>
        <w:rPr>
          <w:spacing w:val="41"/>
        </w:rPr>
        <w:t> </w:t>
      </w:r>
      <w:r>
        <w:rPr>
          <w:spacing w:val="-2"/>
        </w:rPr>
        <w:t>«стена»,</w:t>
      </w:r>
    </w:p>
    <w:p>
      <w:pPr>
        <w:pStyle w:val="BodyText"/>
        <w:spacing w:line="276" w:lineRule="auto" w:before="0"/>
        <w:ind w:right="23"/>
      </w:pPr>
      <w:r>
        <w:rPr/>
        <w:t>«крыша» и т.д. Эти наборы используются для оценки качества сегментации в работах по семантическому разбору фасадов.</w:t>
      </w:r>
    </w:p>
    <w:p>
      <w:pPr>
        <w:pStyle w:val="BodyText"/>
        <w:spacing w:line="276" w:lineRule="auto"/>
        <w:ind w:right="13"/>
      </w:pPr>
      <w:r>
        <w:rPr/>
        <w:t>В области анализа материалов фасадов Xie и соавт. представляют датасет BFMS (Building Faсade Material Segmentation). Он включает 530 фотографий фасадов (в основном исторической застройки Китая), снятых на уровне человеческого взгляда, с детальной пиксельной разметкой 42 классов материалов и элементов окружения. Из</w:t>
      </w:r>
      <w:r>
        <w:rPr>
          <w:spacing w:val="-5"/>
        </w:rPr>
        <w:t> </w:t>
      </w:r>
      <w:r>
        <w:rPr/>
        <w:t>них</w:t>
      </w:r>
      <w:r>
        <w:rPr>
          <w:spacing w:val="-5"/>
        </w:rPr>
        <w:t> </w:t>
      </w:r>
      <w:r>
        <w:rPr/>
        <w:t>26</w:t>
      </w:r>
      <w:r>
        <w:rPr>
          <w:spacing w:val="-5"/>
        </w:rPr>
        <w:t> </w:t>
      </w:r>
      <w:r>
        <w:rPr/>
        <w:t>относятся</w:t>
      </w:r>
      <w:r>
        <w:rPr>
          <w:spacing w:val="-5"/>
        </w:rPr>
        <w:t> </w:t>
      </w:r>
      <w:r>
        <w:rPr/>
        <w:t>к собственно фасадным материалам и покрытиям (кирпич, камень, дерево, металл, стекло, штукатурка, черепица, гидроизоляционные материалы и др.), 16 - к категориям окружения (небо, вода,</w:t>
      </w:r>
      <w:r>
        <w:rPr>
          <w:spacing w:val="-7"/>
        </w:rPr>
        <w:t> </w:t>
      </w:r>
      <w:r>
        <w:rPr/>
        <w:t>растительность,</w:t>
      </w:r>
      <w:r>
        <w:rPr>
          <w:spacing w:val="-7"/>
        </w:rPr>
        <w:t> </w:t>
      </w:r>
      <w:r>
        <w:rPr/>
        <w:t>человеческая</w:t>
      </w:r>
      <w:r>
        <w:rPr>
          <w:spacing w:val="-7"/>
        </w:rPr>
        <w:t> </w:t>
      </w:r>
      <w:r>
        <w:rPr/>
        <w:t>кожа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пр.).</w:t>
      </w:r>
      <w:r>
        <w:rPr>
          <w:spacing w:val="-7"/>
        </w:rPr>
        <w:t> </w:t>
      </w:r>
      <w:r>
        <w:rPr/>
        <w:t>Средняя</w:t>
      </w:r>
      <w:r>
        <w:rPr>
          <w:spacing w:val="-7"/>
        </w:rPr>
        <w:t> </w:t>
      </w:r>
      <w:r>
        <w:rPr/>
        <w:t>плотность</w:t>
      </w:r>
      <w:r>
        <w:rPr>
          <w:spacing w:val="-7"/>
        </w:rPr>
        <w:t> </w:t>
      </w:r>
      <w:r>
        <w:rPr/>
        <w:t>разметки</w:t>
      </w:r>
      <w:r>
        <w:rPr>
          <w:spacing w:val="-7"/>
        </w:rPr>
        <w:t> </w:t>
      </w:r>
      <w:r>
        <w:rPr/>
        <w:t>около</w:t>
      </w:r>
      <w:r>
        <w:rPr>
          <w:spacing w:val="-7"/>
        </w:rPr>
        <w:t> </w:t>
      </w:r>
      <w:r>
        <w:rPr/>
        <w:t>654 сегмента на изображение делает BFMS одним из наиболее детализированных фасадных датасетов по материалам.</w:t>
      </w:r>
    </w:p>
    <w:p>
      <w:pPr>
        <w:pStyle w:val="BodyText"/>
        <w:spacing w:line="276" w:lineRule="auto"/>
        <w:ind w:right="13"/>
      </w:pPr>
      <w:r>
        <w:rPr/>
        <w:t>Для анализа авторских стилей по работам отдельных архитекторов Zhong и соавт. создают датасет ArchDiffBench, включающий 1765 изображений, сгруппированных по десяти архитекторам</w:t>
      </w:r>
      <w:r>
        <w:rPr>
          <w:spacing w:val="36"/>
        </w:rPr>
        <w:t>  </w:t>
      </w:r>
      <w:r>
        <w:rPr/>
        <w:t>(Мис</w:t>
      </w:r>
      <w:r>
        <w:rPr>
          <w:spacing w:val="28"/>
        </w:rPr>
        <w:t>  </w:t>
      </w:r>
      <w:r>
        <w:rPr/>
        <w:t>ван</w:t>
      </w:r>
      <w:r>
        <w:rPr>
          <w:spacing w:val="29"/>
        </w:rPr>
        <w:t>  </w:t>
      </w:r>
      <w:r>
        <w:rPr/>
        <w:t>дер</w:t>
      </w:r>
      <w:r>
        <w:rPr>
          <w:spacing w:val="29"/>
        </w:rPr>
        <w:t>  </w:t>
      </w:r>
      <w:r>
        <w:rPr/>
        <w:t>Роэ,</w:t>
      </w:r>
      <w:r>
        <w:rPr>
          <w:spacing w:val="28"/>
        </w:rPr>
        <w:t>  </w:t>
      </w:r>
      <w:r>
        <w:rPr/>
        <w:t>Ричард</w:t>
      </w:r>
      <w:r>
        <w:rPr>
          <w:spacing w:val="29"/>
        </w:rPr>
        <w:t>  </w:t>
      </w:r>
      <w:r>
        <w:rPr/>
        <w:t>Майер,</w:t>
      </w:r>
      <w:r>
        <w:rPr>
          <w:spacing w:val="29"/>
        </w:rPr>
        <w:t>  </w:t>
      </w:r>
      <w:r>
        <w:rPr/>
        <w:t>Ле</w:t>
      </w:r>
      <w:r>
        <w:rPr>
          <w:spacing w:val="29"/>
        </w:rPr>
        <w:t>  </w:t>
      </w:r>
      <w:r>
        <w:rPr/>
        <w:t>Корбюзье,</w:t>
      </w:r>
      <w:r>
        <w:rPr>
          <w:spacing w:val="28"/>
        </w:rPr>
        <w:t>  </w:t>
      </w:r>
      <w:r>
        <w:rPr/>
        <w:t>Ван</w:t>
      </w:r>
      <w:r>
        <w:rPr>
          <w:spacing w:val="29"/>
        </w:rPr>
        <w:t>  </w:t>
      </w:r>
      <w:r>
        <w:rPr/>
        <w:t>Шу</w:t>
      </w:r>
      <w:r>
        <w:rPr>
          <w:spacing w:val="29"/>
        </w:rPr>
        <w:t>  </w:t>
      </w:r>
      <w:r>
        <w:rPr/>
        <w:t>и</w:t>
      </w:r>
      <w:r>
        <w:rPr>
          <w:spacing w:val="28"/>
        </w:rPr>
        <w:t>  </w:t>
      </w:r>
      <w:r>
        <w:rPr/>
        <w:t>др.),</w:t>
      </w:r>
      <w:r>
        <w:rPr>
          <w:spacing w:val="29"/>
        </w:rPr>
        <w:t>  </w:t>
      </w:r>
      <w:r>
        <w:rPr>
          <w:spacing w:val="-10"/>
        </w:rPr>
        <w:t>и</w:t>
      </w:r>
    </w:p>
    <w:p>
      <w:pPr>
        <w:pStyle w:val="BodyText"/>
        <w:spacing w:after="0" w:line="276" w:lineRule="auto"/>
        <w:sectPr>
          <w:pgSz w:w="11920" w:h="16840"/>
          <w:pgMar w:top="1060" w:bottom="280" w:left="992" w:right="1133"/>
        </w:sectPr>
      </w:pPr>
    </w:p>
    <w:p>
      <w:pPr>
        <w:pStyle w:val="BodyText"/>
        <w:spacing w:line="276" w:lineRule="auto" w:before="74"/>
        <w:ind w:right="18"/>
      </w:pPr>
      <w:r>
        <w:rPr/>
        <w:t>рассматривают 81 пару групп для попарного сравнения стилевых почерков. В отличие от предыдущих</w:t>
      </w:r>
      <w:r>
        <w:rPr>
          <w:spacing w:val="-5"/>
        </w:rPr>
        <w:t> </w:t>
      </w:r>
      <w:r>
        <w:rPr/>
        <w:t>датасетов,</w:t>
      </w:r>
      <w:r>
        <w:rPr>
          <w:spacing w:val="-5"/>
        </w:rPr>
        <w:t> </w:t>
      </w:r>
      <w:r>
        <w:rPr/>
        <w:t>здесь</w:t>
      </w:r>
      <w:r>
        <w:rPr>
          <w:spacing w:val="-5"/>
        </w:rPr>
        <w:t> </w:t>
      </w:r>
      <w:r>
        <w:rPr/>
        <w:t>целевой</w:t>
      </w:r>
      <w:r>
        <w:rPr>
          <w:spacing w:val="-5"/>
        </w:rPr>
        <w:t> </w:t>
      </w:r>
      <w:r>
        <w:rPr/>
        <w:t>сущностью</w:t>
      </w:r>
      <w:r>
        <w:rPr>
          <w:spacing w:val="-5"/>
        </w:rPr>
        <w:t> </w:t>
      </w:r>
      <w:r>
        <w:rPr/>
        <w:t>выступает</w:t>
      </w:r>
      <w:r>
        <w:rPr>
          <w:spacing w:val="-5"/>
        </w:rPr>
        <w:t> </w:t>
      </w:r>
      <w:r>
        <w:rPr/>
        <w:t>не</w:t>
      </w:r>
      <w:r>
        <w:rPr>
          <w:spacing w:val="-5"/>
        </w:rPr>
        <w:t> </w:t>
      </w:r>
      <w:r>
        <w:rPr/>
        <w:t>исторический</w:t>
      </w:r>
      <w:r>
        <w:rPr>
          <w:spacing w:val="-5"/>
        </w:rPr>
        <w:t> </w:t>
      </w:r>
      <w:r>
        <w:rPr/>
        <w:t>стиль,</w:t>
      </w:r>
      <w:r>
        <w:rPr>
          <w:spacing w:val="-5"/>
        </w:rPr>
        <w:t> </w:t>
      </w:r>
      <w:r>
        <w:rPr/>
        <w:t>а</w:t>
      </w:r>
      <w:r>
        <w:rPr>
          <w:spacing w:val="-5"/>
        </w:rPr>
        <w:t> </w:t>
      </w:r>
      <w:r>
        <w:rPr/>
        <w:t>почерк автора, однако методологически это близко к задачам классификации и анализа стилей.</w:t>
      </w:r>
    </w:p>
    <w:p>
      <w:pPr>
        <w:pStyle w:val="BodyText"/>
        <w:spacing w:line="276" w:lineRule="auto"/>
        <w:ind w:right="22"/>
      </w:pPr>
      <w:r>
        <w:rPr/>
        <w:t>Наконец, в работах Li и Dong используются данные не только в виде изображений, но и в виде CAD-моделей и BIM-описаний, содержащих информацию о геометрии, </w:t>
      </w:r>
      <w:r>
        <w:rPr/>
        <w:t>размерах, материалах и структурной схеме зданий. Хотя полноценного открытого датасета в статье не публикуется, она задает направление интеграции визуальных и параметрических данных.</w:t>
      </w:r>
    </w:p>
    <w:p>
      <w:pPr>
        <w:pStyle w:val="Heading1"/>
        <w:numPr>
          <w:ilvl w:val="1"/>
          <w:numId w:val="2"/>
        </w:numPr>
        <w:tabs>
          <w:tab w:pos="2086" w:val="left" w:leader="none"/>
        </w:tabs>
        <w:spacing w:line="240" w:lineRule="auto" w:before="240" w:after="0"/>
        <w:ind w:left="2086" w:right="0" w:hanging="420"/>
        <w:jc w:val="left"/>
      </w:pPr>
      <w:r>
        <w:rPr/>
        <w:t>Классические</w:t>
      </w:r>
      <w:r>
        <w:rPr>
          <w:spacing w:val="-3"/>
        </w:rPr>
        <w:t> </w:t>
      </w:r>
      <w:r>
        <w:rPr/>
        <w:t>part-based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вероятностные</w:t>
      </w:r>
      <w:r>
        <w:rPr>
          <w:spacing w:val="-3"/>
        </w:rPr>
        <w:t> </w:t>
      </w:r>
      <w:r>
        <w:rPr/>
        <w:t>модели</w:t>
      </w:r>
      <w:r>
        <w:rPr>
          <w:spacing w:val="-2"/>
        </w:rPr>
        <w:t> стиля.</w:t>
      </w:r>
    </w:p>
    <w:p>
      <w:pPr>
        <w:pStyle w:val="BodyText"/>
        <w:spacing w:before="82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14"/>
      </w:pPr>
      <w:r>
        <w:rPr/>
        <w:t>Одной из ключевых ранних работ по автоматической классификации архитектурных стилей является статья Xu и соавт., в которой на основе описанного выше 25-классового датасета вводится модель Multinomial Latent Logistic Regression (MLLR). Авторы используют деформируемые модели частей (Deformable Part-based Models, DPM) на HOG-признаках </w:t>
      </w:r>
      <w:r>
        <w:rPr/>
        <w:t>для представления</w:t>
      </w:r>
      <w:r>
        <w:rPr>
          <w:spacing w:val="80"/>
          <w:w w:val="150"/>
        </w:rPr>
        <w:t> </w:t>
      </w:r>
      <w:r>
        <w:rPr/>
        <w:t>фасада</w:t>
      </w:r>
      <w:r>
        <w:rPr>
          <w:spacing w:val="80"/>
          <w:w w:val="150"/>
        </w:rPr>
        <w:t> </w:t>
      </w:r>
      <w:r>
        <w:rPr/>
        <w:t>как</w:t>
      </w:r>
      <w:r>
        <w:rPr>
          <w:spacing w:val="80"/>
          <w:w w:val="150"/>
        </w:rPr>
        <w:t> </w:t>
      </w:r>
      <w:r>
        <w:rPr/>
        <w:t>набора</w:t>
      </w:r>
      <w:r>
        <w:rPr>
          <w:spacing w:val="80"/>
          <w:w w:val="150"/>
        </w:rPr>
        <w:t> </w:t>
      </w:r>
      <w:r>
        <w:rPr/>
        <w:t>частей:</w:t>
      </w:r>
      <w:r>
        <w:rPr>
          <w:spacing w:val="80"/>
          <w:w w:val="150"/>
        </w:rPr>
        <w:t> </w:t>
      </w:r>
      <w:r>
        <w:rPr/>
        <w:t>root-фильтра</w:t>
      </w:r>
      <w:r>
        <w:rPr>
          <w:spacing w:val="80"/>
          <w:w w:val="150"/>
        </w:rPr>
        <w:t> </w:t>
      </w:r>
      <w:r>
        <w:rPr/>
        <w:t>(силуэт</w:t>
      </w:r>
      <w:r>
        <w:rPr>
          <w:spacing w:val="80"/>
          <w:w w:val="150"/>
        </w:rPr>
        <w:t> </w:t>
      </w:r>
      <w:r>
        <w:rPr/>
        <w:t>фасада)</w:t>
      </w:r>
      <w:r>
        <w:rPr>
          <w:spacing w:val="80"/>
          <w:w w:val="150"/>
        </w:rPr>
        <w:t> </w:t>
      </w:r>
      <w:r>
        <w:rPr/>
        <w:t>и</w:t>
      </w:r>
      <w:r>
        <w:rPr>
          <w:spacing w:val="80"/>
          <w:w w:val="150"/>
        </w:rPr>
        <w:t> </w:t>
      </w:r>
      <w:r>
        <w:rPr/>
        <w:t>набора part-фильтров (окна, арки, купола,</w:t>
      </w:r>
      <w:r>
        <w:rPr>
          <w:spacing w:val="-4"/>
        </w:rPr>
        <w:t> </w:t>
      </w:r>
      <w:r>
        <w:rPr/>
        <w:t>фронтоны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пр.),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учетом</w:t>
      </w:r>
      <w:r>
        <w:rPr>
          <w:spacing w:val="-4"/>
        </w:rPr>
        <w:t> </w:t>
      </w:r>
      <w:r>
        <w:rPr/>
        <w:t>штрафов</w:t>
      </w:r>
      <w:r>
        <w:rPr>
          <w:spacing w:val="-4"/>
        </w:rPr>
        <w:t> </w:t>
      </w:r>
      <w:r>
        <w:rPr/>
        <w:t>за</w:t>
      </w:r>
      <w:r>
        <w:rPr>
          <w:spacing w:val="-4"/>
        </w:rPr>
        <w:t> </w:t>
      </w:r>
      <w:r>
        <w:rPr/>
        <w:t>деформацию</w:t>
      </w:r>
      <w:r>
        <w:rPr>
          <w:spacing w:val="-4"/>
        </w:rPr>
        <w:t> </w:t>
      </w:r>
      <w:r>
        <w:rPr/>
        <w:t>частей относительно корня. В отличие от классического latent SVM, где для каждой модели обучается бинарный классификатор и на выходе получается жёсткое решение, MLLR формулируется как многоклассовая логистическая регрессия по латентным признакам.</w:t>
      </w:r>
    </w:p>
    <w:p>
      <w:pPr>
        <w:pStyle w:val="BodyText"/>
        <w:spacing w:before="44"/>
        <w:ind w:left="0"/>
        <w:jc w:val="left"/>
      </w:pPr>
    </w:p>
    <w:p>
      <w:pPr>
        <w:pStyle w:val="BodyText"/>
        <w:tabs>
          <w:tab w:pos="965" w:val="left" w:leader="none"/>
          <w:tab w:pos="1900" w:val="left" w:leader="none"/>
        </w:tabs>
        <w:spacing w:before="0"/>
        <w:jc w:val="left"/>
      </w:pPr>
      <w:r>
        <w:rPr>
          <w:spacing w:val="-2"/>
        </w:rPr>
        <w:t>Пусть</w:t>
      </w:r>
      <w:r>
        <w:rPr/>
        <w:tab/>
      </w:r>
      <w:r>
        <w:rPr>
          <w:rFonts w:ascii="Cambria Math" w:hAnsi="Cambria Math" w:eastAsia="Cambria Math"/>
        </w:rPr>
        <w:t>𝑓(𝑥,</w:t>
      </w:r>
      <w:r>
        <w:rPr>
          <w:rFonts w:ascii="Cambria Math" w:hAnsi="Cambria Math" w:eastAsia="Cambria Math"/>
          <w:spacing w:val="45"/>
        </w:rPr>
        <w:t> </w:t>
      </w:r>
      <w:r>
        <w:rPr>
          <w:rFonts w:ascii="Cambria Math" w:hAnsi="Cambria Math" w:eastAsia="Cambria Math"/>
          <w:spacing w:val="-5"/>
        </w:rPr>
        <w:t>𝑧)</w:t>
      </w:r>
      <w:r>
        <w:rPr>
          <w:rFonts w:ascii="Cambria Math" w:hAnsi="Cambria Math" w:eastAsia="Cambria Math"/>
        </w:rPr>
        <w:tab/>
      </w:r>
      <w:r>
        <w:rPr/>
        <w:t>-</w:t>
      </w:r>
      <w:r>
        <w:rPr>
          <w:spacing w:val="35"/>
        </w:rPr>
        <w:t>  </w:t>
      </w:r>
      <w:r>
        <w:rPr/>
        <w:t>это</w:t>
      </w:r>
      <w:r>
        <w:rPr>
          <w:spacing w:val="35"/>
        </w:rPr>
        <w:t>  </w:t>
      </w:r>
      <w:r>
        <w:rPr/>
        <w:t>вектор</w:t>
      </w:r>
      <w:r>
        <w:rPr>
          <w:spacing w:val="36"/>
        </w:rPr>
        <w:t>  </w:t>
      </w:r>
      <w:r>
        <w:rPr/>
        <w:t>признаков,</w:t>
      </w:r>
      <w:r>
        <w:rPr>
          <w:spacing w:val="35"/>
        </w:rPr>
        <w:t>  </w:t>
      </w:r>
      <w:r>
        <w:rPr/>
        <w:t>зависящий</w:t>
      </w:r>
      <w:r>
        <w:rPr>
          <w:spacing w:val="36"/>
        </w:rPr>
        <w:t>  </w:t>
      </w:r>
      <w:r>
        <w:rPr/>
        <w:t>от</w:t>
      </w:r>
      <w:r>
        <w:rPr>
          <w:spacing w:val="35"/>
        </w:rPr>
        <w:t>  </w:t>
      </w:r>
      <w:r>
        <w:rPr/>
        <w:t>изображения</w:t>
      </w:r>
      <w:r>
        <w:rPr>
          <w:spacing w:val="36"/>
        </w:rPr>
        <w:t>  </w:t>
      </w:r>
      <w:r>
        <w:rPr/>
        <w:t>x</w:t>
      </w:r>
      <w:r>
        <w:rPr>
          <w:spacing w:val="35"/>
        </w:rPr>
        <w:t>  </w:t>
      </w:r>
      <w:r>
        <w:rPr/>
        <w:t>и</w:t>
      </w:r>
      <w:r>
        <w:rPr>
          <w:spacing w:val="36"/>
        </w:rPr>
        <w:t>  </w:t>
      </w:r>
      <w:r>
        <w:rPr>
          <w:spacing w:val="-2"/>
        </w:rPr>
        <w:t>латентной</w:t>
      </w:r>
    </w:p>
    <w:p>
      <w:pPr>
        <w:pStyle w:val="BodyText"/>
        <w:spacing w:after="0"/>
        <w:jc w:val="left"/>
        <w:sectPr>
          <w:pgSz w:w="11920" w:h="16840"/>
          <w:pgMar w:top="1060" w:bottom="280" w:left="992" w:right="1133"/>
        </w:sectPr>
      </w:pPr>
    </w:p>
    <w:p>
      <w:pPr>
        <w:pStyle w:val="BodyText"/>
        <w:spacing w:line="233" w:lineRule="exact" w:before="131"/>
        <w:jc w:val="left"/>
        <w:rPr>
          <w:rFonts w:ascii="Cambria Math" w:hAnsi="Cambria Math"/>
        </w:rPr>
      </w:pPr>
      <w:r>
        <w:rPr/>
        <w:t>конфигурации</w:t>
      </w:r>
      <w:r>
        <w:rPr>
          <w:spacing w:val="41"/>
        </w:rPr>
        <w:t> </w:t>
      </w:r>
      <w:r>
        <w:rPr/>
        <w:t>частей</w:t>
      </w:r>
      <w:r>
        <w:rPr>
          <w:spacing w:val="42"/>
        </w:rPr>
        <w:t> </w:t>
      </w:r>
      <w:r>
        <w:rPr/>
        <w:t>z,</w:t>
      </w:r>
      <w:r>
        <w:rPr>
          <w:spacing w:val="42"/>
        </w:rPr>
        <w:t> </w:t>
      </w:r>
      <w:r>
        <w:rPr/>
        <w:t>а</w:t>
      </w:r>
      <w:r>
        <w:rPr>
          <w:spacing w:val="42"/>
        </w:rPr>
        <w:t> </w:t>
      </w:r>
      <w:r>
        <w:rPr>
          <w:rFonts w:ascii="Cambria Math" w:hAnsi="Cambria Math"/>
          <w:spacing w:val="-10"/>
        </w:rPr>
        <w:t>β</w:t>
      </w:r>
    </w:p>
    <w:p>
      <w:pPr>
        <w:spacing w:line="151" w:lineRule="exact" w:before="0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𝑘</w:t>
      </w:r>
    </w:p>
    <w:p>
      <w:pPr>
        <w:pStyle w:val="BodyText"/>
        <w:spacing w:before="135"/>
        <w:ind w:left="73"/>
        <w:jc w:val="left"/>
      </w:pPr>
      <w:r>
        <w:rPr/>
        <w:br w:type="column"/>
      </w:r>
      <w:r>
        <w:rPr/>
        <w:t>-</w:t>
      </w:r>
      <w:r>
        <w:rPr>
          <w:spacing w:val="38"/>
        </w:rPr>
        <w:t> </w:t>
      </w:r>
      <w:r>
        <w:rPr/>
        <w:t>параметр</w:t>
      </w:r>
      <w:r>
        <w:rPr>
          <w:spacing w:val="40"/>
        </w:rPr>
        <w:t> </w:t>
      </w:r>
      <w:r>
        <w:rPr/>
        <w:t>класса</w:t>
      </w:r>
      <w:r>
        <w:rPr>
          <w:spacing w:val="41"/>
        </w:rPr>
        <w:t> </w:t>
      </w:r>
      <w:r>
        <w:rPr/>
        <w:t>k.</w:t>
      </w:r>
      <w:r>
        <w:rPr>
          <w:spacing w:val="40"/>
        </w:rPr>
        <w:t> </w:t>
      </w:r>
      <w:r>
        <w:rPr/>
        <w:t>Тогда</w:t>
      </w:r>
      <w:r>
        <w:rPr>
          <w:spacing w:val="40"/>
        </w:rPr>
        <w:t> </w:t>
      </w:r>
      <w:r>
        <w:rPr/>
        <w:t>для</w:t>
      </w:r>
      <w:r>
        <w:rPr>
          <w:spacing w:val="26"/>
        </w:rPr>
        <w:t> </w:t>
      </w:r>
      <w:r>
        <w:rPr/>
        <w:t>каждого</w:t>
      </w:r>
      <w:r>
        <w:rPr>
          <w:spacing w:val="26"/>
        </w:rPr>
        <w:t> </w:t>
      </w:r>
      <w:r>
        <w:rPr/>
        <w:t>класса</w:t>
      </w:r>
      <w:r>
        <w:rPr>
          <w:spacing w:val="27"/>
        </w:rPr>
        <w:t> </w:t>
      </w:r>
      <w:r>
        <w:rPr>
          <w:spacing w:val="-2"/>
        </w:rPr>
        <w:t>определяется</w:t>
      </w:r>
    </w:p>
    <w:p>
      <w:pPr>
        <w:pStyle w:val="BodyText"/>
        <w:spacing w:after="0"/>
        <w:jc w:val="left"/>
        <w:sectPr>
          <w:type w:val="continuous"/>
          <w:pgSz w:w="11920" w:h="16840"/>
          <w:pgMar w:top="1060" w:bottom="280" w:left="992" w:right="1133"/>
          <w:cols w:num="2" w:equalWidth="0">
            <w:col w:w="3203" w:space="40"/>
            <w:col w:w="6552"/>
          </w:cols>
        </w:sectPr>
      </w:pPr>
    </w:p>
    <w:p>
      <w:pPr>
        <w:pStyle w:val="BodyText"/>
        <w:spacing w:line="209" w:lineRule="exact" w:before="134"/>
        <w:jc w:val="left"/>
      </w:pPr>
      <w:r>
        <w:rPr/>
        <w:t>score-</w:t>
      </w:r>
      <w:r>
        <w:rPr>
          <w:spacing w:val="-4"/>
        </w:rPr>
        <w:t>функция</w:t>
      </w:r>
    </w:p>
    <w:p>
      <w:pPr>
        <w:pStyle w:val="BodyText"/>
        <w:spacing w:line="213" w:lineRule="exact" w:before="130"/>
        <w:ind w:left="64"/>
        <w:jc w:val="left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(𝑥;</w:t>
      </w:r>
      <w:r>
        <w:rPr>
          <w:rFonts w:ascii="Cambria Math" w:hAnsi="Cambria Math" w:eastAsia="Cambria Math"/>
          <w:spacing w:val="47"/>
        </w:rPr>
        <w:t> </w:t>
      </w:r>
      <w:r>
        <w:rPr>
          <w:rFonts w:ascii="Cambria Math" w:hAnsi="Cambria Math" w:eastAsia="Cambria Math"/>
        </w:rPr>
        <w:t>β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Cambria Math" w:hAnsi="Cambria Math" w:eastAsia="Cambria Math"/>
        </w:rPr>
        <w:t>)</w:t>
      </w:r>
      <w:r>
        <w:rPr>
          <w:rFonts w:ascii="Cambria Math" w:hAnsi="Cambria Math" w:eastAsia="Cambria Math"/>
          <w:spacing w:val="68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9"/>
          <w:w w:val="150"/>
        </w:rPr>
        <w:t> </w:t>
      </w:r>
      <w:r>
        <w:rPr>
          <w:rFonts w:ascii="Cambria Math" w:hAnsi="Cambria Math" w:eastAsia="Cambria Math"/>
          <w:spacing w:val="-5"/>
        </w:rPr>
        <w:t>𝑚𝑎𝑥</w:t>
      </w:r>
    </w:p>
    <w:p>
      <w:pPr>
        <w:spacing w:line="142" w:lineRule="exact" w:before="46"/>
        <w:ind w:left="275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10"/>
          <w:sz w:val="17"/>
        </w:rPr>
        <w:t>𝑇</w:t>
      </w:r>
    </w:p>
    <w:p>
      <w:pPr>
        <w:pStyle w:val="BodyText"/>
        <w:spacing w:line="156" w:lineRule="exact" w:before="0"/>
        <w:jc w:val="lef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β</w:t>
      </w:r>
      <w:r>
        <w:rPr>
          <w:rFonts w:ascii="Cambria Math" w:hAnsi="Cambria Math" w:eastAsia="Cambria Math"/>
          <w:spacing w:val="73"/>
          <w:w w:val="150"/>
        </w:rPr>
        <w:t> </w:t>
      </w:r>
      <w:r>
        <w:rPr>
          <w:rFonts w:ascii="Cambria Math" w:hAnsi="Cambria Math" w:eastAsia="Cambria Math"/>
        </w:rPr>
        <w:t>𝑓(𝑥,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  <w:spacing w:val="-5"/>
        </w:rPr>
        <w:t>𝑧)</w:t>
      </w:r>
    </w:p>
    <w:p>
      <w:pPr>
        <w:pStyle w:val="BodyText"/>
        <w:spacing w:line="209" w:lineRule="exact" w:before="134"/>
        <w:ind w:left="0"/>
        <w:jc w:val="left"/>
      </w:pPr>
      <w:r>
        <w:rPr/>
        <w:br w:type="column"/>
      </w:r>
      <w:r>
        <w:rPr/>
        <w:t>,</w:t>
      </w:r>
      <w:r>
        <w:rPr>
          <w:spacing w:val="44"/>
        </w:rPr>
        <w:t> </w:t>
      </w:r>
      <w:r>
        <w:rPr/>
        <w:t>а</w:t>
      </w:r>
      <w:r>
        <w:rPr>
          <w:spacing w:val="44"/>
        </w:rPr>
        <w:t> </w:t>
      </w:r>
      <w:r>
        <w:rPr/>
        <w:t>вероятности</w:t>
      </w:r>
      <w:r>
        <w:rPr>
          <w:spacing w:val="44"/>
        </w:rPr>
        <w:t> </w:t>
      </w:r>
      <w:r>
        <w:rPr/>
        <w:t>классов</w:t>
      </w:r>
      <w:r>
        <w:rPr>
          <w:spacing w:val="29"/>
        </w:rPr>
        <w:t> </w:t>
      </w:r>
      <w:r>
        <w:rPr/>
        <w:t>задаются</w:t>
      </w:r>
      <w:r>
        <w:rPr>
          <w:spacing w:val="30"/>
        </w:rPr>
        <w:t> </w:t>
      </w:r>
      <w:r>
        <w:rPr>
          <w:spacing w:val="-2"/>
        </w:rPr>
        <w:t>стандартной</w:t>
      </w:r>
    </w:p>
    <w:p>
      <w:pPr>
        <w:pStyle w:val="BodyText"/>
        <w:spacing w:after="0" w:line="209" w:lineRule="exact"/>
        <w:jc w:val="left"/>
        <w:sectPr>
          <w:type w:val="continuous"/>
          <w:pgSz w:w="11920" w:h="16840"/>
          <w:pgMar w:top="1060" w:bottom="280" w:left="992" w:right="1133"/>
          <w:cols w:num="4" w:equalWidth="0">
            <w:col w:w="1610" w:space="40"/>
            <w:col w:w="1763" w:space="337"/>
            <w:col w:w="1102" w:space="0"/>
            <w:col w:w="4943"/>
          </w:cols>
        </w:sectPr>
      </w:pPr>
    </w:p>
    <w:p>
      <w:pPr>
        <w:tabs>
          <w:tab w:pos="3372" w:val="left" w:leader="none"/>
        </w:tabs>
        <w:spacing w:line="170" w:lineRule="exact" w:before="0"/>
        <w:ind w:left="2239" w:right="0" w:firstLine="0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-10"/>
          <w:sz w:val="17"/>
        </w:rPr>
        <w:t>𝑘</w:t>
      </w:r>
      <w:r>
        <w:rPr>
          <w:rFonts w:ascii="Cambria Math" w:hAnsi="Cambria Math" w:eastAsia="Cambria Math"/>
          <w:sz w:val="17"/>
        </w:rPr>
        <w:tab/>
        <w:t>𝑧∈𝑍(𝑥)</w:t>
      </w:r>
      <w:r>
        <w:rPr>
          <w:rFonts w:ascii="Cambria Math" w:hAnsi="Cambria Math" w:eastAsia="Cambria Math"/>
          <w:spacing w:val="69"/>
          <w:w w:val="150"/>
          <w:sz w:val="17"/>
        </w:rPr>
        <w:t> </w:t>
      </w:r>
      <w:r>
        <w:rPr>
          <w:rFonts w:ascii="Cambria Math" w:hAnsi="Cambria Math" w:eastAsia="Cambria Math"/>
          <w:spacing w:val="-10"/>
          <w:sz w:val="17"/>
        </w:rPr>
        <w:t>𝑘</w:t>
      </w:r>
    </w:p>
    <w:p>
      <w:pPr>
        <w:spacing w:after="0" w:line="170" w:lineRule="exact"/>
        <w:jc w:val="left"/>
        <w:rPr>
          <w:rFonts w:ascii="Cambria Math" w:hAnsi="Cambria Math" w:eastAsia="Cambria Math"/>
          <w:sz w:val="17"/>
        </w:rPr>
        <w:sectPr>
          <w:type w:val="continuous"/>
          <w:pgSz w:w="11920" w:h="16840"/>
          <w:pgMar w:top="1060" w:bottom="280" w:left="992" w:right="1133"/>
        </w:sectPr>
      </w:pPr>
    </w:p>
    <w:p>
      <w:pPr>
        <w:pStyle w:val="BodyText"/>
        <w:spacing w:before="184"/>
        <w:jc w:val="left"/>
      </w:pPr>
      <w:r>
        <w:rPr/>
        <w:t>softmax-</w:t>
      </w:r>
      <w:r>
        <w:rPr>
          <w:spacing w:val="-2"/>
        </w:rPr>
        <w:t>функцией:</w:t>
      </w:r>
    </w:p>
    <w:p>
      <w:pPr>
        <w:pStyle w:val="BodyText"/>
        <w:spacing w:before="180"/>
        <w:jc w:val="left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𝑝𝑘(𝑥;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θ)</w:t>
      </w:r>
      <w:r>
        <w:rPr>
          <w:rFonts w:ascii="Cambria Math" w:hAnsi="Cambria Math" w:eastAsia="Cambria Math"/>
          <w:spacing w:val="68"/>
          <w:w w:val="150"/>
        </w:rPr>
        <w:t> </w:t>
      </w:r>
      <w:r>
        <w:rPr>
          <w:rFonts w:ascii="Cambria Math" w:hAnsi="Cambria Math" w:eastAsia="Cambria Math"/>
          <w:spacing w:val="-10"/>
        </w:rPr>
        <w:t>=</w:t>
      </w:r>
    </w:p>
    <w:p>
      <w:pPr>
        <w:spacing w:line="165" w:lineRule="exact" w:before="45"/>
        <w:ind w:left="91" w:right="0" w:firstLine="0"/>
        <w:jc w:val="center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sz w:val="17"/>
        </w:rPr>
        <w:t>𝑒𝑥𝑝(𝑠(𝑥;β</w:t>
      </w:r>
      <w:r>
        <w:rPr>
          <w:rFonts w:ascii="Cambria Math" w:hAnsi="Cambria Math" w:eastAsia="Cambria Math"/>
          <w:spacing w:val="19"/>
          <w:sz w:val="17"/>
        </w:rPr>
        <w:t> </w:t>
      </w:r>
      <w:r>
        <w:rPr>
          <w:rFonts w:ascii="Cambria Math" w:hAnsi="Cambria Math" w:eastAsia="Cambria Math"/>
          <w:spacing w:val="-5"/>
          <w:sz w:val="17"/>
        </w:rPr>
        <w:t>))</w:t>
      </w:r>
    </w:p>
    <w:p>
      <w:pPr>
        <w:tabs>
          <w:tab w:pos="921" w:val="left" w:leader="none"/>
          <w:tab w:pos="1240" w:val="left" w:leader="none"/>
        </w:tabs>
        <w:spacing w:line="106" w:lineRule="exact" w:before="0"/>
        <w:ind w:left="101" w:right="0" w:firstLine="0"/>
        <w:jc w:val="center"/>
        <w:rPr>
          <w:rFonts w:ascii="Cambria Math" w:eastAsia="Cambria Math"/>
          <w:sz w:val="12"/>
        </w:rPr>
      </w:pPr>
      <w:r>
        <w:rPr>
          <w:rFonts w:ascii="Cambria Math" w:eastAsia="Cambria Math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3720496</wp:posOffset>
                </wp:positionH>
                <wp:positionV relativeFrom="paragraph">
                  <wp:posOffset>7065</wp:posOffset>
                </wp:positionV>
                <wp:extent cx="31750" cy="15303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175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2.952515pt;margin-top:.556367pt;width:2.5pt;height:12.05pt;mso-position-horizontal-relative:page;mso-position-vertical-relative:paragraph;z-index:15728640" type="#_x0000_t202" id="docshape1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4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  <w:u w:val="thick"/>
        </w:rPr>
        <w:tab/>
      </w:r>
      <w:r>
        <w:rPr>
          <w:rFonts w:ascii="Cambria Math" w:eastAsia="Cambria Math"/>
          <w:spacing w:val="-10"/>
          <w:sz w:val="12"/>
          <w:u w:val="thick"/>
        </w:rPr>
        <w:t>𝑘</w:t>
      </w:r>
      <w:r>
        <w:rPr>
          <w:rFonts w:ascii="Cambria Math" w:eastAsia="Cambria Math"/>
          <w:sz w:val="12"/>
          <w:u w:val="thick"/>
        </w:rPr>
        <w:tab/>
      </w:r>
    </w:p>
    <w:p>
      <w:pPr>
        <w:spacing w:line="151" w:lineRule="exact" w:before="28"/>
        <w:ind w:left="91" w:right="0" w:firstLine="0"/>
        <w:jc w:val="center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z w:val="17"/>
        </w:rPr>
        <w:t>Σ</w:t>
      </w:r>
      <w:r>
        <w:rPr>
          <w:rFonts w:ascii="Cambria Math" w:hAnsi="Cambria Math" w:eastAsia="Cambria Math"/>
          <w:spacing w:val="-5"/>
          <w:sz w:val="17"/>
        </w:rPr>
        <w:t> </w:t>
      </w:r>
      <w:r>
        <w:rPr>
          <w:rFonts w:ascii="Cambria Math" w:hAnsi="Cambria Math" w:eastAsia="Cambria Math"/>
          <w:sz w:val="17"/>
        </w:rPr>
        <w:t>𝑒𝑥𝑝(𝑠(𝑥;β</w:t>
      </w:r>
      <w:r>
        <w:rPr>
          <w:rFonts w:ascii="Cambria Math" w:hAnsi="Cambria Math" w:eastAsia="Cambria Math"/>
          <w:spacing w:val="-5"/>
          <w:sz w:val="17"/>
        </w:rPr>
        <w:t> ))</w:t>
      </w:r>
    </w:p>
    <w:p>
      <w:pPr>
        <w:pStyle w:val="BodyText"/>
        <w:tabs>
          <w:tab w:pos="1453" w:val="left" w:leader="none"/>
          <w:tab w:pos="3398" w:val="left" w:leader="none"/>
        </w:tabs>
        <w:spacing w:before="184"/>
        <w:jc w:val="left"/>
      </w:pPr>
      <w:r>
        <w:rPr/>
        <w:br w:type="column"/>
      </w:r>
      <w:r>
        <w:rPr>
          <w:spacing w:val="-2"/>
        </w:rPr>
        <w:t>Обучение</w:t>
      </w:r>
      <w:r>
        <w:rPr/>
        <w:tab/>
      </w:r>
      <w:r>
        <w:rPr>
          <w:spacing w:val="-2"/>
        </w:rPr>
        <w:t>осуществляется</w:t>
      </w:r>
      <w:r>
        <w:rPr/>
        <w:tab/>
      </w:r>
      <w:r>
        <w:rPr>
          <w:spacing w:val="-2"/>
        </w:rPr>
        <w:t>максимумом</w:t>
      </w:r>
    </w:p>
    <w:p>
      <w:pPr>
        <w:pStyle w:val="BodyText"/>
        <w:spacing w:after="0"/>
        <w:jc w:val="left"/>
        <w:sectPr>
          <w:type w:val="continuous"/>
          <w:pgSz w:w="11920" w:h="16840"/>
          <w:pgMar w:top="1060" w:bottom="280" w:left="992" w:right="1133"/>
          <w:cols w:num="4" w:equalWidth="0">
            <w:col w:w="2109" w:space="133"/>
            <w:col w:w="1306" w:space="39"/>
            <w:col w:w="1322" w:space="181"/>
            <w:col w:w="4705"/>
          </w:cols>
        </w:sectPr>
      </w:pPr>
    </w:p>
    <w:p>
      <w:pPr>
        <w:tabs>
          <w:tab w:pos="755" w:val="left" w:leader="none"/>
        </w:tabs>
        <w:spacing w:line="120" w:lineRule="exact" w:before="0"/>
        <w:ind w:left="-1" w:right="1254" w:firstLine="0"/>
        <w:jc w:val="center"/>
        <w:rPr>
          <w:rFonts w:ascii="Cambria Math" w:eastAsia="Cambria Math"/>
          <w:sz w:val="12"/>
        </w:rPr>
      </w:pPr>
      <w:r>
        <w:rPr>
          <w:rFonts w:ascii="Cambria Math" w:eastAsia="Cambria Math"/>
          <w:spacing w:val="-10"/>
          <w:sz w:val="12"/>
        </w:rPr>
        <w:t>𝑙</w:t>
      </w:r>
      <w:r>
        <w:rPr>
          <w:rFonts w:ascii="Cambria Math" w:eastAsia="Cambria Math"/>
          <w:sz w:val="12"/>
        </w:rPr>
        <w:tab/>
      </w:r>
      <w:r>
        <w:rPr>
          <w:rFonts w:ascii="Cambria Math" w:eastAsia="Cambria Math"/>
          <w:spacing w:val="-10"/>
          <w:sz w:val="12"/>
        </w:rPr>
        <w:t>𝑙</w:t>
      </w:r>
    </w:p>
    <w:p>
      <w:pPr>
        <w:pStyle w:val="BodyText"/>
        <w:spacing w:line="276" w:lineRule="auto" w:before="43"/>
        <w:ind w:right="14"/>
      </w:pPr>
      <w:r>
        <w:rPr/>
        <w:t>регуляризованного правдоподобия с L1-регуляризацией (lasso), с использованием</w:t>
      </w:r>
      <w:r>
        <w:rPr>
          <w:spacing w:val="-12"/>
        </w:rPr>
        <w:t> </w:t>
      </w:r>
      <w:r>
        <w:rPr/>
        <w:t>подхода</w:t>
      </w:r>
      <w:r>
        <w:rPr>
          <w:spacing w:val="-12"/>
        </w:rPr>
        <w:t> </w:t>
      </w:r>
      <w:r>
        <w:rPr/>
        <w:t>по аналогии с latent SVM: по очереди фиксируются латенты положительных примеров и обновляются</w:t>
      </w:r>
      <w:r>
        <w:rPr>
          <w:spacing w:val="-9"/>
        </w:rPr>
        <w:t> </w:t>
      </w:r>
      <w:r>
        <w:rPr/>
        <w:t>параметры,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затем</w:t>
      </w:r>
      <w:r>
        <w:rPr>
          <w:spacing w:val="-9"/>
        </w:rPr>
        <w:t> </w:t>
      </w:r>
      <w:r>
        <w:rPr/>
        <w:t>пересчитываются</w:t>
      </w:r>
      <w:r>
        <w:rPr>
          <w:spacing w:val="-9"/>
        </w:rPr>
        <w:t> </w:t>
      </w:r>
      <w:r>
        <w:rPr/>
        <w:t>латентные</w:t>
      </w:r>
      <w:r>
        <w:rPr>
          <w:spacing w:val="-9"/>
        </w:rPr>
        <w:t> </w:t>
      </w:r>
      <w:r>
        <w:rPr/>
        <w:t>конфигурации</w:t>
      </w:r>
      <w:r>
        <w:rPr>
          <w:spacing w:val="-9"/>
        </w:rPr>
        <w:t> </w:t>
      </w:r>
      <w:r>
        <w:rPr/>
        <w:t>негативов.</w:t>
      </w:r>
      <w:r>
        <w:rPr>
          <w:spacing w:val="-9"/>
        </w:rPr>
        <w:t> </w:t>
      </w:r>
      <w:r>
        <w:rPr/>
        <w:t>Такая постановка позволяет, с одной стороны, учитывать латентную структуру фасада,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другой</w:t>
      </w:r>
      <w:r>
        <w:rPr>
          <w:spacing w:val="-6"/>
        </w:rPr>
        <w:t> </w:t>
      </w:r>
      <w:r>
        <w:rPr/>
        <w:t>- получать вероятностную оценку принадлежности изображения ко всем стилям</w:t>
      </w:r>
      <w:r>
        <w:rPr>
          <w:spacing w:val="40"/>
        </w:rPr>
        <w:t> </w:t>
      </w:r>
      <w:r>
        <w:rPr>
          <w:spacing w:val="-2"/>
        </w:rPr>
        <w:t>одновременно.</w:t>
      </w:r>
    </w:p>
    <w:p>
      <w:pPr>
        <w:pStyle w:val="BodyText"/>
        <w:spacing w:before="41"/>
        <w:ind w:left="0"/>
        <w:jc w:val="left"/>
      </w:pPr>
    </w:p>
    <w:p>
      <w:pPr>
        <w:pStyle w:val="BodyText"/>
        <w:spacing w:line="276" w:lineRule="auto" w:before="1"/>
        <w:ind w:right="13"/>
      </w:pPr>
      <w:r>
        <w:rPr/>
        <w:t>В эксперименте со сжатыми десятью стилями, хорошо различимыми визуально, MLLR </w:t>
      </w:r>
      <w:r>
        <w:rPr/>
        <w:t>на основе DPM достигла точности порядка 67,8% и превзошла как классический DPM-LSVM (65,7%), так и глобальные методы (GIST, Spatial Pyramid, Object Bank, дававшие 30–63%). При расширении задачи до всех 25 стилей лучшим оказался гибридный метод MLLR+SP, объединяющий вероятностные выходы MLLR и глобальные признаки Spatial Pyramid; совокупная точность составляла около 46,2% и была выше, чем у DPM-LSVM (37,7%) и у отдельных глобальных признаков (44-45%). Кроме того, вероятностный характер MLLR позволил построить граф межстилевых отношений, показывающий, какие стили часто путаются и какие связаны исторически (following, revival, opposition), а</w:t>
      </w:r>
      <w:r>
        <w:rPr>
          <w:spacing w:val="-4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анализировать отдельные здания как смеси несколькими стилевыми влияний.</w:t>
      </w:r>
    </w:p>
    <w:p>
      <w:pPr>
        <w:pStyle w:val="BodyText"/>
        <w:spacing w:after="0" w:line="276" w:lineRule="auto"/>
        <w:sectPr>
          <w:type w:val="continuous"/>
          <w:pgSz w:w="11920" w:h="16840"/>
          <w:pgMar w:top="1060" w:bottom="280" w:left="992" w:right="1133"/>
        </w:sectPr>
      </w:pPr>
    </w:p>
    <w:p>
      <w:pPr>
        <w:pStyle w:val="BodyText"/>
        <w:spacing w:line="276" w:lineRule="auto" w:before="74"/>
        <w:ind w:right="15"/>
      </w:pPr>
      <w:r>
        <w:rPr/>
        <w:t>Дальнейшее развитие той же линии демонстрирует работа Zhao и соавт., предлагающая сложный гибридный конвейер DPM + глубокие признаки + модуль переразметки признаков. Авторы</w:t>
      </w:r>
      <w:r>
        <w:rPr>
          <w:spacing w:val="-9"/>
        </w:rPr>
        <w:t> </w:t>
      </w:r>
      <w:r>
        <w:rPr/>
        <w:t>используют</w:t>
      </w:r>
      <w:r>
        <w:rPr>
          <w:spacing w:val="-9"/>
        </w:rPr>
        <w:t> </w:t>
      </w:r>
      <w:r>
        <w:rPr/>
        <w:t>тот</w:t>
      </w:r>
      <w:r>
        <w:rPr>
          <w:spacing w:val="-9"/>
        </w:rPr>
        <w:t> </w:t>
      </w:r>
      <w:r>
        <w:rPr/>
        <w:t>же</w:t>
      </w:r>
      <w:r>
        <w:rPr>
          <w:spacing w:val="-9"/>
        </w:rPr>
        <w:t> </w:t>
      </w:r>
      <w:r>
        <w:rPr/>
        <w:t>25-классовый</w:t>
      </w:r>
      <w:r>
        <w:rPr>
          <w:spacing w:val="-9"/>
        </w:rPr>
        <w:t> </w:t>
      </w:r>
      <w:r>
        <w:rPr/>
        <w:t>датасет</w:t>
      </w:r>
      <w:r>
        <w:rPr>
          <w:spacing w:val="-9"/>
        </w:rPr>
        <w:t> </w:t>
      </w:r>
      <w:r>
        <w:rPr/>
        <w:t>Xu,</w:t>
      </w:r>
      <w:r>
        <w:rPr>
          <w:spacing w:val="-9"/>
        </w:rPr>
        <w:t> </w:t>
      </w:r>
      <w:r>
        <w:rPr/>
        <w:t>но</w:t>
      </w:r>
      <w:r>
        <w:rPr>
          <w:spacing w:val="-9"/>
        </w:rPr>
        <w:t> </w:t>
      </w:r>
      <w:r>
        <w:rPr/>
        <w:t>существенно</w:t>
      </w:r>
      <w:r>
        <w:rPr>
          <w:spacing w:val="-9"/>
        </w:rPr>
        <w:t> </w:t>
      </w:r>
      <w:r>
        <w:rPr/>
        <w:t>усиливают</w:t>
      </w:r>
      <w:r>
        <w:rPr>
          <w:spacing w:val="-9"/>
        </w:rPr>
        <w:t> </w:t>
      </w:r>
      <w:r>
        <w:rPr/>
        <w:t>признаковое описание. На первом этапе изображения обрабатываются DPM: из исходного кадра выбирается наиболее репрезентативный фрагмент фасада, соответствующий маске максимального отклика DPM-модели (типичный купол, шпиль, фронтон, карниз). Это позволяет удалить небо, людей и другие нерелевантные области, концентрируясь на стиле.</w:t>
      </w:r>
    </w:p>
    <w:p>
      <w:pPr>
        <w:pStyle w:val="BodyText"/>
        <w:spacing w:line="276" w:lineRule="auto"/>
        <w:ind w:right="15"/>
      </w:pPr>
      <w:r>
        <w:rPr/>
        <w:t>Далее этот фрагмент подаётся в GoogLeNet, предобученную на ImageNet, которая извлекает сверточные признаки. Эксперименты показывают, что добавление</w:t>
      </w:r>
      <w:r>
        <w:rPr>
          <w:spacing w:val="-12"/>
        </w:rPr>
        <w:t> </w:t>
      </w:r>
      <w:r>
        <w:rPr/>
        <w:t>глубинных</w:t>
      </w:r>
      <w:r>
        <w:rPr>
          <w:spacing w:val="-12"/>
        </w:rPr>
        <w:t> </w:t>
      </w:r>
      <w:r>
        <w:rPr/>
        <w:t>признаков</w:t>
      </w:r>
      <w:r>
        <w:rPr>
          <w:spacing w:val="-12"/>
        </w:rPr>
        <w:t> </w:t>
      </w:r>
      <w:r>
        <w:rPr/>
        <w:t>дает скачок точности</w:t>
      </w:r>
      <w:r>
        <w:rPr>
          <w:spacing w:val="-8"/>
        </w:rPr>
        <w:t> </w:t>
      </w:r>
      <w:r>
        <w:rPr/>
        <w:t>примерно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40</w:t>
      </w:r>
      <w:r>
        <w:rPr>
          <w:spacing w:val="-8"/>
        </w:rPr>
        <w:t> </w:t>
      </w:r>
      <w:r>
        <w:rPr/>
        <w:t>процентных</w:t>
      </w:r>
      <w:r>
        <w:rPr>
          <w:spacing w:val="-8"/>
        </w:rPr>
        <w:t> </w:t>
      </w:r>
      <w:r>
        <w:rPr/>
        <w:t>пунктов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сравнению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использованием</w:t>
      </w:r>
      <w:r>
        <w:rPr>
          <w:spacing w:val="-8"/>
        </w:rPr>
        <w:t> </w:t>
      </w:r>
      <w:r>
        <w:rPr/>
        <w:t>только DPM-наблюдений. Наконец, поверх глубинных признаков работает модуль Improved Ensemble Projection (IEP), который на основе предположений локальной согласованности и экзотической несогласованности формирует ансамбль прототипов - компактных групп изображений, представляющих отдельные визуальные концепции. Для этого применяется Max–Min sampling: сначала</w:t>
      </w:r>
      <w:r>
        <w:rPr>
          <w:spacing w:val="-5"/>
        </w:rPr>
        <w:t> </w:t>
      </w:r>
      <w:r>
        <w:rPr/>
        <w:t>выбираются</w:t>
      </w:r>
      <w:r>
        <w:rPr>
          <w:spacing w:val="-5"/>
        </w:rPr>
        <w:t> </w:t>
      </w:r>
      <w:r>
        <w:rPr/>
        <w:t>максимально</w:t>
      </w:r>
      <w:r>
        <w:rPr>
          <w:spacing w:val="-5"/>
        </w:rPr>
        <w:t> </w:t>
      </w:r>
      <w:r>
        <w:rPr/>
        <w:t>разнесенные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пространстве</w:t>
      </w:r>
      <w:r>
        <w:rPr>
          <w:spacing w:val="-5"/>
        </w:rPr>
        <w:t> </w:t>
      </w:r>
      <w:r>
        <w:rPr/>
        <w:t>признаков seed-образы (max-шаг), затем вокруг каждого seed формируется компактная группа ближайших соседей (min-шаг). Повторение этого процесса множество раз даёт богатое пространство атрибутов, по сходству с которыми формируется новое признаковое представление для каждого изображения. На этом представлении обучается линейный SVM.</w:t>
      </w:r>
    </w:p>
    <w:p>
      <w:pPr>
        <w:pStyle w:val="BodyText"/>
        <w:spacing w:line="276" w:lineRule="auto"/>
        <w:ind w:right="19"/>
      </w:pPr>
      <w:r>
        <w:rPr/>
        <w:t>Комплекс предобработка DPM + GoogLeNet + IEP + SVM демонстрирует на 25-классовом наборе Xu заявленную авторами точность</w:t>
      </w:r>
      <w:r>
        <w:rPr>
          <w:spacing w:val="-7"/>
        </w:rPr>
        <w:t> </w:t>
      </w:r>
      <w:r>
        <w:rPr/>
        <w:t>порядка</w:t>
      </w:r>
      <w:r>
        <w:rPr>
          <w:spacing w:val="-7"/>
        </w:rPr>
        <w:t> </w:t>
      </w:r>
      <w:r>
        <w:rPr/>
        <w:t>98,6%</w:t>
      </w:r>
      <w:r>
        <w:rPr>
          <w:spacing w:val="-7"/>
        </w:rPr>
        <w:t> </w:t>
      </w:r>
      <w:r>
        <w:rPr/>
        <w:t>(при</w:t>
      </w:r>
      <w:r>
        <w:rPr>
          <w:spacing w:val="-7"/>
        </w:rPr>
        <w:t> </w:t>
      </w:r>
      <w:r>
        <w:rPr/>
        <w:t>1000</w:t>
      </w:r>
      <w:r>
        <w:rPr>
          <w:spacing w:val="-7"/>
        </w:rPr>
        <w:t> </w:t>
      </w:r>
      <w:r>
        <w:rPr/>
        <w:t>обучающих</w:t>
      </w:r>
      <w:r>
        <w:rPr>
          <w:spacing w:val="-7"/>
        </w:rPr>
        <w:t> </w:t>
      </w:r>
      <w:r>
        <w:rPr/>
        <w:t>изображений на класс), существенно превосходя все предыдущие DPM- и</w:t>
      </w:r>
      <w:r>
        <w:rPr>
          <w:spacing w:val="-6"/>
        </w:rPr>
        <w:t> </w:t>
      </w:r>
      <w:r>
        <w:rPr/>
        <w:t>MLLR-основанные</w:t>
      </w:r>
      <w:r>
        <w:rPr>
          <w:spacing w:val="-6"/>
        </w:rPr>
        <w:t> </w:t>
      </w:r>
      <w:r>
        <w:rPr/>
        <w:t>подходы</w:t>
      </w:r>
      <w:r>
        <w:rPr>
          <w:spacing w:val="-6"/>
        </w:rPr>
        <w:t> </w:t>
      </w:r>
      <w:r>
        <w:rPr/>
        <w:t>(на уровне 40–55%). Хотя столь высокий результат потенциально связан с возможным переобучением, метод Zhao важен как пример гибридного решения, объединяющего структурную информацию о фасаде (DPM), глубокие признаки и специально обучаемое признаковое пространство, максимально сжимающее внутриклассовую вариативность.</w:t>
      </w:r>
    </w:p>
    <w:p>
      <w:pPr>
        <w:pStyle w:val="Heading1"/>
        <w:numPr>
          <w:ilvl w:val="1"/>
          <w:numId w:val="2"/>
        </w:numPr>
        <w:tabs>
          <w:tab w:pos="1240" w:val="left" w:leader="none"/>
        </w:tabs>
        <w:spacing w:line="240" w:lineRule="auto" w:before="240" w:after="0"/>
        <w:ind w:left="1240" w:right="0" w:hanging="420"/>
        <w:jc w:val="left"/>
      </w:pPr>
      <w:r>
        <w:rPr/>
        <w:t>Глубинные</w:t>
      </w:r>
      <w:r>
        <w:rPr>
          <w:spacing w:val="-11"/>
        </w:rPr>
        <w:t> </w:t>
      </w:r>
      <w:r>
        <w:rPr/>
        <w:t>модели</w:t>
      </w:r>
      <w:r>
        <w:rPr>
          <w:spacing w:val="-10"/>
        </w:rPr>
        <w:t> </w:t>
      </w:r>
      <w:r>
        <w:rPr/>
        <w:t>классификации</w:t>
      </w:r>
      <w:r>
        <w:rPr>
          <w:spacing w:val="-11"/>
        </w:rPr>
        <w:t> </w:t>
      </w:r>
      <w:r>
        <w:rPr/>
        <w:t>стиля</w:t>
      </w:r>
      <w:r>
        <w:rPr>
          <w:spacing w:val="-10"/>
        </w:rPr>
        <w:t> </w:t>
      </w:r>
      <w:r>
        <w:rPr/>
        <w:t>по</w:t>
      </w:r>
      <w:r>
        <w:rPr>
          <w:spacing w:val="-11"/>
        </w:rPr>
        <w:t> </w:t>
      </w:r>
      <w:r>
        <w:rPr/>
        <w:t>глобальному</w:t>
      </w:r>
      <w:r>
        <w:rPr>
          <w:spacing w:val="-10"/>
        </w:rPr>
        <w:t> </w:t>
      </w:r>
      <w:r>
        <w:rPr>
          <w:spacing w:val="-2"/>
        </w:rPr>
        <w:t>изображению.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17"/>
      </w:pPr>
      <w:r>
        <w:rPr/>
        <w:t>Переход к глубоким моделям без явной part-based структуры демонстрируют работы, в которых</w:t>
      </w:r>
      <w:r>
        <w:rPr>
          <w:spacing w:val="-11"/>
        </w:rPr>
        <w:t> </w:t>
      </w:r>
      <w:r>
        <w:rPr/>
        <w:t>стили</w:t>
      </w:r>
      <w:r>
        <w:rPr>
          <w:spacing w:val="-8"/>
        </w:rPr>
        <w:t> </w:t>
      </w:r>
      <w:r>
        <w:rPr/>
        <w:t>классифицируются</w:t>
      </w:r>
      <w:r>
        <w:rPr>
          <w:spacing w:val="-8"/>
        </w:rPr>
        <w:t> </w:t>
      </w:r>
      <w:r>
        <w:rPr/>
        <w:t>по</w:t>
      </w:r>
      <w:r>
        <w:rPr>
          <w:spacing w:val="-9"/>
        </w:rPr>
        <w:t> </w:t>
      </w:r>
      <w:r>
        <w:rPr/>
        <w:t>целому</w:t>
      </w:r>
      <w:r>
        <w:rPr>
          <w:spacing w:val="-8"/>
        </w:rPr>
        <w:t> </w:t>
      </w:r>
      <w:r>
        <w:rPr/>
        <w:t>изображению</w:t>
      </w:r>
      <w:r>
        <w:rPr>
          <w:spacing w:val="-8"/>
        </w:rPr>
        <w:t> </w:t>
      </w:r>
      <w:r>
        <w:rPr/>
        <w:t>здания</w:t>
      </w:r>
      <w:r>
        <w:rPr>
          <w:spacing w:val="-9"/>
        </w:rPr>
        <w:t> </w:t>
      </w:r>
      <w:r>
        <w:rPr/>
        <w:t>или</w:t>
      </w:r>
      <w:r>
        <w:rPr>
          <w:spacing w:val="-8"/>
        </w:rPr>
        <w:t> </w:t>
      </w:r>
      <w:r>
        <w:rPr/>
        <w:t>городского</w:t>
      </w:r>
      <w:r>
        <w:rPr>
          <w:spacing w:val="-8"/>
        </w:rPr>
        <w:t> </w:t>
      </w:r>
      <w:r>
        <w:rPr>
          <w:spacing w:val="-2"/>
        </w:rPr>
        <w:t>фрагмента.</w:t>
      </w:r>
    </w:p>
    <w:p>
      <w:pPr>
        <w:pStyle w:val="BodyText"/>
        <w:spacing w:line="276" w:lineRule="auto"/>
        <w:ind w:right="15"/>
      </w:pPr>
      <w:r>
        <w:rPr/>
        <w:t>Уже упомянутая работа Montoya Obeso и соавт. посвящена трехклассовой классификации мексиканских архитектурных стилей (prehispanic, colonial, modern) плюс класс «other». Авторы строят сравнительно неглубокую сверточную сеть (четыре сверточных и два полносвязных слоя) и исследуют влияние дополнительных геометрических признаков.</w:t>
      </w:r>
    </w:p>
    <w:p>
      <w:pPr>
        <w:pStyle w:val="BodyText"/>
        <w:spacing w:line="276" w:lineRule="auto"/>
        <w:ind w:right="14"/>
      </w:pPr>
      <w:r>
        <w:rPr/>
        <w:t>На базе датасета из</w:t>
      </w:r>
      <w:r>
        <w:rPr>
          <w:spacing w:val="-8"/>
        </w:rPr>
        <w:t> </w:t>
      </w:r>
      <w:r>
        <w:rPr/>
        <w:t>8000</w:t>
      </w:r>
      <w:r>
        <w:rPr>
          <w:spacing w:val="-8"/>
        </w:rPr>
        <w:t> </w:t>
      </w:r>
      <w:r>
        <w:rPr/>
        <w:t>исходных</w:t>
      </w:r>
      <w:r>
        <w:rPr>
          <w:spacing w:val="-8"/>
        </w:rPr>
        <w:t> </w:t>
      </w:r>
      <w:r>
        <w:rPr/>
        <w:t>изображений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их</w:t>
      </w:r>
      <w:r>
        <w:rPr>
          <w:spacing w:val="-8"/>
        </w:rPr>
        <w:t> </w:t>
      </w:r>
      <w:r>
        <w:rPr/>
        <w:t>аугментаций</w:t>
      </w:r>
      <w:r>
        <w:rPr>
          <w:spacing w:val="-8"/>
        </w:rPr>
        <w:t> </w:t>
      </w:r>
      <w:r>
        <w:rPr/>
        <w:t>лучший</w:t>
      </w:r>
      <w:r>
        <w:rPr>
          <w:spacing w:val="-8"/>
        </w:rPr>
        <w:t> </w:t>
      </w:r>
      <w:r>
        <w:rPr/>
        <w:t>результат</w:t>
      </w:r>
      <w:r>
        <w:rPr>
          <w:spacing w:val="-8"/>
        </w:rPr>
        <w:t> </w:t>
      </w:r>
      <w:r>
        <w:rPr/>
        <w:t>(88,01% точности) достигается при использовании именно этих sparse features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комбинации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RGB</w:t>
      </w:r>
      <w:r>
        <w:rPr>
          <w:spacing w:val="-4"/>
        </w:rPr>
        <w:t> </w:t>
      </w:r>
      <w:r>
        <w:rPr/>
        <w:t>и предложенной архитектурой; для сравнения, та же сеть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чистом</w:t>
      </w:r>
      <w:r>
        <w:rPr>
          <w:spacing w:val="-4"/>
        </w:rPr>
        <w:t> </w:t>
      </w:r>
      <w:r>
        <w:rPr/>
        <w:t>RGB</w:t>
      </w:r>
      <w:r>
        <w:rPr>
          <w:spacing w:val="-4"/>
        </w:rPr>
        <w:t> </w:t>
      </w:r>
      <w:r>
        <w:rPr/>
        <w:t>даёт</w:t>
      </w:r>
      <w:r>
        <w:rPr>
          <w:spacing w:val="-4"/>
        </w:rPr>
        <w:t> </w:t>
      </w:r>
      <w:r>
        <w:rPr/>
        <w:t>86,10%,</w:t>
      </w:r>
      <w:r>
        <w:rPr>
          <w:spacing w:val="-4"/>
        </w:rPr>
        <w:t> </w:t>
      </w:r>
      <w:r>
        <w:rPr/>
        <w:t>AlexNet на RGB - около 74%, а добавление PCA-SIFT вместо sparse features приводит к </w:t>
      </w:r>
      <w:r>
        <w:rPr/>
        <w:t>падению точности до 65%. Таким образом, работа демонстрирует, что введение геометрических характеристик (углы, линии, их пересечения) может улучшать работу глубинной сети в задаче стилевой классификации, особенно при ограниченном объеме данных.</w:t>
      </w:r>
    </w:p>
    <w:p>
      <w:pPr>
        <w:pStyle w:val="BodyText"/>
        <w:spacing w:after="0" w:line="276" w:lineRule="auto"/>
        <w:sectPr>
          <w:pgSz w:w="11920" w:h="16840"/>
          <w:pgMar w:top="1060" w:bottom="280" w:left="992" w:right="1133"/>
        </w:sectPr>
      </w:pPr>
    </w:p>
    <w:p>
      <w:pPr>
        <w:pStyle w:val="BodyText"/>
        <w:spacing w:line="276" w:lineRule="auto" w:before="74"/>
        <w:ind w:right="15"/>
      </w:pPr>
      <w:r>
        <w:rPr/>
        <w:t>В более общем плане задачи</w:t>
      </w:r>
      <w:r>
        <w:rPr>
          <w:spacing w:val="-5"/>
        </w:rPr>
        <w:t> </w:t>
      </w:r>
      <w:r>
        <w:rPr/>
        <w:t>классификации</w:t>
      </w:r>
      <w:r>
        <w:rPr>
          <w:spacing w:val="-5"/>
        </w:rPr>
        <w:t> </w:t>
      </w:r>
      <w:r>
        <w:rPr/>
        <w:t>фасадов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стилю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возрасту</w:t>
      </w:r>
      <w:r>
        <w:rPr>
          <w:spacing w:val="-5"/>
        </w:rPr>
        <w:t> </w:t>
      </w:r>
      <w:r>
        <w:rPr/>
        <w:t>рассматриваются</w:t>
      </w:r>
      <w:r>
        <w:rPr>
          <w:spacing w:val="-5"/>
        </w:rPr>
        <w:t> </w:t>
      </w:r>
      <w:r>
        <w:rPr/>
        <w:t>в работах вроде «Understanding architecture age and style through deep learning». В таких исследованиях формируются сборные датасеты фасадов из разных городов (десятки тысяч изображений), а стили либо задаются в терминах исторических периодов строительства,</w:t>
      </w:r>
      <w:r>
        <w:rPr>
          <w:spacing w:val="40"/>
        </w:rPr>
        <w:t> </w:t>
      </w:r>
      <w:r>
        <w:rPr/>
        <w:t>либо отражают крупные стилевые категории. Обычно используются архитектуры семейства ResNet или Inception, иногда в мультитасковой постановке (одновременное предсказание возраста и стиля), а также CAM/Grad-CAM для визуализации важных участков фасада. Демонстрируется, что даже при шуме разметки и смешении</w:t>
      </w:r>
      <w:r>
        <w:rPr>
          <w:spacing w:val="-4"/>
        </w:rPr>
        <w:t> </w:t>
      </w:r>
      <w:r>
        <w:rPr/>
        <w:t>стилей</w:t>
      </w:r>
      <w:r>
        <w:rPr>
          <w:spacing w:val="-4"/>
        </w:rPr>
        <w:t> </w:t>
      </w:r>
      <w:r>
        <w:rPr/>
        <w:t>сети</w:t>
      </w:r>
      <w:r>
        <w:rPr>
          <w:spacing w:val="-4"/>
        </w:rPr>
        <w:t> </w:t>
      </w:r>
      <w:r>
        <w:rPr/>
        <w:t>способны</w:t>
      </w:r>
      <w:r>
        <w:rPr>
          <w:spacing w:val="-4"/>
        </w:rPr>
        <w:t> </w:t>
      </w:r>
      <w:r>
        <w:rPr/>
        <w:t>извлекать устойчивые паттерны и давать разумное качество на уровне десятков процентов точности при большом числе эпох/классов; однако проблема интерпретируемости и связи с архитектурной теорией остается открытой.</w:t>
      </w:r>
    </w:p>
    <w:p>
      <w:pPr>
        <w:pStyle w:val="BodyText"/>
        <w:spacing w:line="276" w:lineRule="auto"/>
        <w:ind w:right="13"/>
      </w:pPr>
      <w:r>
        <w:rPr/>
        <w:t>Работа Barz и Denzler с датасетом WikiChurches, хотя в основном и посвящена описанию самого набора данных, также включает базовые эксперименты по классификации стилей. Используются предобученные ResNet-50 и TResNet-M, дообучаемые на подмножестве WikiChurches-6. В качестве основной метрики берётся balanced accuracy (усредненная по классам точность), что важно в условиях сильной несбалансированности. Простое дообучение ResNet-50 на изображениях 224x224 даёт точность около 60%, undersampling по классам добавляет порядка 1,5 процентных пункта, а увеличение разрешения до 448x448, позволяющее лучше захватывать мелкие детали фасадов, поднимает показатель до 65,9%. Лучший результат (около 69,5% balanced accuracy) достигается при использовании архитектуры TResNet-M, предобученной на ImageNet-21k с иерархической многолейбловой схемой, и изображений 448x448. Даже при шести классах и мощной предобученной модели качество далеко от идеального, что подчеркивает сложность fine-grained классификации архитектурных стилей.</w:t>
      </w:r>
    </w:p>
    <w:p>
      <w:pPr>
        <w:pStyle w:val="Heading1"/>
        <w:numPr>
          <w:ilvl w:val="1"/>
          <w:numId w:val="2"/>
        </w:numPr>
        <w:tabs>
          <w:tab w:pos="1716" w:val="left" w:leader="none"/>
        </w:tabs>
        <w:spacing w:line="240" w:lineRule="auto" w:before="240" w:after="0"/>
        <w:ind w:left="1716" w:right="0" w:hanging="420"/>
        <w:jc w:val="left"/>
      </w:pPr>
      <w:r>
        <w:rPr/>
        <w:t>Семантическая</w:t>
      </w:r>
      <w:r>
        <w:rPr>
          <w:spacing w:val="-3"/>
        </w:rPr>
        <w:t> </w:t>
      </w:r>
      <w:r>
        <w:rPr/>
        <w:t>сегментация</w:t>
      </w:r>
      <w:r>
        <w:rPr>
          <w:spacing w:val="-2"/>
        </w:rPr>
        <w:t> </w:t>
      </w:r>
      <w:r>
        <w:rPr/>
        <w:t>фасадов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структурные</w:t>
      </w:r>
      <w:r>
        <w:rPr>
          <w:spacing w:val="-2"/>
        </w:rPr>
        <w:t> признаки.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18"/>
      </w:pPr>
      <w:r>
        <w:rPr/>
        <w:t>Понимание архитектурного стиля лишь по глобальному виду фасада ограничено: многие стилевые признаки зашиты в структуре фасадной композиции - ритме окон, расположении дверей, этажности, характере балконов, типах карнизов. Поэтому в ряде работ основное внимание уделяется семантическому разбору фасада на элементы.</w:t>
      </w:r>
    </w:p>
    <w:p>
      <w:pPr>
        <w:pStyle w:val="BodyText"/>
        <w:spacing w:line="276" w:lineRule="auto"/>
        <w:ind w:right="13"/>
      </w:pPr>
      <w:r>
        <w:rPr/>
        <w:t>Fathalla и Vogiatzis предлагают глубокий пайплайн для семантической сегментации фасадов, объединяющий полносверточную сеть VGG-16 и ограниченные Больцмановские машины (RBM), моделирующие архитектурный контекст по строкам и столбцам изображения. На первом этапе АСТ дает для каждого пикселя вероятности принадлежности к классам (стена, окно,</w:t>
      </w:r>
      <w:r>
        <w:rPr>
          <w:spacing w:val="80"/>
        </w:rPr>
        <w:t> </w:t>
      </w:r>
      <w:r>
        <w:rPr/>
        <w:t>дверь,</w:t>
      </w:r>
      <w:r>
        <w:rPr>
          <w:spacing w:val="80"/>
        </w:rPr>
        <w:t> </w:t>
      </w:r>
      <w:r>
        <w:rPr/>
        <w:t>балкон,</w:t>
      </w:r>
      <w:r>
        <w:rPr>
          <w:spacing w:val="80"/>
        </w:rPr>
        <w:t> </w:t>
      </w:r>
      <w:r>
        <w:rPr/>
        <w:t>крыша,</w:t>
      </w:r>
      <w:r>
        <w:rPr>
          <w:spacing w:val="80"/>
        </w:rPr>
        <w:t> </w:t>
      </w:r>
      <w:r>
        <w:rPr/>
        <w:t>небо).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втором</w:t>
      </w:r>
      <w:r>
        <w:rPr>
          <w:spacing w:val="80"/>
        </w:rPr>
        <w:t> </w:t>
      </w:r>
      <w:r>
        <w:rPr/>
        <w:t>этапе</w:t>
      </w:r>
      <w:r>
        <w:rPr>
          <w:spacing w:val="80"/>
        </w:rPr>
        <w:t> </w:t>
      </w:r>
      <w:r>
        <w:rPr/>
        <w:t>из</w:t>
      </w:r>
      <w:r>
        <w:rPr>
          <w:spacing w:val="40"/>
        </w:rPr>
        <w:t> </w:t>
      </w:r>
      <w:r>
        <w:rPr/>
        <w:t>этой</w:t>
      </w:r>
      <w:r>
        <w:rPr>
          <w:spacing w:val="40"/>
        </w:rPr>
        <w:t> </w:t>
      </w:r>
      <w:r>
        <w:rPr/>
        <w:t>разметки</w:t>
      </w:r>
      <w:r>
        <w:rPr>
          <w:spacing w:val="40"/>
        </w:rPr>
        <w:t> </w:t>
      </w:r>
      <w:r>
        <w:rPr/>
        <w:t>формируются скан-линии: последовательности пикселей по горизонтали и вертикали, кодируемые one-hot по классам. Эти скан-линии служат видимым слоем для двух RBM (горизонтальной и вертикальной),</w:t>
      </w:r>
      <w:r>
        <w:rPr>
          <w:spacing w:val="-13"/>
        </w:rPr>
        <w:t> </w:t>
      </w:r>
      <w:r>
        <w:rPr/>
        <w:t>которые</w:t>
      </w:r>
      <w:r>
        <w:rPr>
          <w:spacing w:val="-13"/>
        </w:rPr>
        <w:t> </w:t>
      </w:r>
      <w:r>
        <w:rPr/>
        <w:t>учатся</w:t>
      </w:r>
      <w:r>
        <w:rPr>
          <w:spacing w:val="-13"/>
        </w:rPr>
        <w:t> </w:t>
      </w:r>
      <w:r>
        <w:rPr/>
        <w:t>распределению</w:t>
      </w:r>
      <w:r>
        <w:rPr>
          <w:spacing w:val="-13"/>
        </w:rPr>
        <w:t> </w:t>
      </w:r>
      <w:r>
        <w:rPr/>
        <w:t>вероятных</w:t>
      </w:r>
      <w:r>
        <w:rPr>
          <w:spacing w:val="-13"/>
        </w:rPr>
        <w:t> </w:t>
      </w:r>
      <w:r>
        <w:rPr/>
        <w:t>конфигураций</w:t>
      </w:r>
      <w:r>
        <w:rPr>
          <w:spacing w:val="-13"/>
        </w:rPr>
        <w:t> </w:t>
      </w:r>
      <w:r>
        <w:rPr/>
        <w:t>фасадов</w:t>
      </w:r>
      <w:r>
        <w:rPr>
          <w:spacing w:val="-13"/>
        </w:rPr>
        <w:t> </w:t>
      </w:r>
      <w:r>
        <w:rPr/>
        <w:t>(количество этажей, ритм окон, положение дверей и крыши). Затем формируется признак, по которому небольшой полносвязный MLP выдает уточненную сегментацию. Дополнительно вводится этап</w:t>
      </w:r>
      <w:r>
        <w:rPr>
          <w:spacing w:val="80"/>
        </w:rPr>
        <w:t> </w:t>
      </w:r>
      <w:r>
        <w:rPr/>
        <w:t>дообучения</w:t>
      </w:r>
      <w:r>
        <w:rPr>
          <w:spacing w:val="80"/>
        </w:rPr>
        <w:t> </w:t>
      </w:r>
      <w:r>
        <w:rPr/>
        <w:t>RBM</w:t>
      </w:r>
      <w:r>
        <w:rPr>
          <w:spacing w:val="80"/>
        </w:rPr>
        <w:t> </w:t>
      </w:r>
      <w:r>
        <w:rPr/>
        <w:t>на</w:t>
      </w:r>
      <w:r>
        <w:rPr>
          <w:spacing w:val="40"/>
        </w:rPr>
        <w:t> </w:t>
      </w:r>
      <w:r>
        <w:rPr/>
        <w:t>самом</w:t>
      </w:r>
      <w:r>
        <w:rPr>
          <w:spacing w:val="40"/>
        </w:rPr>
        <w:t> </w:t>
      </w:r>
      <w:r>
        <w:rPr/>
        <w:t>тестовом</w:t>
      </w:r>
      <w:r>
        <w:rPr>
          <w:spacing w:val="40"/>
        </w:rPr>
        <w:t> </w:t>
      </w:r>
      <w:r>
        <w:rPr/>
        <w:t>изображении.</w:t>
      </w:r>
      <w:r>
        <w:rPr>
          <w:spacing w:val="40"/>
        </w:rPr>
        <w:t> </w:t>
      </w:r>
      <w:r>
        <w:rPr/>
        <w:t>Эксперименты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датасетах ECP-Monge и CMP показывают, что добавление структурного слоя дает существенное улучшение по сравнению с одной только FCN: на ECP точность возрастает с 86,4% до 91,31%,</w:t>
      </w:r>
      <w:r>
        <w:rPr>
          <w:spacing w:val="43"/>
        </w:rPr>
        <w:t> </w:t>
      </w:r>
      <w:r>
        <w:rPr/>
        <w:t>на</w:t>
      </w:r>
      <w:r>
        <w:rPr>
          <w:spacing w:val="44"/>
        </w:rPr>
        <w:t> </w:t>
      </w:r>
      <w:r>
        <w:rPr/>
        <w:t>CMP</w:t>
      </w:r>
      <w:r>
        <w:rPr>
          <w:spacing w:val="44"/>
        </w:rPr>
        <w:t> </w:t>
      </w:r>
      <w:r>
        <w:rPr/>
        <w:t>-</w:t>
      </w:r>
      <w:r>
        <w:rPr>
          <w:spacing w:val="44"/>
        </w:rPr>
        <w:t> </w:t>
      </w:r>
      <w:r>
        <w:rPr/>
        <w:t>с</w:t>
      </w:r>
      <w:r>
        <w:rPr>
          <w:spacing w:val="44"/>
        </w:rPr>
        <w:t> </w:t>
      </w:r>
      <w:r>
        <w:rPr/>
        <w:t>61,46%</w:t>
      </w:r>
      <w:r>
        <w:rPr>
          <w:spacing w:val="44"/>
        </w:rPr>
        <w:t> </w:t>
      </w:r>
      <w:r>
        <w:rPr/>
        <w:t>до</w:t>
      </w:r>
      <w:r>
        <w:rPr>
          <w:spacing w:val="44"/>
        </w:rPr>
        <w:t> </w:t>
      </w:r>
      <w:r>
        <w:rPr/>
        <w:t>69,02%.</w:t>
      </w:r>
      <w:r>
        <w:rPr>
          <w:spacing w:val="43"/>
        </w:rPr>
        <w:t> </w:t>
      </w:r>
      <w:r>
        <w:rPr/>
        <w:t>В</w:t>
      </w:r>
      <w:r>
        <w:rPr>
          <w:spacing w:val="44"/>
        </w:rPr>
        <w:t> </w:t>
      </w:r>
      <w:r>
        <w:rPr/>
        <w:t>сравнении</w:t>
      </w:r>
      <w:r>
        <w:rPr>
          <w:spacing w:val="44"/>
        </w:rPr>
        <w:t> </w:t>
      </w:r>
      <w:r>
        <w:rPr/>
        <w:t>с</w:t>
      </w:r>
      <w:r>
        <w:rPr>
          <w:spacing w:val="44"/>
        </w:rPr>
        <w:t> </w:t>
      </w:r>
      <w:r>
        <w:rPr/>
        <w:t>другими</w:t>
      </w:r>
      <w:r>
        <w:rPr>
          <w:spacing w:val="44"/>
        </w:rPr>
        <w:t> </w:t>
      </w:r>
      <w:r>
        <w:rPr/>
        <w:t>на</w:t>
      </w:r>
      <w:r>
        <w:rPr>
          <w:spacing w:val="44"/>
        </w:rPr>
        <w:t> </w:t>
      </w:r>
      <w:r>
        <w:rPr/>
        <w:t>тот</w:t>
      </w:r>
      <w:r>
        <w:rPr>
          <w:spacing w:val="43"/>
        </w:rPr>
        <w:t> </w:t>
      </w:r>
      <w:r>
        <w:rPr/>
        <w:t>момент</w:t>
      </w:r>
      <w:r>
        <w:rPr>
          <w:spacing w:val="30"/>
        </w:rPr>
        <w:t> </w:t>
      </w:r>
      <w:r>
        <w:rPr>
          <w:spacing w:val="-2"/>
        </w:rPr>
        <w:t>методами,</w:t>
      </w:r>
    </w:p>
    <w:p>
      <w:pPr>
        <w:pStyle w:val="BodyText"/>
        <w:spacing w:after="0" w:line="276" w:lineRule="auto"/>
        <w:sectPr>
          <w:pgSz w:w="11920" w:h="16840"/>
          <w:pgMar w:top="1060" w:bottom="280" w:left="992" w:right="1133"/>
        </w:sectPr>
      </w:pPr>
    </w:p>
    <w:p>
      <w:pPr>
        <w:pStyle w:val="BodyText"/>
        <w:spacing w:line="276" w:lineRule="auto" w:before="74"/>
        <w:ind w:right="18"/>
      </w:pPr>
      <w:r>
        <w:rPr/>
        <w:t>предложенный pipeline демонстрирует высокое качество, не опираясь при этом на жестко прописанные архитектурные правила (если балкон, то над ним окно), а извлекая их из </w:t>
      </w:r>
      <w:r>
        <w:rPr>
          <w:spacing w:val="-2"/>
        </w:rPr>
        <w:t>данных.</w:t>
      </w:r>
    </w:p>
    <w:p>
      <w:pPr>
        <w:pStyle w:val="BodyText"/>
        <w:spacing w:line="276" w:lineRule="auto"/>
        <w:ind w:right="17"/>
      </w:pPr>
      <w:r>
        <w:rPr/>
        <w:t>Хотя эта работа не решает напрямую задачу классификации стилей, она предоставляет важный инструмент: возможность автоматически получать детализированную семантическую карту фасада, которая может служить базой для извлечения стилевых признаков высокого уровня (отношение площади остекления к стене, наличие/отсутствие балконов определённого типа).</w:t>
      </w:r>
    </w:p>
    <w:p>
      <w:pPr>
        <w:pStyle w:val="Heading1"/>
        <w:numPr>
          <w:ilvl w:val="1"/>
          <w:numId w:val="2"/>
        </w:numPr>
        <w:tabs>
          <w:tab w:pos="3065" w:val="left" w:leader="none"/>
        </w:tabs>
        <w:spacing w:line="240" w:lineRule="auto" w:before="240" w:after="0"/>
        <w:ind w:left="3065" w:right="0" w:hanging="420"/>
        <w:jc w:val="left"/>
      </w:pPr>
      <w:r>
        <w:rPr/>
        <w:t>Анализ</w:t>
      </w:r>
      <w:r>
        <w:rPr>
          <w:spacing w:val="-5"/>
        </w:rPr>
        <w:t> </w:t>
      </w:r>
      <w:r>
        <w:rPr/>
        <w:t>фасадных</w:t>
      </w:r>
      <w:r>
        <w:rPr>
          <w:spacing w:val="-2"/>
        </w:rPr>
        <w:t> </w:t>
      </w:r>
      <w:r>
        <w:rPr/>
        <w:t>материалов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цвета.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16"/>
      </w:pPr>
      <w:r>
        <w:rPr/>
        <w:t>Другую группу признаков стиля составляют материалы и цветовые решения. Они часто закреплены нормативами охраны наследия и воспринимаются как ключевые компоненты исторического облика. Работа Xie и соавт. посвящена разработке конвейера для автоматического анализа материалов и цветов фасадов исторической застройки и созданию датасета BFMS.</w:t>
      </w:r>
    </w:p>
    <w:p>
      <w:pPr>
        <w:pStyle w:val="BodyText"/>
        <w:spacing w:line="276" w:lineRule="auto"/>
        <w:ind w:right="13"/>
      </w:pPr>
      <w:r>
        <w:rPr/>
        <w:t>Модель BFMS основана на архитектуре Mask2Former со Swin Transformer в роли энкодера. Входные изображения нарезаются на патчи 768x768; далее пиксельный энкодер на Swin последовательно формирует пирамиду признаков, которые затем агрегируются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пиксельном декодере, а трансформер-декодер Mask2Former генерирует набор масок и соответствующих им классов материалов. Перед настройкой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BFMS</w:t>
      </w:r>
      <w:r>
        <w:rPr>
          <w:spacing w:val="-7"/>
        </w:rPr>
        <w:t> </w:t>
      </w:r>
      <w:r>
        <w:rPr/>
        <w:t>модель</w:t>
      </w:r>
      <w:r>
        <w:rPr>
          <w:spacing w:val="-7"/>
        </w:rPr>
        <w:t> </w:t>
      </w:r>
      <w:r>
        <w:rPr/>
        <w:t>предобучается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универсальном датасете материалов DMS, после чего 200 эпох доводится на BFMS.</w:t>
      </w:r>
    </w:p>
    <w:p>
      <w:pPr>
        <w:pStyle w:val="BodyText"/>
        <w:spacing w:line="276" w:lineRule="auto"/>
        <w:ind w:right="15"/>
      </w:pPr>
      <w:r>
        <w:rPr/>
        <w:t>На валидации BFMS достигает средней интерсекции по объединению (mIoU) около 0,415 и пиксельной точности порядка 76,5%. Для таких классов, как небо, кирпич, стекло, утрамбованная земля, кровельная гидроизоляция, IoU превышает 0,7–0,9, в то время как редкие и визуально неоднородные категории (мутный пластик, резина, керамика, кожа) распознаются хуже. Сравнение с Mask2Former, обученным только на DMS, показывает улучшение по большинству фасадных материалов, что подтверждает пользу специализированного фасадного датасета. По сравнению с архитектурами U-Net, DeepLabV3+ и SegFormer-B3 BFMS превосходит их по всем основным метрикам.</w:t>
      </w:r>
    </w:p>
    <w:p>
      <w:pPr>
        <w:pStyle w:val="BodyText"/>
        <w:spacing w:line="276" w:lineRule="auto"/>
        <w:ind w:right="14"/>
      </w:pPr>
      <w:r>
        <w:rPr/>
        <w:t>Помимо сегментации материалов, Xie и соавт. реализуют два важных модуля: извлечение текстур и извлечение цветов. Для текстур сегментированное изображение разбивается на сетку квадратов 100x100 пикселей; для каждого квадрата, где более 50% площади занято одним материалом, формируется кандидат на образцовую текстуру класса. Такие патчи сортируются и формируют библиотеку типичных фасадных текстур. Для цветов сначала выполняется коррекция баланса белого и экспозиции, затем пиксели каждого материала переводятся в HSV-пространство, где с помощью K-means</w:t>
      </w:r>
      <w:r>
        <w:rPr>
          <w:spacing w:val="-6"/>
        </w:rPr>
        <w:t> </w:t>
      </w:r>
      <w:r>
        <w:rPr/>
        <w:t>(с</w:t>
      </w:r>
      <w:r>
        <w:rPr>
          <w:spacing w:val="-6"/>
        </w:rPr>
        <w:t> </w:t>
      </w:r>
      <w:r>
        <w:rPr/>
        <w:t>ослабленным</w:t>
      </w:r>
      <w:r>
        <w:rPr>
          <w:spacing w:val="-6"/>
        </w:rPr>
        <w:t> </w:t>
      </w:r>
      <w:r>
        <w:rPr/>
        <w:t>влиянием</w:t>
      </w:r>
      <w:r>
        <w:rPr>
          <w:spacing w:val="-6"/>
        </w:rPr>
        <w:t> </w:t>
      </w:r>
      <w:r>
        <w:rPr/>
        <w:t>тёмных пикселей) извлекаются доминирующие цвета. Эти кластеры далее агрегируются по всем зданиям района для построения стандартной палитры материала и района.</w:t>
      </w:r>
    </w:p>
    <w:p>
      <w:pPr>
        <w:pStyle w:val="BodyText"/>
        <w:spacing w:line="276" w:lineRule="auto"/>
        <w:ind w:right="21"/>
      </w:pPr>
      <w:r>
        <w:rPr/>
        <w:t>Применение методики к историческому кварталу Taiping Alley (Цзиндэчжэнь, Китай) показывает, как полученные данные могут использоваться для количественной оценки стилистической</w:t>
      </w:r>
      <w:r>
        <w:rPr>
          <w:spacing w:val="24"/>
        </w:rPr>
        <w:t> </w:t>
      </w:r>
      <w:r>
        <w:rPr/>
        <w:t>согласованности</w:t>
      </w:r>
      <w:r>
        <w:rPr>
          <w:spacing w:val="26"/>
        </w:rPr>
        <w:t> </w:t>
      </w:r>
      <w:r>
        <w:rPr/>
        <w:t>застройки.</w:t>
      </w:r>
      <w:r>
        <w:rPr>
          <w:spacing w:val="26"/>
        </w:rPr>
        <w:t> </w:t>
      </w:r>
      <w:r>
        <w:rPr/>
        <w:t>По</w:t>
      </w:r>
      <w:r>
        <w:rPr>
          <w:spacing w:val="12"/>
        </w:rPr>
        <w:t> </w:t>
      </w:r>
      <w:r>
        <w:rPr/>
        <w:t>долям</w:t>
      </w:r>
      <w:r>
        <w:rPr>
          <w:spacing w:val="12"/>
        </w:rPr>
        <w:t> </w:t>
      </w:r>
      <w:r>
        <w:rPr/>
        <w:t>материалов</w:t>
      </w:r>
      <w:r>
        <w:rPr>
          <w:spacing w:val="12"/>
        </w:rPr>
        <w:t> </w:t>
      </w:r>
      <w:r>
        <w:rPr/>
        <w:t>на</w:t>
      </w:r>
      <w:r>
        <w:rPr>
          <w:spacing w:val="12"/>
        </w:rPr>
        <w:t> </w:t>
      </w:r>
      <w:r>
        <w:rPr/>
        <w:t>фасадах</w:t>
      </w:r>
      <w:r>
        <w:rPr>
          <w:spacing w:val="12"/>
        </w:rPr>
        <w:t> </w:t>
      </w:r>
      <w:r>
        <w:rPr>
          <w:spacing w:val="-2"/>
        </w:rPr>
        <w:t>определяется,</w:t>
      </w:r>
    </w:p>
    <w:p>
      <w:pPr>
        <w:pStyle w:val="BodyText"/>
        <w:spacing w:after="0" w:line="276" w:lineRule="auto"/>
        <w:sectPr>
          <w:pgSz w:w="11920" w:h="16840"/>
          <w:pgMar w:top="1060" w:bottom="280" w:left="992" w:right="1133"/>
        </w:sectPr>
      </w:pPr>
    </w:p>
    <w:p>
      <w:pPr>
        <w:pStyle w:val="BodyText"/>
        <w:spacing w:line="276" w:lineRule="auto" w:before="74"/>
        <w:ind w:right="15"/>
      </w:pPr>
      <w:r>
        <w:rPr/>
        <w:t>какие здания соответствуют историческому образу (преобладание кирпича, камня, дерева, утрамбованной земли) и какие выбиваются (имитационный камень, керамическая плитка в качестве доминирующего материала). Сравнение с экспертными оценками показывает совпадение в подавляющем большинстве случаев. На основе анализа материалов и цвета формулируются обновлённые регламенты: допустимые материалы фасадов и допустимая цветовая гамма. Пример реализации - проект общественного центра, выполненный с учетом этих рекомендаций и органично вписывающийся в существующий исторический ландшафт.</w:t>
      </w:r>
    </w:p>
    <w:p>
      <w:pPr>
        <w:pStyle w:val="BodyText"/>
        <w:spacing w:line="276" w:lineRule="auto"/>
        <w:ind w:right="14"/>
      </w:pPr>
      <w:r>
        <w:rPr/>
        <w:t>В контексте классификации архитектурных стилей BFMS и аналогичные подходы не дают непосредственно ярлык стиля, но создают богатое признаковое пространство, отражающее материально-цветовую составляющую стиля. Совмещение этих признаков с геометрическими и структурными характеристиками фасада представляется перспективным направлением для более точной стилевой классификации.</w:t>
      </w:r>
    </w:p>
    <w:p>
      <w:pPr>
        <w:pStyle w:val="Heading1"/>
        <w:numPr>
          <w:ilvl w:val="1"/>
          <w:numId w:val="2"/>
        </w:numPr>
        <w:tabs>
          <w:tab w:pos="2723" w:val="left" w:leader="none"/>
        </w:tabs>
        <w:spacing w:line="240" w:lineRule="auto" w:before="240" w:after="0"/>
        <w:ind w:left="2723" w:right="0" w:hanging="420"/>
        <w:jc w:val="left"/>
      </w:pPr>
      <w:r>
        <w:rPr/>
        <w:t>Интеграция</w:t>
      </w:r>
      <w:r>
        <w:rPr>
          <w:spacing w:val="-9"/>
        </w:rPr>
        <w:t> </w:t>
      </w:r>
      <w:r>
        <w:rPr/>
        <w:t>глубинных</w:t>
      </w:r>
      <w:r>
        <w:rPr>
          <w:spacing w:val="-7"/>
        </w:rPr>
        <w:t> </w:t>
      </w:r>
      <w:r>
        <w:rPr/>
        <w:t>моделей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CAD/BIM.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14"/>
      </w:pPr>
      <w:r>
        <w:rPr/>
        <w:t>Отдельную линию развития представляют работы, интегрирующие визуальные данные с CAD и BIM-моделями. Li и Dong рассматривают задачу классификации </w:t>
      </w:r>
      <w:r>
        <w:rPr/>
        <w:t>архитектурных стилей на основе данных архитектурного проектирования, подчеркивая, что стиль - это результат синтеза формы, конструктивной схемы, материалов и цвета, и что CAD-модели содержат часть этой информации в явном виде.</w:t>
      </w:r>
    </w:p>
    <w:p>
      <w:pPr>
        <w:pStyle w:val="BodyText"/>
        <w:spacing w:line="276" w:lineRule="auto"/>
        <w:ind w:right="15"/>
      </w:pPr>
      <w:r>
        <w:rPr/>
        <w:t>Предлагаемая ими модель включает</w:t>
      </w:r>
      <w:r>
        <w:rPr>
          <w:spacing w:val="-11"/>
        </w:rPr>
        <w:t> </w:t>
      </w:r>
      <w:r>
        <w:rPr/>
        <w:t>сверточный</w:t>
      </w:r>
      <w:r>
        <w:rPr>
          <w:spacing w:val="-11"/>
        </w:rPr>
        <w:t> </w:t>
      </w:r>
      <w:r>
        <w:rPr/>
        <w:t>энкодер,</w:t>
      </w:r>
      <w:r>
        <w:rPr>
          <w:spacing w:val="-11"/>
        </w:rPr>
        <w:t> </w:t>
      </w:r>
      <w:r>
        <w:rPr/>
        <w:t>извлекающий</w:t>
      </w:r>
      <w:r>
        <w:rPr>
          <w:spacing w:val="-11"/>
        </w:rPr>
        <w:t> </w:t>
      </w:r>
      <w:r>
        <w:rPr/>
        <w:t>визуальные</w:t>
      </w:r>
      <w:r>
        <w:rPr>
          <w:spacing w:val="-11"/>
        </w:rPr>
        <w:t> </w:t>
      </w:r>
      <w:r>
        <w:rPr/>
        <w:t>признаки из изображений (фото или рендеров из CAD), модуль мультиуровневого слияния </w:t>
      </w:r>
      <w:r>
        <w:rPr/>
        <w:t>признаков, учитывающий как масштабные и структурные характеристики, так и параметры CAD (геометрия, размеры, материалы), и классификатор на основе опорных векторов. Обучение осуществляется с использованием стохастического градиентного спуска; подбор гиперпараметров (скорость обучения, размер батча) производится по результатам валидации (оптимальные значения — learning rate 0,01, batch size 256).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финальном</w:t>
      </w:r>
      <w:r>
        <w:rPr>
          <w:spacing w:val="-5"/>
        </w:rPr>
        <w:t> </w:t>
      </w:r>
      <w:r>
        <w:rPr/>
        <w:t>этапе</w:t>
      </w:r>
      <w:r>
        <w:rPr>
          <w:spacing w:val="-5"/>
        </w:rPr>
        <w:t> </w:t>
      </w:r>
      <w:r>
        <w:rPr/>
        <w:t>сверточный энкодер служит извлекательным модулем признаков, а SVM - классификатором.</w:t>
      </w:r>
    </w:p>
    <w:p>
      <w:pPr>
        <w:pStyle w:val="BodyText"/>
        <w:spacing w:line="276" w:lineRule="auto"/>
        <w:ind w:right="19"/>
      </w:pPr>
      <w:r>
        <w:rPr/>
        <w:t>Сравнение с классической моделью SVM (на ручных признаках) и моделью на </w:t>
      </w:r>
      <w:r>
        <w:rPr/>
        <w:t>основе рекуррентной сети показывает преимущество предложенного подхода: точность классификации превышает 97%, среднее абсолютное отклонение (MAE) около 1.24, а время обучения меньше, чем у обоих сравниваемых методов. В прикладном кейсе по оценке и охране древних зданий модель демонстрирует более 95% согласованности с экспертными оценками стиля.</w:t>
      </w:r>
    </w:p>
    <w:p>
      <w:pPr>
        <w:pStyle w:val="BodyText"/>
        <w:spacing w:line="276" w:lineRule="auto"/>
        <w:ind w:right="14"/>
      </w:pPr>
      <w:r>
        <w:rPr/>
        <w:t>Хотя работа не детализирует используемый датасет и перечень стилевых классов, она</w:t>
      </w:r>
      <w:r>
        <w:rPr>
          <w:spacing w:val="-6"/>
        </w:rPr>
        <w:t> </w:t>
      </w:r>
      <w:r>
        <w:rPr/>
        <w:t>важна как пример интеграции визуальных и параметрических архитектурных данных </w:t>
      </w:r>
      <w:r>
        <w:rPr/>
        <w:t>и подчеркивает значимость мультиуровневых признаков (форма, структура, материалы) при классификации стилей.</w:t>
      </w:r>
    </w:p>
    <w:p>
      <w:pPr>
        <w:pStyle w:val="Heading1"/>
        <w:numPr>
          <w:ilvl w:val="1"/>
          <w:numId w:val="2"/>
        </w:numPr>
        <w:tabs>
          <w:tab w:pos="1254" w:val="left" w:leader="none"/>
        </w:tabs>
        <w:spacing w:line="240" w:lineRule="auto" w:before="240" w:after="0"/>
        <w:ind w:left="1254" w:right="0" w:hanging="420"/>
        <w:jc w:val="left"/>
      </w:pPr>
      <w:r>
        <w:rPr/>
        <w:t>Vision–language</w:t>
      </w:r>
      <w:r>
        <w:rPr>
          <w:spacing w:val="-9"/>
        </w:rPr>
        <w:t> </w:t>
      </w:r>
      <w:r>
        <w:rPr/>
        <w:t>модели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интерпретируемый</w:t>
      </w:r>
      <w:r>
        <w:rPr>
          <w:spacing w:val="-7"/>
        </w:rPr>
        <w:t> </w:t>
      </w:r>
      <w:r>
        <w:rPr/>
        <w:t>анализ</w:t>
      </w:r>
      <w:r>
        <w:rPr>
          <w:spacing w:val="-6"/>
        </w:rPr>
        <w:t> </w:t>
      </w:r>
      <w:r>
        <w:rPr/>
        <w:t>стилевого</w:t>
      </w:r>
      <w:r>
        <w:rPr>
          <w:spacing w:val="-6"/>
        </w:rPr>
        <w:t> </w:t>
      </w:r>
      <w:r>
        <w:rPr>
          <w:spacing w:val="-2"/>
        </w:rPr>
        <w:t>почерка.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20"/>
      </w:pPr>
      <w:r>
        <w:rPr/>
        <w:t>Последний на сегодняшний день этап эволюции методов - применение больших vision–language</w:t>
      </w:r>
      <w:r>
        <w:rPr>
          <w:spacing w:val="58"/>
          <w:w w:val="150"/>
        </w:rPr>
        <w:t> </w:t>
      </w:r>
      <w:r>
        <w:rPr/>
        <w:t>моделей</w:t>
      </w:r>
      <w:r>
        <w:rPr>
          <w:spacing w:val="58"/>
          <w:w w:val="150"/>
        </w:rPr>
        <w:t> </w:t>
      </w:r>
      <w:r>
        <w:rPr/>
        <w:t>(VLM/VLLM)</w:t>
      </w:r>
      <w:r>
        <w:rPr>
          <w:spacing w:val="59"/>
          <w:w w:val="150"/>
        </w:rPr>
        <w:t> </w:t>
      </w:r>
      <w:r>
        <w:rPr/>
        <w:t>для</w:t>
      </w:r>
      <w:r>
        <w:rPr>
          <w:spacing w:val="58"/>
          <w:w w:val="150"/>
        </w:rPr>
        <w:t> </w:t>
      </w:r>
      <w:r>
        <w:rPr/>
        <w:t>анализа</w:t>
      </w:r>
      <w:r>
        <w:rPr>
          <w:spacing w:val="58"/>
          <w:w w:val="150"/>
        </w:rPr>
        <w:t> </w:t>
      </w:r>
      <w:r>
        <w:rPr/>
        <w:t>архитектурных</w:t>
      </w:r>
      <w:r>
        <w:rPr>
          <w:spacing w:val="59"/>
          <w:w w:val="150"/>
        </w:rPr>
        <w:t> </w:t>
      </w:r>
      <w:r>
        <w:rPr/>
        <w:t>стилей.</w:t>
      </w:r>
      <w:r>
        <w:rPr>
          <w:spacing w:val="58"/>
          <w:w w:val="150"/>
        </w:rPr>
        <w:t> </w:t>
      </w:r>
      <w:r>
        <w:rPr/>
        <w:t>Эти</w:t>
      </w:r>
      <w:r>
        <w:rPr>
          <w:spacing w:val="74"/>
        </w:rPr>
        <w:t> </w:t>
      </w:r>
      <w:r>
        <w:rPr>
          <w:spacing w:val="-2"/>
        </w:rPr>
        <w:t>модели</w:t>
      </w:r>
    </w:p>
    <w:p>
      <w:pPr>
        <w:pStyle w:val="BodyText"/>
        <w:spacing w:after="0" w:line="276" w:lineRule="auto"/>
        <w:sectPr>
          <w:pgSz w:w="11920" w:h="16840"/>
          <w:pgMar w:top="1060" w:bottom="280" w:left="992" w:right="1133"/>
        </w:sectPr>
      </w:pPr>
    </w:p>
    <w:p>
      <w:pPr>
        <w:pStyle w:val="BodyText"/>
        <w:spacing w:line="276" w:lineRule="auto" w:before="74"/>
        <w:ind w:right="26"/>
      </w:pPr>
      <w:r>
        <w:rPr/>
        <w:t>объединяют визуальный и текстовый каналы, что позволяет переходить от немого ярлыка стиля к объяснимым текстовым описаниям стилевых особенностей.</w:t>
      </w:r>
    </w:p>
    <w:p>
      <w:pPr>
        <w:pStyle w:val="BodyText"/>
        <w:spacing w:line="276" w:lineRule="auto"/>
        <w:ind w:right="13"/>
      </w:pPr>
      <w:r>
        <w:rPr/>
        <w:t>Zhong и соавт. предлагают рамку ArchiLense для количественного анализа авторских стилей на базе датасета ArchDiffBench.</w:t>
      </w:r>
      <w:r>
        <w:rPr>
          <w:spacing w:val="-5"/>
        </w:rPr>
        <w:t> </w:t>
      </w:r>
      <w:r>
        <w:rPr/>
        <w:t>Фреймворк</w:t>
      </w:r>
      <w:r>
        <w:rPr>
          <w:spacing w:val="-5"/>
        </w:rPr>
        <w:t> </w:t>
      </w:r>
      <w:r>
        <w:rPr/>
        <w:t>состоит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двух</w:t>
      </w:r>
      <w:r>
        <w:rPr>
          <w:spacing w:val="-5"/>
        </w:rPr>
        <w:t> </w:t>
      </w:r>
      <w:r>
        <w:rPr/>
        <w:t>подсистем:</w:t>
      </w:r>
      <w:r>
        <w:rPr>
          <w:spacing w:val="-5"/>
        </w:rPr>
        <w:t> </w:t>
      </w:r>
      <w:r>
        <w:rPr/>
        <w:t>Style</w:t>
      </w:r>
      <w:r>
        <w:rPr>
          <w:spacing w:val="-5"/>
        </w:rPr>
        <w:t> </w:t>
      </w:r>
      <w:r>
        <w:rPr/>
        <w:t>Extractor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Style Evaluator. Первая автоматически генерирует текстовые описания различий между двумя группами изображений (проектами двух архитекторов), вторая количественно проверяет, насколько эти описания действительно различают группы.</w:t>
      </w:r>
    </w:p>
    <w:p>
      <w:pPr>
        <w:pStyle w:val="BodyText"/>
        <w:spacing w:line="276" w:lineRule="auto"/>
        <w:ind w:right="15"/>
      </w:pPr>
      <w:r>
        <w:rPr/>
        <w:t>В Style Extractor рассматриваются несколько вариантов, основанных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VLM:</w:t>
      </w:r>
      <w:r>
        <w:rPr>
          <w:spacing w:val="-6"/>
        </w:rPr>
        <w:t> </w:t>
      </w:r>
      <w:r>
        <w:rPr/>
        <w:t>прямой</w:t>
      </w:r>
      <w:r>
        <w:rPr>
          <w:spacing w:val="-6"/>
        </w:rPr>
        <w:t> </w:t>
      </w:r>
      <w:r>
        <w:rPr/>
        <w:t>анализ изображений, генерация разностей эмбеддингов и последующее текстовое</w:t>
      </w:r>
      <w:r>
        <w:rPr>
          <w:spacing w:val="-6"/>
        </w:rPr>
        <w:t> </w:t>
      </w:r>
      <w:r>
        <w:rPr/>
        <w:t>описание,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также вариант, признанный наиболее успешным - сопоставление наборов текстовых подписейавтоматически сгенерированных для обеих групп, и генерация на их основе описания</w:t>
      </w:r>
      <w:r>
        <w:rPr>
          <w:spacing w:val="55"/>
        </w:rPr>
        <w:t> </w:t>
      </w:r>
      <w:r>
        <w:rPr/>
        <w:t>стилистических</w:t>
      </w:r>
      <w:r>
        <w:rPr>
          <w:spacing w:val="57"/>
        </w:rPr>
        <w:t> </w:t>
      </w:r>
      <w:r>
        <w:rPr/>
        <w:t>отличий.</w:t>
      </w:r>
      <w:r>
        <w:rPr>
          <w:spacing w:val="57"/>
        </w:rPr>
        <w:t> </w:t>
      </w:r>
      <w:r>
        <w:rPr/>
        <w:t>В</w:t>
      </w:r>
      <w:r>
        <w:rPr>
          <w:spacing w:val="57"/>
        </w:rPr>
        <w:t> </w:t>
      </w:r>
      <w:r>
        <w:rPr/>
        <w:t>Style</w:t>
      </w:r>
      <w:r>
        <w:rPr>
          <w:spacing w:val="57"/>
        </w:rPr>
        <w:t> </w:t>
      </w:r>
      <w:r>
        <w:rPr/>
        <w:t>Evaluator</w:t>
      </w:r>
      <w:r>
        <w:rPr>
          <w:spacing w:val="57"/>
        </w:rPr>
        <w:t> </w:t>
      </w:r>
      <w:r>
        <w:rPr/>
        <w:t>для</w:t>
      </w:r>
      <w:r>
        <w:rPr>
          <w:spacing w:val="57"/>
        </w:rPr>
        <w:t> </w:t>
      </w:r>
      <w:r>
        <w:rPr/>
        <w:t>каждого</w:t>
      </w:r>
      <w:r>
        <w:rPr>
          <w:spacing w:val="57"/>
        </w:rPr>
        <w:t> </w:t>
      </w:r>
      <w:r>
        <w:rPr/>
        <w:t>текстового</w:t>
      </w:r>
      <w:r>
        <w:rPr>
          <w:spacing w:val="57"/>
        </w:rPr>
        <w:t> </w:t>
      </w:r>
      <w:r>
        <w:rPr/>
        <w:t>описания</w:t>
      </w:r>
      <w:r>
        <w:rPr>
          <w:spacing w:val="43"/>
        </w:rPr>
        <w:t> </w:t>
      </w:r>
      <w:r>
        <w:rPr>
          <w:spacing w:val="-10"/>
        </w:rPr>
        <w:t>y</w:t>
      </w:r>
    </w:p>
    <w:p>
      <w:pPr>
        <w:pStyle w:val="BodyText"/>
        <w:spacing w:after="0" w:line="276" w:lineRule="auto"/>
        <w:sectPr>
          <w:pgSz w:w="11920" w:h="16840"/>
          <w:pgMar w:top="1060" w:bottom="280" w:left="992" w:right="1133"/>
        </w:sectPr>
      </w:pPr>
    </w:p>
    <w:p>
      <w:pPr>
        <w:pStyle w:val="BodyText"/>
        <w:spacing w:before="6"/>
        <w:jc w:val="left"/>
      </w:pPr>
      <w:r>
        <w:rPr/>
        <w:t>вводится</w:t>
      </w:r>
      <w:r>
        <w:rPr>
          <w:spacing w:val="71"/>
          <w:w w:val="150"/>
        </w:rPr>
        <w:t> </w:t>
      </w:r>
      <w:r>
        <w:rPr/>
        <w:t>мера</w:t>
      </w:r>
      <w:r>
        <w:rPr>
          <w:spacing w:val="72"/>
          <w:w w:val="150"/>
        </w:rPr>
        <w:t> </w:t>
      </w:r>
      <w:r>
        <w:rPr>
          <w:spacing w:val="-2"/>
        </w:rPr>
        <w:t>соответствия</w:t>
      </w:r>
    </w:p>
    <w:p>
      <w:pPr>
        <w:pStyle w:val="BodyText"/>
        <w:spacing w:before="2"/>
        <w:ind w:left="124"/>
        <w:jc w:val="left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θ(𝑥,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  <w:spacing w:val="-5"/>
        </w:rPr>
        <w:t>𝑦)</w:t>
      </w:r>
    </w:p>
    <w:p>
      <w:pPr>
        <w:pStyle w:val="BodyText"/>
        <w:spacing w:before="6"/>
        <w:ind w:left="125"/>
        <w:jc w:val="left"/>
      </w:pPr>
      <w:r>
        <w:rPr/>
        <w:br w:type="column"/>
      </w:r>
      <w:r>
        <w:rPr/>
        <w:t>между</w:t>
      </w:r>
      <w:r>
        <w:rPr>
          <w:spacing w:val="53"/>
          <w:w w:val="150"/>
        </w:rPr>
        <w:t> </w:t>
      </w:r>
      <w:r>
        <w:rPr/>
        <w:t>изображением</w:t>
      </w:r>
      <w:r>
        <w:rPr>
          <w:spacing w:val="56"/>
          <w:w w:val="150"/>
        </w:rPr>
        <w:t> </w:t>
      </w:r>
      <w:r>
        <w:rPr/>
        <w:t>x</w:t>
      </w:r>
      <w:r>
        <w:rPr>
          <w:spacing w:val="55"/>
          <w:w w:val="150"/>
        </w:rPr>
        <w:t> </w:t>
      </w:r>
      <w:r>
        <w:rPr/>
        <w:t>и</w:t>
      </w:r>
      <w:r>
        <w:rPr>
          <w:spacing w:val="56"/>
          <w:w w:val="150"/>
        </w:rPr>
        <w:t> </w:t>
      </w:r>
      <w:r>
        <w:rPr/>
        <w:t>текстом</w:t>
      </w:r>
      <w:r>
        <w:rPr>
          <w:spacing w:val="55"/>
          <w:w w:val="150"/>
        </w:rPr>
        <w:t> </w:t>
      </w:r>
      <w:r>
        <w:rPr/>
        <w:t>(на</w:t>
      </w:r>
      <w:r>
        <w:rPr>
          <w:spacing w:val="56"/>
          <w:w w:val="150"/>
        </w:rPr>
        <w:t> </w:t>
      </w:r>
      <w:r>
        <w:rPr/>
        <w:t>практике</w:t>
      </w:r>
      <w:r>
        <w:rPr>
          <w:spacing w:val="56"/>
          <w:w w:val="150"/>
        </w:rPr>
        <w:t> </w:t>
      </w:r>
      <w:r>
        <w:rPr>
          <w:spacing w:val="-10"/>
        </w:rPr>
        <w:t>-</w:t>
      </w:r>
    </w:p>
    <w:p>
      <w:pPr>
        <w:pStyle w:val="BodyText"/>
        <w:spacing w:after="0"/>
        <w:jc w:val="left"/>
        <w:sectPr>
          <w:type w:val="continuous"/>
          <w:pgSz w:w="11920" w:h="16840"/>
          <w:pgMar w:top="1060" w:bottom="280" w:left="992" w:right="1133"/>
          <w:cols w:num="3" w:equalWidth="0">
            <w:col w:w="3209" w:space="40"/>
            <w:col w:w="815" w:space="39"/>
            <w:col w:w="5692"/>
          </w:cols>
        </w:sectPr>
      </w:pPr>
    </w:p>
    <w:p>
      <w:pPr>
        <w:pStyle w:val="BodyText"/>
        <w:spacing w:line="278" w:lineRule="auto" w:before="46"/>
        <w:ind w:right="21"/>
      </w:pPr>
      <w:r>
        <w:rPr/>
        <w:t>косинусное сходство между эмбеддингами), и на её</w:t>
      </w:r>
      <w:r>
        <w:rPr>
          <w:spacing w:val="-5"/>
        </w:rPr>
        <w:t> </w:t>
      </w:r>
      <w:r>
        <w:rPr/>
        <w:t>основе</w:t>
      </w:r>
      <w:r>
        <w:rPr>
          <w:spacing w:val="-5"/>
        </w:rPr>
        <w:t> </w:t>
      </w:r>
      <w:r>
        <w:rPr/>
        <w:t>вычисляется</w:t>
      </w:r>
      <w:r>
        <w:rPr>
          <w:spacing w:val="-5"/>
        </w:rPr>
        <w:t> </w:t>
      </w:r>
      <w:r>
        <w:rPr/>
        <w:t>разность</w:t>
      </w:r>
      <w:r>
        <w:rPr>
          <w:spacing w:val="-5"/>
        </w:rPr>
        <w:t> </w:t>
      </w:r>
      <w:r>
        <w:rPr/>
        <w:t>средних</w:t>
      </w:r>
      <w:r>
        <w:rPr>
          <w:spacing w:val="-5"/>
        </w:rPr>
        <w:t> </w:t>
      </w:r>
      <w:r>
        <w:rPr/>
        <w:t>по двум группам. По распределениям </w:t>
      </w:r>
      <w:r>
        <w:rPr>
          <w:rFonts w:ascii="Cambria Math" w:hAnsi="Cambria Math" w:eastAsia="Cambria Math"/>
        </w:rPr>
        <w:t>θ(𝑥,</w:t>
      </w:r>
      <w:r>
        <w:rPr>
          <w:rFonts w:ascii="Cambria Math" w:hAnsi="Cambria Math" w:eastAsia="Cambria Math"/>
          <w:spacing w:val="-8"/>
        </w:rPr>
        <w:t> </w:t>
      </w:r>
      <w:r>
        <w:rPr>
          <w:rFonts w:ascii="Cambria Math" w:hAnsi="Cambria Math" w:eastAsia="Cambria Math"/>
        </w:rPr>
        <w:t>𝑦) </w:t>
      </w:r>
      <w:r>
        <w:rPr/>
        <w:t>для групп A и B проводится t-тест; описания, для которых различие статистически значимо (p &lt; 0 .05), признаются дифференцирующими.</w:t>
      </w:r>
    </w:p>
    <w:p>
      <w:pPr>
        <w:pStyle w:val="BodyText"/>
        <w:spacing w:line="276" w:lineRule="auto" w:before="237"/>
        <w:ind w:right="24"/>
      </w:pPr>
      <w:r>
        <w:rPr/>
        <w:t>Экспериментально более 80% описаний, сгенерированных для 270 пар, оказываются статистически значимыми.</w:t>
      </w:r>
    </w:p>
    <w:p>
      <w:pPr>
        <w:pStyle w:val="Heading1"/>
        <w:numPr>
          <w:ilvl w:val="1"/>
          <w:numId w:val="2"/>
        </w:numPr>
        <w:tabs>
          <w:tab w:pos="4889" w:val="left" w:leader="none"/>
        </w:tabs>
        <w:spacing w:line="240" w:lineRule="auto" w:before="240" w:after="0"/>
        <w:ind w:left="4889" w:right="0" w:hanging="420"/>
        <w:jc w:val="left"/>
      </w:pPr>
      <w:r>
        <w:rPr>
          <w:spacing w:val="-2"/>
        </w:rPr>
        <w:t>Итог.</w:t>
      </w:r>
    </w:p>
    <w:p>
      <w:pPr>
        <w:pStyle w:val="BodyText"/>
        <w:spacing w:before="5"/>
        <w:ind w:left="0"/>
        <w:jc w:val="left"/>
        <w:rPr>
          <w:b/>
        </w:rPr>
      </w:pPr>
    </w:p>
    <w:p>
      <w:pPr>
        <w:pStyle w:val="BodyText"/>
        <w:spacing w:line="276" w:lineRule="auto" w:before="0"/>
        <w:ind w:right="15"/>
      </w:pPr>
      <w:r>
        <w:rPr/>
        <w:t>С учетом вышеописанного, ряд исследовательских вопросов остаётся</w:t>
      </w:r>
      <w:r>
        <w:rPr>
          <w:spacing w:val="-5"/>
        </w:rPr>
        <w:t> </w:t>
      </w:r>
      <w:r>
        <w:rPr/>
        <w:t>открытым.</w:t>
      </w:r>
      <w:r>
        <w:rPr>
          <w:spacing w:val="-5"/>
        </w:rPr>
        <w:t> </w:t>
      </w:r>
      <w:r>
        <w:rPr/>
        <w:t>Во-первых, требуется интеграция различных уровней признаков - глобальной геометрии, структурной семантики фасада (окна, двери, балконы, карнизы), материалов и цвета в единую модель классификации архитектурных стилей. Во-вторых, мало исследованы </w:t>
      </w:r>
      <w:r>
        <w:rPr/>
        <w:t>иерархические постановки, учитывающие как широкие эпохи, так и подстили, а также возможность смешения нескольких стилевых влияний в одном здании. В-третьих, на фоне успехов VLM остается во многом нерешенной задача сочетания высокой точности классификации с интерпретируемостью, когда модель не только выдает ярлык стиля, но и</w:t>
      </w:r>
      <w:r>
        <w:rPr>
          <w:spacing w:val="-7"/>
        </w:rPr>
        <w:t> </w:t>
      </w:r>
      <w:r>
        <w:rPr/>
        <w:t>объясняет</w:t>
      </w:r>
      <w:r>
        <w:rPr>
          <w:spacing w:val="-7"/>
        </w:rPr>
        <w:t> </w:t>
      </w:r>
      <w:r>
        <w:rPr/>
        <w:t>его</w:t>
      </w:r>
      <w:r>
        <w:rPr>
          <w:spacing w:val="-7"/>
        </w:rPr>
        <w:t> </w:t>
      </w:r>
      <w:r>
        <w:rPr/>
        <w:t>через понятные архитектору структурные, материальные и цветовые признаки.</w:t>
      </w:r>
    </w:p>
    <w:p>
      <w:pPr>
        <w:pStyle w:val="BodyText"/>
        <w:spacing w:line="276" w:lineRule="auto"/>
        <w:ind w:right="15"/>
      </w:pPr>
      <w:r>
        <w:rPr/>
        <w:t>Данная работа, посвященная классификации</w:t>
      </w:r>
      <w:r>
        <w:rPr>
          <w:spacing w:val="-5"/>
        </w:rPr>
        <w:t> </w:t>
      </w:r>
      <w:r>
        <w:rPr/>
        <w:t>архитектурных</w:t>
      </w:r>
      <w:r>
        <w:rPr>
          <w:spacing w:val="-5"/>
        </w:rPr>
        <w:t> </w:t>
      </w:r>
      <w:r>
        <w:rPr/>
        <w:t>стилей,</w:t>
      </w:r>
      <w:r>
        <w:rPr>
          <w:spacing w:val="-5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занять</w:t>
      </w:r>
      <w:r>
        <w:rPr>
          <w:spacing w:val="-5"/>
        </w:rPr>
        <w:t> </w:t>
      </w:r>
      <w:r>
        <w:rPr/>
        <w:t>свое</w:t>
      </w:r>
      <w:r>
        <w:rPr>
          <w:spacing w:val="-5"/>
        </w:rPr>
        <w:t> </w:t>
      </w:r>
      <w:r>
        <w:rPr/>
        <w:t>место в этом поле, опираясь на наработки по семантической сегментации фасадов и анализу материалов (как источник содержательных признаков), на классические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гибридные</w:t>
      </w:r>
      <w:r>
        <w:rPr>
          <w:spacing w:val="-8"/>
        </w:rPr>
        <w:t> </w:t>
      </w:r>
      <w:r>
        <w:rPr/>
        <w:t>модели стилевой классификации (как отправную точку для выбора архитектуры) и на идеи интерпретируемого анализа (как ориентир при формулировании выходных </w:t>
      </w:r>
      <w:r>
        <w:rPr/>
        <w:t>характеристик модели).</w:t>
      </w:r>
      <w:r>
        <w:rPr>
          <w:spacing w:val="-3"/>
        </w:rPr>
        <w:t> </w:t>
      </w:r>
      <w:r>
        <w:rPr/>
        <w:t>Такой</w:t>
      </w:r>
      <w:r>
        <w:rPr>
          <w:spacing w:val="-3"/>
        </w:rPr>
        <w:t> </w:t>
      </w:r>
      <w:r>
        <w:rPr/>
        <w:t>синтез</w:t>
      </w:r>
      <w:r>
        <w:rPr>
          <w:spacing w:val="-3"/>
        </w:rPr>
        <w:t> </w:t>
      </w:r>
      <w:r>
        <w:rPr/>
        <w:t>позволит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только</w:t>
      </w:r>
      <w:r>
        <w:rPr>
          <w:spacing w:val="-14"/>
        </w:rPr>
        <w:t> </w:t>
      </w:r>
      <w:r>
        <w:rPr/>
        <w:t>улучшить</w:t>
      </w:r>
      <w:r>
        <w:rPr>
          <w:spacing w:val="-14"/>
        </w:rPr>
        <w:t> </w:t>
      </w:r>
      <w:r>
        <w:rPr/>
        <w:t>качество</w:t>
      </w:r>
      <w:r>
        <w:rPr>
          <w:spacing w:val="-14"/>
        </w:rPr>
        <w:t> </w:t>
      </w:r>
      <w:r>
        <w:rPr/>
        <w:t>автоматической</w:t>
      </w:r>
      <w:r>
        <w:rPr>
          <w:spacing w:val="-14"/>
        </w:rPr>
        <w:t> </w:t>
      </w:r>
      <w:r>
        <w:rPr/>
        <w:t>классификации стилей, но и связать результаты работы с традиционной архитектурной теорией.</w:t>
      </w:r>
    </w:p>
    <w:sectPr>
      <w:type w:val="continuous"/>
      <w:pgSz w:w="11920" w:h="16840"/>
      <w:pgMar w:top="10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"/>
      <w:lvlJc w:val="left"/>
      <w:pPr>
        <w:ind w:left="3537" w:hanging="42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537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791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416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042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667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293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18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44" w:hanging="42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3925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78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57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87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53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8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89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141"/>
      <w:jc w:val="both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40"/>
      <w:ind w:left="1240" w:hanging="4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923" w:hanging="278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1240" w:hanging="42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 / last_version</dc:title>
  <dcterms:created xsi:type="dcterms:W3CDTF">2026-01-19T08:30:11Z</dcterms:created>
  <dcterms:modified xsi:type="dcterms:W3CDTF">2026-01-19T08:30:11Z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2026-01-19T00:00:00Z</vt:filetime>
  </property>
</Properties>
</file>