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" w:hAnsi="Times"/>
        </w:rPr>
        <w:id w:val="-190906733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0F82D28" w14:textId="52920EA7" w:rsidR="003D3E02" w:rsidRPr="00594B17" w:rsidRDefault="003D3E02">
          <w:pPr>
            <w:rPr>
              <w:rFonts w:ascii="Times" w:hAnsi="Times"/>
            </w:rPr>
          </w:pPr>
        </w:p>
        <w:p w14:paraId="1A9DDB75" w14:textId="7002BE03" w:rsidR="00676556" w:rsidRPr="00752094" w:rsidRDefault="00676556" w:rsidP="00676556">
          <w:pPr>
            <w:spacing w:line="480" w:lineRule="auto"/>
            <w:rPr>
              <w:rFonts w:ascii="Times" w:eastAsia="Times" w:hAnsi="Times" w:cs="Times"/>
              <w:b/>
              <w:bCs/>
            </w:rPr>
          </w:pPr>
          <w:r w:rsidRPr="00752094">
            <w:rPr>
              <w:rFonts w:ascii="Times" w:eastAsia="Times" w:hAnsi="Times" w:cs="Times"/>
              <w:b/>
              <w:bCs/>
            </w:rPr>
            <w:t>Genome-Wide Association Studies of Antimicrobial Activity in Global Sorghum [</w:t>
          </w:r>
          <w:r w:rsidRPr="00752094">
            <w:rPr>
              <w:rFonts w:ascii="Times" w:eastAsia="Times" w:hAnsi="Times" w:cs="Times"/>
              <w:b/>
              <w:bCs/>
              <w:i/>
            </w:rPr>
            <w:t xml:space="preserve">Sorghum bicolor </w:t>
          </w:r>
          <w:r w:rsidRPr="00752094">
            <w:rPr>
              <w:rFonts w:ascii="Times" w:eastAsia="Times" w:hAnsi="Times" w:cs="Times"/>
              <w:b/>
              <w:bCs/>
            </w:rPr>
            <w:t xml:space="preserve">(L.) Moench] </w:t>
          </w:r>
        </w:p>
        <w:p w14:paraId="34407CE4" w14:textId="77777777" w:rsidR="00676556" w:rsidRPr="00752094" w:rsidRDefault="00676556" w:rsidP="00676556">
          <w:pPr>
            <w:spacing w:line="480" w:lineRule="auto"/>
            <w:rPr>
              <w:rFonts w:ascii="Times" w:eastAsia="Times" w:hAnsi="Times" w:cs="Times"/>
              <w:b/>
              <w:bCs/>
            </w:rPr>
          </w:pPr>
        </w:p>
        <w:p w14:paraId="02224D81" w14:textId="2C4FECBB" w:rsidR="00676556" w:rsidRPr="00752094" w:rsidRDefault="00676556" w:rsidP="00676556">
          <w:pPr>
            <w:spacing w:line="480" w:lineRule="auto"/>
            <w:rPr>
              <w:rFonts w:ascii="Times" w:hAnsi="Times"/>
              <w:vertAlign w:val="superscript"/>
            </w:rPr>
          </w:pPr>
          <w:r w:rsidRPr="00752094">
            <w:rPr>
              <w:rFonts w:ascii="Times" w:hAnsi="Times"/>
            </w:rPr>
            <w:t xml:space="preserve">Lindsay </w:t>
          </w:r>
          <w:proofErr w:type="spellStart"/>
          <w:proofErr w:type="gramStart"/>
          <w:r w:rsidRPr="00752094">
            <w:rPr>
              <w:rFonts w:ascii="Times" w:hAnsi="Times"/>
            </w:rPr>
            <w:t>Shields</w:t>
          </w:r>
          <w:r w:rsidRPr="00752094">
            <w:rPr>
              <w:rFonts w:ascii="Times" w:hAnsi="Times"/>
              <w:vertAlign w:val="superscript"/>
            </w:rPr>
            <w:t>a,b</w:t>
          </w:r>
          <w:proofErr w:type="spellEnd"/>
          <w:proofErr w:type="gramEnd"/>
          <w:r w:rsidRPr="00752094">
            <w:rPr>
              <w:rFonts w:ascii="Times" w:hAnsi="Times"/>
              <w:vertAlign w:val="superscript"/>
            </w:rPr>
            <w:t xml:space="preserve"> *</w:t>
          </w:r>
          <w:r w:rsidRPr="00752094">
            <w:rPr>
              <w:rFonts w:ascii="Times" w:hAnsi="Times"/>
            </w:rPr>
            <w:t xml:space="preserve">, Yang </w:t>
          </w:r>
          <w:proofErr w:type="spellStart"/>
          <w:r w:rsidRPr="00752094">
            <w:rPr>
              <w:rFonts w:ascii="Times" w:hAnsi="Times"/>
            </w:rPr>
            <w:t>Gang</w:t>
          </w:r>
          <w:r w:rsidR="00F051D2" w:rsidRPr="00752094">
            <w:rPr>
              <w:rFonts w:ascii="Times" w:hAnsi="Times"/>
              <w:vertAlign w:val="superscript"/>
            </w:rPr>
            <w:t>c</w:t>
          </w:r>
          <w:proofErr w:type="spellEnd"/>
          <w:r w:rsidRPr="00752094">
            <w:rPr>
              <w:rFonts w:ascii="Times" w:hAnsi="Times"/>
              <w:vertAlign w:val="superscript"/>
            </w:rPr>
            <w:t>,</w:t>
          </w:r>
          <w:r w:rsidRPr="00752094">
            <w:rPr>
              <w:rFonts w:ascii="Times" w:hAnsi="Times"/>
              <w:vertAlign w:val="superscript"/>
            </w:rPr>
            <w:sym w:font="Symbol" w:char="F02B"/>
          </w:r>
          <w:r w:rsidRPr="00752094">
            <w:rPr>
              <w:rFonts w:ascii="Times" w:hAnsi="Times"/>
            </w:rPr>
            <w:t xml:space="preserve">, Kathleen </w:t>
          </w:r>
          <w:proofErr w:type="spellStart"/>
          <w:r w:rsidRPr="00752094">
            <w:rPr>
              <w:rFonts w:ascii="Times" w:hAnsi="Times"/>
            </w:rPr>
            <w:t>Jordan</w:t>
          </w:r>
          <w:r w:rsidRPr="00752094">
            <w:rPr>
              <w:rFonts w:ascii="Times" w:hAnsi="Times"/>
              <w:vertAlign w:val="superscript"/>
            </w:rPr>
            <w:t>b</w:t>
          </w:r>
          <w:proofErr w:type="spellEnd"/>
          <w:r w:rsidRPr="00752094">
            <w:rPr>
              <w:rFonts w:ascii="Times" w:hAnsi="Times"/>
            </w:rPr>
            <w:t xml:space="preserve">, </w:t>
          </w:r>
          <w:proofErr w:type="spellStart"/>
          <w:r w:rsidRPr="00752094">
            <w:rPr>
              <w:rFonts w:ascii="Times" w:hAnsi="Times"/>
            </w:rPr>
            <w:t>Sirjan</w:t>
          </w:r>
          <w:proofErr w:type="spellEnd"/>
          <w:r w:rsidRPr="00752094">
            <w:rPr>
              <w:rFonts w:ascii="Times" w:hAnsi="Times"/>
            </w:rPr>
            <w:t xml:space="preserve"> </w:t>
          </w:r>
          <w:proofErr w:type="spellStart"/>
          <w:r w:rsidRPr="00752094">
            <w:rPr>
              <w:rFonts w:ascii="Times" w:hAnsi="Times"/>
            </w:rPr>
            <w:t>Sapkota</w:t>
          </w:r>
          <w:r w:rsidRPr="00752094">
            <w:rPr>
              <w:rFonts w:ascii="Times" w:hAnsi="Times"/>
              <w:vertAlign w:val="superscript"/>
            </w:rPr>
            <w:t>a,b</w:t>
          </w:r>
          <w:proofErr w:type="spellEnd"/>
          <w:r w:rsidRPr="00752094">
            <w:rPr>
              <w:rFonts w:ascii="Times" w:hAnsi="Times"/>
            </w:rPr>
            <w:t xml:space="preserve">, Lucas </w:t>
          </w:r>
          <w:proofErr w:type="spellStart"/>
          <w:r w:rsidRPr="00752094">
            <w:rPr>
              <w:rFonts w:ascii="Times" w:hAnsi="Times"/>
            </w:rPr>
            <w:t>Boatwright</w:t>
          </w:r>
          <w:r w:rsidRPr="00752094">
            <w:rPr>
              <w:rFonts w:ascii="Times" w:hAnsi="Times"/>
              <w:vertAlign w:val="superscript"/>
            </w:rPr>
            <w:t>a,b</w:t>
          </w:r>
          <w:proofErr w:type="spellEnd"/>
          <w:r w:rsidRPr="00752094">
            <w:rPr>
              <w:rFonts w:ascii="Times" w:hAnsi="Times"/>
            </w:rPr>
            <w:t xml:space="preserve">, </w:t>
          </w:r>
          <w:proofErr w:type="spellStart"/>
          <w:r w:rsidRPr="00752094">
            <w:rPr>
              <w:rFonts w:ascii="Times" w:hAnsi="Times"/>
            </w:rPr>
            <w:t>Xiuping</w:t>
          </w:r>
          <w:proofErr w:type="spellEnd"/>
          <w:r w:rsidRPr="00752094">
            <w:rPr>
              <w:rFonts w:ascii="Times" w:hAnsi="Times"/>
            </w:rPr>
            <w:t xml:space="preserve"> </w:t>
          </w:r>
          <w:proofErr w:type="spellStart"/>
          <w:r w:rsidRPr="00752094">
            <w:rPr>
              <w:rFonts w:ascii="Times" w:hAnsi="Times"/>
            </w:rPr>
            <w:t>Jiang</w:t>
          </w:r>
          <w:r w:rsidR="00332D25" w:rsidRPr="00752094">
            <w:rPr>
              <w:rFonts w:ascii="Times" w:hAnsi="Times"/>
              <w:vertAlign w:val="superscript"/>
            </w:rPr>
            <w:t>c</w:t>
          </w:r>
          <w:proofErr w:type="spellEnd"/>
          <w:r w:rsidRPr="00752094">
            <w:rPr>
              <w:rFonts w:ascii="Times" w:hAnsi="Times"/>
            </w:rPr>
            <w:t xml:space="preserve">, Stephen </w:t>
          </w:r>
          <w:proofErr w:type="spellStart"/>
          <w:r w:rsidRPr="00752094">
            <w:rPr>
              <w:rFonts w:ascii="Times" w:hAnsi="Times"/>
            </w:rPr>
            <w:t>Kresovich</w:t>
          </w:r>
          <w:r w:rsidRPr="00752094">
            <w:rPr>
              <w:rFonts w:ascii="Times" w:hAnsi="Times"/>
              <w:vertAlign w:val="superscript"/>
            </w:rPr>
            <w:t>a,b</w:t>
          </w:r>
          <w:proofErr w:type="spellEnd"/>
          <w:r w:rsidRPr="00752094">
            <w:rPr>
              <w:rFonts w:ascii="Times" w:hAnsi="Times"/>
            </w:rPr>
            <w:t xml:space="preserve">, Richard </w:t>
          </w:r>
          <w:proofErr w:type="spellStart"/>
          <w:r w:rsidRPr="00752094">
            <w:rPr>
              <w:rFonts w:ascii="Times" w:hAnsi="Times"/>
            </w:rPr>
            <w:t>Boyles</w:t>
          </w:r>
          <w:r w:rsidR="00F051D2" w:rsidRPr="00752094">
            <w:rPr>
              <w:rFonts w:ascii="Times" w:hAnsi="Times"/>
              <w:vertAlign w:val="superscript"/>
            </w:rPr>
            <w:t>a</w:t>
          </w:r>
          <w:r w:rsidRPr="00752094">
            <w:rPr>
              <w:rFonts w:ascii="Times" w:hAnsi="Times"/>
              <w:vertAlign w:val="superscript"/>
            </w:rPr>
            <w:t>,</w:t>
          </w:r>
          <w:r w:rsidR="00F051D2" w:rsidRPr="00752094">
            <w:rPr>
              <w:rFonts w:ascii="Times" w:hAnsi="Times"/>
              <w:vertAlign w:val="superscript"/>
            </w:rPr>
            <w:t>d</w:t>
          </w:r>
          <w:proofErr w:type="spellEnd"/>
        </w:p>
        <w:p w14:paraId="081EAACA" w14:textId="77777777" w:rsidR="00676556" w:rsidRPr="00752094" w:rsidRDefault="00676556" w:rsidP="00676556">
          <w:pPr>
            <w:spacing w:line="480" w:lineRule="auto"/>
            <w:rPr>
              <w:rFonts w:ascii="Times" w:hAnsi="Times"/>
              <w:vertAlign w:val="superscript"/>
            </w:rPr>
          </w:pPr>
        </w:p>
        <w:p w14:paraId="480E311D" w14:textId="77777777" w:rsidR="00676556" w:rsidRPr="00752094" w:rsidRDefault="00676556" w:rsidP="00676556">
          <w:pPr>
            <w:rPr>
              <w:rFonts w:ascii="Times" w:hAnsi="Times"/>
            </w:rPr>
          </w:pPr>
          <w:r w:rsidRPr="00752094">
            <w:rPr>
              <w:rFonts w:ascii="Times" w:hAnsi="Times"/>
            </w:rPr>
            <w:t>SUPPLEMENTARY FIGURES AND TABLES</w:t>
          </w:r>
        </w:p>
        <w:p w14:paraId="1B5423BD" w14:textId="4FE7A72D" w:rsidR="00676556" w:rsidRPr="00752094" w:rsidRDefault="00676556" w:rsidP="00676556">
          <w:pPr>
            <w:rPr>
              <w:rFonts w:ascii="Times" w:hAnsi="Times"/>
              <w:b/>
              <w:bCs/>
            </w:rPr>
          </w:pPr>
        </w:p>
        <w:p w14:paraId="00B180C3" w14:textId="7782F606" w:rsidR="00287D26" w:rsidRPr="00752094" w:rsidRDefault="00B81940">
          <w:pPr>
            <w:rPr>
              <w:rFonts w:ascii="Times" w:hAnsi="Times"/>
              <w:b/>
              <w:bCs/>
            </w:rPr>
          </w:pPr>
        </w:p>
      </w:sdtContent>
    </w:sdt>
    <w:p w14:paraId="26CEF764" w14:textId="272CE748" w:rsidR="008C6FDB" w:rsidRPr="00752094" w:rsidRDefault="008C6FDB">
      <w:pPr>
        <w:rPr>
          <w:rFonts w:ascii="Times" w:hAnsi="Times"/>
          <w:b/>
          <w:bCs/>
        </w:rPr>
      </w:pPr>
      <w:r w:rsidRPr="00752094">
        <w:rPr>
          <w:rFonts w:ascii="Times" w:hAnsi="Times"/>
        </w:rPr>
        <w:br w:type="page"/>
      </w:r>
    </w:p>
    <w:p w14:paraId="2A95E501" w14:textId="77777777" w:rsidR="000D2D93" w:rsidRPr="00752094" w:rsidRDefault="000D2D93" w:rsidP="007F67B6">
      <w:pPr>
        <w:rPr>
          <w:rFonts w:ascii="Times" w:hAnsi="Times"/>
        </w:rPr>
      </w:pPr>
    </w:p>
    <w:tbl>
      <w:tblPr>
        <w:tblStyle w:val="TableGrid"/>
        <w:tblpPr w:leftFromText="180" w:rightFromText="180" w:vertAnchor="page" w:horzAnchor="margin" w:tblpY="18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42D" w:rsidRPr="00752094" w14:paraId="0DBE9820" w14:textId="77777777" w:rsidTr="002E2FF1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8A930B5" w14:textId="77777777" w:rsidR="0020542D" w:rsidRPr="00752094" w:rsidRDefault="0020542D" w:rsidP="002E2FF1">
            <w:pPr>
              <w:rPr>
                <w:rFonts w:ascii="Times" w:hAnsi="Times"/>
              </w:rPr>
            </w:pPr>
            <w:r w:rsidRPr="00752094">
              <w:rPr>
                <w:rFonts w:ascii="Times" w:hAnsi="Times"/>
                <w:b/>
                <w:bCs/>
              </w:rPr>
              <w:t>Table S1</w:t>
            </w:r>
            <w:r w:rsidRPr="00752094">
              <w:rPr>
                <w:rFonts w:ascii="Times" w:hAnsi="Times"/>
              </w:rPr>
              <w:t xml:space="preserve">. Summary of </w:t>
            </w:r>
            <w:r w:rsidRPr="00752094">
              <w:rPr>
                <w:rFonts w:ascii="Times" w:hAnsi="Times"/>
                <w:i/>
                <w:iCs/>
              </w:rPr>
              <w:t>S. enterica</w:t>
            </w:r>
            <w:r w:rsidRPr="00752094">
              <w:rPr>
                <w:rFonts w:ascii="Times" w:hAnsi="Times"/>
              </w:rPr>
              <w:t xml:space="preserve"> samples regarding testa and antimicrobial activity</w:t>
            </w:r>
          </w:p>
        </w:tc>
      </w:tr>
      <w:tr w:rsidR="0020542D" w:rsidRPr="00752094" w14:paraId="486F1C03" w14:textId="77777777" w:rsidTr="002E2FF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3DECD94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818B51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No activity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CA997E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Antimicrobial activity</w:t>
            </w:r>
          </w:p>
        </w:tc>
      </w:tr>
      <w:tr w:rsidR="0020542D" w:rsidRPr="00752094" w14:paraId="79B5B4D6" w14:textId="77777777" w:rsidTr="002E2FF1">
        <w:tc>
          <w:tcPr>
            <w:tcW w:w="3116" w:type="dxa"/>
            <w:tcBorders>
              <w:top w:val="single" w:sz="4" w:space="0" w:color="auto"/>
            </w:tcBorders>
          </w:tcPr>
          <w:p w14:paraId="6992837E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Unpigmented testa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4CB61E6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350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9778852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19</w:t>
            </w:r>
          </w:p>
        </w:tc>
      </w:tr>
      <w:tr w:rsidR="0020542D" w:rsidRPr="00752094" w14:paraId="147A832F" w14:textId="77777777" w:rsidTr="002E2FF1">
        <w:tc>
          <w:tcPr>
            <w:tcW w:w="3116" w:type="dxa"/>
          </w:tcPr>
          <w:p w14:paraId="4AE76A1B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Pigmented testa</w:t>
            </w:r>
          </w:p>
        </w:tc>
        <w:tc>
          <w:tcPr>
            <w:tcW w:w="3117" w:type="dxa"/>
          </w:tcPr>
          <w:p w14:paraId="2ADE6B19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109</w:t>
            </w:r>
          </w:p>
        </w:tc>
        <w:tc>
          <w:tcPr>
            <w:tcW w:w="3117" w:type="dxa"/>
          </w:tcPr>
          <w:p w14:paraId="31BF5707" w14:textId="77777777" w:rsidR="0020542D" w:rsidRPr="00752094" w:rsidRDefault="0020542D" w:rsidP="002E2FF1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165</w:t>
            </w:r>
          </w:p>
        </w:tc>
      </w:tr>
    </w:tbl>
    <w:p w14:paraId="1986C553" w14:textId="77777777" w:rsidR="008C6FDB" w:rsidRPr="00752094" w:rsidRDefault="008C6FDB" w:rsidP="007F67B6">
      <w:pPr>
        <w:rPr>
          <w:rFonts w:ascii="Times" w:hAnsi="Times"/>
        </w:rPr>
      </w:pPr>
    </w:p>
    <w:p w14:paraId="0BE63EC7" w14:textId="77777777" w:rsidR="008C6FDB" w:rsidRPr="00752094" w:rsidRDefault="008C6FDB" w:rsidP="007F67B6">
      <w:pPr>
        <w:rPr>
          <w:rFonts w:ascii="Times" w:hAnsi="Times"/>
        </w:rPr>
      </w:pPr>
    </w:p>
    <w:p w14:paraId="21EB19A9" w14:textId="5804FDFF" w:rsidR="00017BFD" w:rsidRPr="00752094" w:rsidRDefault="00E7185A" w:rsidP="00017BFD">
      <w:pPr>
        <w:spacing w:line="480" w:lineRule="auto"/>
        <w:rPr>
          <w:rFonts w:ascii="Times" w:hAnsi="Times"/>
        </w:rPr>
      </w:pPr>
      <w:r w:rsidRPr="00752094">
        <w:rPr>
          <w:rFonts w:ascii="Times" w:hAnsi="Times"/>
          <w:b/>
          <w:bCs/>
        </w:rPr>
        <w:t>Table S</w:t>
      </w:r>
      <w:r w:rsidR="0020542D" w:rsidRPr="00752094">
        <w:rPr>
          <w:rFonts w:ascii="Times" w:hAnsi="Times"/>
          <w:b/>
          <w:bCs/>
        </w:rPr>
        <w:t>1</w:t>
      </w:r>
      <w:r w:rsidRPr="00752094">
        <w:rPr>
          <w:rFonts w:ascii="Times" w:hAnsi="Times"/>
        </w:rPr>
        <w:t xml:space="preserve"> </w:t>
      </w:r>
      <w:r w:rsidR="001D2FB4" w:rsidRPr="00752094">
        <w:rPr>
          <w:rFonts w:ascii="Times" w:hAnsi="Times"/>
        </w:rPr>
        <w:t>summarizes</w:t>
      </w:r>
      <w:r w:rsidRPr="00752094">
        <w:rPr>
          <w:rFonts w:ascii="Times" w:hAnsi="Times"/>
        </w:rPr>
        <w:t xml:space="preserve"> the d</w:t>
      </w:r>
      <w:r w:rsidR="00495B38" w:rsidRPr="00752094">
        <w:rPr>
          <w:rFonts w:ascii="Times" w:hAnsi="Times"/>
        </w:rPr>
        <w:t xml:space="preserve">istribution of samples having weak </w:t>
      </w:r>
      <w:r w:rsidR="001D2FB4" w:rsidRPr="00752094">
        <w:rPr>
          <w:rFonts w:ascii="Times" w:hAnsi="Times"/>
        </w:rPr>
        <w:t xml:space="preserve">or no </w:t>
      </w:r>
      <w:r w:rsidR="00495B38" w:rsidRPr="00752094">
        <w:rPr>
          <w:rFonts w:ascii="Times" w:hAnsi="Times"/>
        </w:rPr>
        <w:t>antimicrobial activity</w:t>
      </w:r>
      <w:r w:rsidR="001D2FB4" w:rsidRPr="00752094">
        <w:rPr>
          <w:rFonts w:ascii="Times" w:hAnsi="Times"/>
        </w:rPr>
        <w:t xml:space="preserve"> </w:t>
      </w:r>
      <w:r w:rsidR="00495B38" w:rsidRPr="00752094">
        <w:rPr>
          <w:rFonts w:ascii="Times" w:hAnsi="Times"/>
        </w:rPr>
        <w:t xml:space="preserve">across unpigmented and pigmented testa. </w:t>
      </w:r>
      <w:r w:rsidR="00E75AEF" w:rsidRPr="00752094">
        <w:rPr>
          <w:rFonts w:ascii="Times" w:hAnsi="Times"/>
        </w:rPr>
        <w:t xml:space="preserve">The </w:t>
      </w:r>
      <w:r w:rsidR="00495B38" w:rsidRPr="00752094">
        <w:rPr>
          <w:rFonts w:ascii="Times" w:hAnsi="Times"/>
        </w:rPr>
        <w:t xml:space="preserve">majority of samples (350) show no antimicrobial activity and do not have a pigmented testa. </w:t>
      </w:r>
      <w:r w:rsidR="0066494D" w:rsidRPr="00752094">
        <w:rPr>
          <w:rFonts w:ascii="Times" w:hAnsi="Times"/>
        </w:rPr>
        <w:t xml:space="preserve">Complemented </w:t>
      </w:r>
      <w:r w:rsidR="00495B38" w:rsidRPr="00752094">
        <w:rPr>
          <w:rFonts w:ascii="Times" w:hAnsi="Times"/>
        </w:rPr>
        <w:t>by 165 samples</w:t>
      </w:r>
      <w:r w:rsidR="00017BFD" w:rsidRPr="00752094">
        <w:rPr>
          <w:rFonts w:ascii="Times" w:hAnsi="Times"/>
        </w:rPr>
        <w:t xml:space="preserve"> that both</w:t>
      </w:r>
      <w:r w:rsidR="00495B38" w:rsidRPr="00752094">
        <w:rPr>
          <w:rFonts w:ascii="Times" w:hAnsi="Times"/>
        </w:rPr>
        <w:t xml:space="preserve"> do demonstrate antimicrobial activity and have a pigmented testa. The distribution of samples o</w:t>
      </w:r>
      <w:r w:rsidR="0066494D" w:rsidRPr="00752094">
        <w:rPr>
          <w:rFonts w:ascii="Times" w:hAnsi="Times"/>
        </w:rPr>
        <w:t>f</w:t>
      </w:r>
      <w:r w:rsidR="00495B38" w:rsidRPr="00752094">
        <w:rPr>
          <w:rFonts w:ascii="Times" w:hAnsi="Times"/>
        </w:rPr>
        <w:t xml:space="preserve"> these two </w:t>
      </w:r>
      <w:r w:rsidR="000234A9" w:rsidRPr="00752094">
        <w:rPr>
          <w:rFonts w:ascii="Times" w:hAnsi="Times"/>
        </w:rPr>
        <w:t xml:space="preserve">traits </w:t>
      </w:r>
      <w:r w:rsidR="00495B38" w:rsidRPr="00752094">
        <w:rPr>
          <w:rFonts w:ascii="Times" w:hAnsi="Times"/>
        </w:rPr>
        <w:t>follow expected relationships with germplasm</w:t>
      </w:r>
      <w:r w:rsidR="000234A9" w:rsidRPr="00752094">
        <w:rPr>
          <w:rFonts w:ascii="Times" w:hAnsi="Times"/>
        </w:rPr>
        <w:t xml:space="preserve"> that does not meet our criteria for breeding material</w:t>
      </w:r>
      <w:r w:rsidR="00495B38" w:rsidRPr="00752094">
        <w:rPr>
          <w:rFonts w:ascii="Times" w:hAnsi="Times"/>
        </w:rPr>
        <w:t>.</w:t>
      </w:r>
      <w:r w:rsidR="00017BFD" w:rsidRPr="00752094">
        <w:rPr>
          <w:rFonts w:ascii="Times" w:hAnsi="Times"/>
        </w:rPr>
        <w:t xml:space="preserve"> The 19 samples identified</w:t>
      </w:r>
      <w:r w:rsidR="00F50E65" w:rsidRPr="00752094">
        <w:rPr>
          <w:rFonts w:ascii="Times" w:hAnsi="Times"/>
        </w:rPr>
        <w:t xml:space="preserve"> as having</w:t>
      </w:r>
      <w:r w:rsidR="00017BFD" w:rsidRPr="00752094">
        <w:rPr>
          <w:rFonts w:ascii="Times" w:hAnsi="Times"/>
        </w:rPr>
        <w:t xml:space="preserve"> antimicrobial activity and unpigmented testa do meet the criteria of interest, however, </w:t>
      </w:r>
      <w:r w:rsidR="00125BDE" w:rsidRPr="00752094">
        <w:rPr>
          <w:rFonts w:ascii="Times" w:hAnsi="Times"/>
        </w:rPr>
        <w:t xml:space="preserve">only weak effect was observed and therefore was </w:t>
      </w:r>
      <w:r w:rsidR="006A6369" w:rsidRPr="00752094">
        <w:rPr>
          <w:rFonts w:ascii="Times" w:hAnsi="Times"/>
        </w:rPr>
        <w:t>not considered any further.</w:t>
      </w:r>
      <w:r w:rsidR="00017BFD" w:rsidRPr="00752094">
        <w:rPr>
          <w:rFonts w:ascii="Times" w:hAnsi="Times"/>
        </w:rPr>
        <w:t xml:space="preserve"> </w:t>
      </w:r>
    </w:p>
    <w:p w14:paraId="2CE6E169" w14:textId="53442C6E" w:rsidR="004E1A1D" w:rsidRPr="00752094" w:rsidRDefault="004E1A1D" w:rsidP="00495B38">
      <w:pPr>
        <w:spacing w:line="480" w:lineRule="auto"/>
        <w:rPr>
          <w:rFonts w:ascii="Times" w:hAnsi="Times"/>
        </w:rPr>
      </w:pP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1141"/>
        <w:gridCol w:w="1142"/>
        <w:gridCol w:w="1142"/>
        <w:gridCol w:w="1142"/>
        <w:gridCol w:w="1142"/>
        <w:gridCol w:w="1142"/>
        <w:gridCol w:w="1142"/>
        <w:gridCol w:w="1142"/>
      </w:tblGrid>
      <w:tr w:rsidR="0021629A" w:rsidRPr="00752094" w14:paraId="33EF2C26" w14:textId="77777777" w:rsidTr="00594B17">
        <w:trPr>
          <w:trHeight w:val="378"/>
        </w:trPr>
        <w:tc>
          <w:tcPr>
            <w:tcW w:w="91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D7145" w14:textId="52911187" w:rsidR="0021629A" w:rsidRPr="00752094" w:rsidRDefault="008B4CA2" w:rsidP="008B4CA2">
            <w:pPr>
              <w:rPr>
                <w:rFonts w:ascii="Times" w:hAnsi="Times"/>
              </w:rPr>
            </w:pPr>
            <w:r w:rsidRPr="00752094">
              <w:rPr>
                <w:rFonts w:ascii="Times" w:hAnsi="Times"/>
                <w:b/>
                <w:bCs/>
              </w:rPr>
              <w:t>Table S</w:t>
            </w:r>
            <w:r w:rsidR="0020542D" w:rsidRPr="00752094">
              <w:rPr>
                <w:rFonts w:ascii="Times" w:hAnsi="Times"/>
                <w:b/>
                <w:bCs/>
              </w:rPr>
              <w:t>2</w:t>
            </w:r>
            <w:r w:rsidRPr="00752094">
              <w:rPr>
                <w:rFonts w:ascii="Times" w:hAnsi="Times"/>
                <w:b/>
                <w:bCs/>
              </w:rPr>
              <w:t>.</w:t>
            </w:r>
            <w:r w:rsidRPr="00752094">
              <w:rPr>
                <w:rFonts w:ascii="Times" w:hAnsi="Times"/>
              </w:rPr>
              <w:t xml:space="preserve"> T-test between 2014 and 2013 tannin data for the SAP</w:t>
            </w:r>
          </w:p>
        </w:tc>
      </w:tr>
      <w:tr w:rsidR="00636F66" w:rsidRPr="00752094" w14:paraId="55A80869" w14:textId="77777777" w:rsidTr="00594B17">
        <w:trPr>
          <w:trHeight w:val="505"/>
        </w:trPr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A12E0" w14:textId="77777777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2CF9A" w14:textId="2E9EFBE2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31192" w14:textId="4EFDD7B0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DF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EB7F6" w14:textId="009F228F" w:rsidR="00636F66" w:rsidRPr="00752094" w:rsidRDefault="001D0FBB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P</w:t>
            </w:r>
            <w:r w:rsidR="00636F66" w:rsidRPr="00752094">
              <w:rPr>
                <w:rFonts w:ascii="Times" w:hAnsi="Times"/>
              </w:rPr>
              <w:t>-</w:t>
            </w:r>
            <w:proofErr w:type="spellStart"/>
            <w:r w:rsidR="00636F66" w:rsidRPr="00752094">
              <w:rPr>
                <w:rFonts w:ascii="Times" w:hAnsi="Times"/>
              </w:rPr>
              <w:t>val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42E3C" w14:textId="26BE11EA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CI (95%)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E93C9" w14:textId="73B50C5A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Cohen-d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82D48" w14:textId="66465A0E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BF10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E03E4" w14:textId="2781B6C4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Power</w:t>
            </w:r>
          </w:p>
        </w:tc>
      </w:tr>
      <w:tr w:rsidR="00636F66" w:rsidRPr="00752094" w14:paraId="5BEA5A8C" w14:textId="77777777" w:rsidTr="00594B17">
        <w:trPr>
          <w:trHeight w:val="525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78208" w14:textId="3EA400FE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T-test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C6184" w14:textId="41F6B412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  <w:shd w:val="clear" w:color="auto" w:fill="FFFFFF"/>
              </w:rPr>
              <w:t>0.954</w:t>
            </w:r>
          </w:p>
          <w:p w14:paraId="7A24373B" w14:textId="77777777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A9058" w14:textId="04900EA9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510</w:t>
            </w:r>
          </w:p>
          <w:p w14:paraId="5A67D9D4" w14:textId="77777777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2DB3B" w14:textId="24396438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0.34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12E24" w14:textId="0C3B47EC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[-1.1 – 3.18]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3EE67" w14:textId="0BCAAE9B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0.084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D984C" w14:textId="4A51671B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0.153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85BE6" w14:textId="47B9E799" w:rsidR="00636F66" w:rsidRPr="00752094" w:rsidRDefault="00636F66" w:rsidP="008B4CA2">
            <w:pPr>
              <w:jc w:val="center"/>
              <w:rPr>
                <w:rFonts w:ascii="Times" w:hAnsi="Times"/>
              </w:rPr>
            </w:pPr>
            <w:r w:rsidRPr="00752094">
              <w:rPr>
                <w:rFonts w:ascii="Times" w:hAnsi="Times"/>
              </w:rPr>
              <w:t>0.159</w:t>
            </w:r>
          </w:p>
        </w:tc>
      </w:tr>
    </w:tbl>
    <w:p w14:paraId="2CA1C53F" w14:textId="438770AC" w:rsidR="007F67B6" w:rsidRPr="00752094" w:rsidRDefault="008B4CA2" w:rsidP="007F67B6">
      <w:pPr>
        <w:rPr>
          <w:rFonts w:ascii="Times" w:hAnsi="Times"/>
        </w:rPr>
      </w:pPr>
      <w:r w:rsidRPr="00752094">
        <w:rPr>
          <w:rFonts w:ascii="Times" w:hAnsi="Times"/>
        </w:rPr>
        <w:t>T= t</w:t>
      </w:r>
      <w:r w:rsidR="00746AE5" w:rsidRPr="00752094">
        <w:rPr>
          <w:rFonts w:ascii="Times" w:hAnsi="Times"/>
        </w:rPr>
        <w:t>-</w:t>
      </w:r>
      <w:r w:rsidRPr="00752094">
        <w:rPr>
          <w:rFonts w:ascii="Times" w:hAnsi="Times"/>
        </w:rPr>
        <w:t>value</w:t>
      </w:r>
    </w:p>
    <w:p w14:paraId="5E57049F" w14:textId="69D268A7" w:rsidR="008B4CA2" w:rsidRPr="00752094" w:rsidRDefault="00636F66" w:rsidP="007F67B6">
      <w:pPr>
        <w:rPr>
          <w:rFonts w:ascii="Times" w:hAnsi="Times"/>
        </w:rPr>
      </w:pPr>
      <w:r w:rsidRPr="00752094">
        <w:rPr>
          <w:rFonts w:ascii="Times" w:hAnsi="Times"/>
        </w:rPr>
        <w:t>D</w:t>
      </w:r>
      <w:r w:rsidR="00746AE5" w:rsidRPr="00752094">
        <w:rPr>
          <w:rFonts w:ascii="Times" w:hAnsi="Times"/>
        </w:rPr>
        <w:t>F</w:t>
      </w:r>
      <w:r w:rsidRPr="00752094">
        <w:rPr>
          <w:rFonts w:ascii="Times" w:hAnsi="Times"/>
        </w:rPr>
        <w:t xml:space="preserve"> = degrees of freedom</w:t>
      </w:r>
    </w:p>
    <w:p w14:paraId="71415270" w14:textId="25597911" w:rsidR="00636F66" w:rsidRPr="00752094" w:rsidRDefault="001D0FBB" w:rsidP="007F67B6">
      <w:pPr>
        <w:rPr>
          <w:rFonts w:ascii="Times" w:hAnsi="Times"/>
        </w:rPr>
      </w:pPr>
      <w:r w:rsidRPr="00752094">
        <w:rPr>
          <w:rFonts w:ascii="Times" w:hAnsi="Times"/>
        </w:rPr>
        <w:t>P</w:t>
      </w:r>
      <w:r w:rsidR="00636F66" w:rsidRPr="00752094">
        <w:rPr>
          <w:rFonts w:ascii="Times" w:hAnsi="Times"/>
        </w:rPr>
        <w:t>-</w:t>
      </w:r>
      <w:proofErr w:type="spellStart"/>
      <w:r w:rsidR="00636F66" w:rsidRPr="00752094">
        <w:rPr>
          <w:rFonts w:ascii="Times" w:hAnsi="Times"/>
        </w:rPr>
        <w:t>val</w:t>
      </w:r>
      <w:proofErr w:type="spellEnd"/>
      <w:r w:rsidR="00636F66" w:rsidRPr="00752094">
        <w:rPr>
          <w:rFonts w:ascii="Times" w:hAnsi="Times"/>
        </w:rPr>
        <w:t xml:space="preserve"> = p-value</w:t>
      </w:r>
    </w:p>
    <w:p w14:paraId="65CC96D9" w14:textId="344DBFF4" w:rsidR="00636F66" w:rsidRPr="00752094" w:rsidRDefault="00636F66" w:rsidP="007F67B6">
      <w:pPr>
        <w:rPr>
          <w:rFonts w:ascii="Times" w:hAnsi="Times"/>
        </w:rPr>
      </w:pPr>
      <w:r w:rsidRPr="00752094">
        <w:rPr>
          <w:rFonts w:ascii="Times" w:hAnsi="Times"/>
        </w:rPr>
        <w:t xml:space="preserve">CI = 95% confidence intervals of the difference in means </w:t>
      </w:r>
    </w:p>
    <w:p w14:paraId="25C9C457" w14:textId="6A998FD1" w:rsidR="00636F66" w:rsidRPr="00752094" w:rsidRDefault="00636F66" w:rsidP="007F67B6">
      <w:pPr>
        <w:rPr>
          <w:rFonts w:ascii="Times" w:hAnsi="Times"/>
        </w:rPr>
      </w:pPr>
      <w:r w:rsidRPr="00752094">
        <w:rPr>
          <w:rFonts w:ascii="Times" w:hAnsi="Times"/>
        </w:rPr>
        <w:t>Cohen-d = Cohen d effect size</w:t>
      </w:r>
    </w:p>
    <w:p w14:paraId="202F32FF" w14:textId="5D4BC25B" w:rsidR="00636F66" w:rsidRPr="00752094" w:rsidRDefault="00636F66" w:rsidP="007F67B6">
      <w:pPr>
        <w:rPr>
          <w:rFonts w:ascii="Times" w:hAnsi="Times"/>
        </w:rPr>
      </w:pPr>
      <w:r w:rsidRPr="00752094">
        <w:rPr>
          <w:rFonts w:ascii="Times" w:hAnsi="Times"/>
        </w:rPr>
        <w:t>BF10 = Bayes Factor of the alternative hypothesis</w:t>
      </w:r>
    </w:p>
    <w:p w14:paraId="3E6C170B" w14:textId="11994296" w:rsidR="00636F66" w:rsidRPr="00752094" w:rsidRDefault="00636F66" w:rsidP="007F67B6">
      <w:pPr>
        <w:rPr>
          <w:rFonts w:ascii="Times" w:hAnsi="Times"/>
        </w:rPr>
      </w:pPr>
      <w:r w:rsidRPr="00752094">
        <w:rPr>
          <w:rFonts w:ascii="Times" w:hAnsi="Times"/>
        </w:rPr>
        <w:t xml:space="preserve">Power= achieved power of </w:t>
      </w:r>
      <w:proofErr w:type="spellStart"/>
      <w:r w:rsidRPr="00752094">
        <w:rPr>
          <w:rFonts w:ascii="Times" w:hAnsi="Times"/>
        </w:rPr>
        <w:t>he</w:t>
      </w:r>
      <w:proofErr w:type="spellEnd"/>
      <w:r w:rsidRPr="00752094">
        <w:rPr>
          <w:rFonts w:ascii="Times" w:hAnsi="Times"/>
        </w:rPr>
        <w:t xml:space="preserve"> </w:t>
      </w:r>
      <w:proofErr w:type="gramStart"/>
      <w:r w:rsidRPr="00752094">
        <w:rPr>
          <w:rFonts w:ascii="Times" w:hAnsi="Times"/>
        </w:rPr>
        <w:t>test</w:t>
      </w:r>
      <w:proofErr w:type="gramEnd"/>
      <w:r w:rsidRPr="00752094">
        <w:rPr>
          <w:rFonts w:ascii="Times" w:hAnsi="Times"/>
        </w:rPr>
        <w:t xml:space="preserve"> (</w:t>
      </w:r>
      <w:r w:rsidR="001D0FBB" w:rsidRPr="00752094">
        <w:rPr>
          <w:rFonts w:ascii="Times" w:hAnsi="Times"/>
        </w:rPr>
        <w:t>= 1 – type II error)</w:t>
      </w:r>
    </w:p>
    <w:p w14:paraId="35D4BEB1" w14:textId="15ACE01E" w:rsidR="007F67B6" w:rsidRPr="00752094" w:rsidRDefault="00461F14" w:rsidP="007F67B6">
      <w:pPr>
        <w:rPr>
          <w:rFonts w:ascii="Times" w:hAnsi="Times"/>
        </w:rPr>
      </w:pPr>
      <w:r w:rsidRPr="00594B17">
        <w:rPr>
          <w:rFonts w:ascii="Times" w:hAnsi="Times"/>
          <w:noProof/>
        </w:rPr>
        <w:lastRenderedPageBreak/>
        <w:drawing>
          <wp:inline distT="0" distB="0" distL="0" distR="0" wp14:anchorId="1FA165F1" wp14:editId="7D63860A">
            <wp:extent cx="5359400" cy="53213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E2AA" w14:textId="77777777" w:rsidR="00EA229B" w:rsidRPr="00752094" w:rsidRDefault="00EA229B" w:rsidP="007F67B6">
      <w:pPr>
        <w:rPr>
          <w:rFonts w:ascii="Times" w:hAnsi="Times"/>
        </w:rPr>
      </w:pPr>
    </w:p>
    <w:p w14:paraId="1373B889" w14:textId="3878D9D6" w:rsidR="00A63CB0" w:rsidRPr="00752094" w:rsidRDefault="00A63CB0" w:rsidP="007F67B6">
      <w:pPr>
        <w:rPr>
          <w:rFonts w:ascii="Times" w:hAnsi="Times"/>
        </w:rPr>
      </w:pPr>
      <w:r w:rsidRPr="00752094">
        <w:rPr>
          <w:rFonts w:ascii="Times" w:hAnsi="Times"/>
          <w:b/>
          <w:bCs/>
        </w:rPr>
        <w:t>Figure S</w:t>
      </w:r>
      <w:r w:rsidR="003405F8" w:rsidRPr="00752094">
        <w:rPr>
          <w:rFonts w:ascii="Times" w:hAnsi="Times"/>
          <w:b/>
          <w:bCs/>
        </w:rPr>
        <w:t>1</w:t>
      </w:r>
      <w:r w:rsidRPr="00752094">
        <w:rPr>
          <w:rFonts w:ascii="Times" w:hAnsi="Times"/>
        </w:rPr>
        <w:t xml:space="preserve">. Relationship between antimicrobial activity against </w:t>
      </w:r>
      <w:r w:rsidR="001D0C0D" w:rsidRPr="00752094">
        <w:rPr>
          <w:rFonts w:ascii="Times" w:hAnsi="Times"/>
          <w:i/>
          <w:iCs/>
        </w:rPr>
        <w:t>S. enterica</w:t>
      </w:r>
      <w:r w:rsidR="001D0C0D" w:rsidRPr="00752094">
        <w:rPr>
          <w:rFonts w:ascii="Times" w:hAnsi="Times"/>
        </w:rPr>
        <w:t xml:space="preserve"> </w:t>
      </w:r>
      <w:r w:rsidRPr="00752094">
        <w:rPr>
          <w:rFonts w:ascii="Times" w:hAnsi="Times"/>
        </w:rPr>
        <w:t xml:space="preserve">(0 = no activity, 1= weak activity) </w:t>
      </w:r>
      <w:r w:rsidR="00A9239B" w:rsidRPr="00752094">
        <w:rPr>
          <w:rFonts w:ascii="Times" w:hAnsi="Times"/>
        </w:rPr>
        <w:t>and total phenol co</w:t>
      </w:r>
      <w:r w:rsidR="00F56986" w:rsidRPr="00752094">
        <w:rPr>
          <w:rFonts w:ascii="Times" w:hAnsi="Times"/>
        </w:rPr>
        <w:t>ncentration. Pearson</w:t>
      </w:r>
      <w:r w:rsidR="00B5169C" w:rsidRPr="00752094">
        <w:rPr>
          <w:rFonts w:ascii="Times" w:hAnsi="Times"/>
        </w:rPr>
        <w:t>’s r = 0.</w:t>
      </w:r>
      <w:r w:rsidR="009365BB" w:rsidRPr="00752094">
        <w:rPr>
          <w:rFonts w:ascii="Times" w:hAnsi="Times"/>
        </w:rPr>
        <w:t>7</w:t>
      </w:r>
      <w:r w:rsidR="000E6DF8" w:rsidRPr="00752094">
        <w:rPr>
          <w:rFonts w:ascii="Times" w:hAnsi="Times"/>
        </w:rPr>
        <w:t>7</w:t>
      </w:r>
      <w:r w:rsidR="00F56986" w:rsidRPr="00752094">
        <w:rPr>
          <w:rFonts w:ascii="Times" w:hAnsi="Times"/>
        </w:rPr>
        <w:t xml:space="preserve"> </w:t>
      </w:r>
    </w:p>
    <w:p w14:paraId="068555B4" w14:textId="38A791D3" w:rsidR="00B5169C" w:rsidRPr="00752094" w:rsidRDefault="00B5169C" w:rsidP="007F67B6">
      <w:pPr>
        <w:rPr>
          <w:rFonts w:ascii="Times" w:hAnsi="Times"/>
        </w:rPr>
      </w:pPr>
    </w:p>
    <w:p w14:paraId="2535208B" w14:textId="5E92992B" w:rsidR="00EA229B" w:rsidRPr="00752094" w:rsidRDefault="00EA229B" w:rsidP="007F67B6">
      <w:pPr>
        <w:rPr>
          <w:rFonts w:ascii="Times" w:hAnsi="Times"/>
        </w:rPr>
      </w:pPr>
    </w:p>
    <w:p w14:paraId="7E55D808" w14:textId="769E2609" w:rsidR="00EA229B" w:rsidRPr="00752094" w:rsidRDefault="000E6DF8" w:rsidP="007F67B6">
      <w:pPr>
        <w:rPr>
          <w:rFonts w:ascii="Times" w:hAnsi="Times"/>
        </w:rPr>
      </w:pPr>
      <w:r w:rsidRPr="00594B17">
        <w:rPr>
          <w:rFonts w:ascii="Times" w:hAnsi="Times"/>
          <w:noProof/>
        </w:rPr>
        <w:lastRenderedPageBreak/>
        <w:drawing>
          <wp:inline distT="0" distB="0" distL="0" distR="0" wp14:anchorId="16AA1AD1" wp14:editId="7BBDACE3">
            <wp:extent cx="5359400" cy="5321300"/>
            <wp:effectExtent l="0" t="0" r="0" b="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F6B" w14:textId="4BDC2BF8" w:rsidR="00EA229B" w:rsidRPr="00752094" w:rsidRDefault="00EA229B" w:rsidP="007F67B6">
      <w:pPr>
        <w:rPr>
          <w:rFonts w:ascii="Times" w:hAnsi="Times"/>
        </w:rPr>
      </w:pPr>
      <w:r w:rsidRPr="00752094">
        <w:rPr>
          <w:rFonts w:ascii="Times" w:hAnsi="Times"/>
          <w:b/>
          <w:bCs/>
        </w:rPr>
        <w:t>Figure S</w:t>
      </w:r>
      <w:r w:rsidR="003405F8" w:rsidRPr="00752094">
        <w:rPr>
          <w:rFonts w:ascii="Times" w:hAnsi="Times"/>
          <w:b/>
          <w:bCs/>
        </w:rPr>
        <w:t>2</w:t>
      </w:r>
      <w:r w:rsidRPr="00752094">
        <w:rPr>
          <w:rFonts w:ascii="Times" w:hAnsi="Times"/>
        </w:rPr>
        <w:t xml:space="preserve">. Relationship between antimicrobial activity against </w:t>
      </w:r>
      <w:r w:rsidRPr="00752094">
        <w:rPr>
          <w:rFonts w:ascii="Times" w:hAnsi="Times"/>
          <w:i/>
          <w:iCs/>
        </w:rPr>
        <w:t>S. enterica</w:t>
      </w:r>
      <w:r w:rsidRPr="00752094">
        <w:rPr>
          <w:rFonts w:ascii="Times" w:hAnsi="Times"/>
        </w:rPr>
        <w:t xml:space="preserve"> (0 = no activity, 1 = weak activity</w:t>
      </w:r>
      <w:r w:rsidR="00C564AC" w:rsidRPr="00752094">
        <w:rPr>
          <w:rFonts w:ascii="Times" w:hAnsi="Times"/>
        </w:rPr>
        <w:t xml:space="preserve">) and tannin content. </w:t>
      </w:r>
      <w:r w:rsidR="00C564AC" w:rsidRPr="00752094">
        <w:rPr>
          <w:rFonts w:ascii="Times" w:hAnsi="Times"/>
          <w:i/>
          <w:iCs/>
        </w:rPr>
        <w:t>r</w:t>
      </w:r>
      <w:r w:rsidR="00C564AC" w:rsidRPr="00752094">
        <w:rPr>
          <w:rFonts w:ascii="Times" w:hAnsi="Times"/>
        </w:rPr>
        <w:t xml:space="preserve"> = 0. </w:t>
      </w:r>
      <w:r w:rsidR="009365BB" w:rsidRPr="00752094">
        <w:rPr>
          <w:rFonts w:ascii="Times" w:hAnsi="Times"/>
        </w:rPr>
        <w:t>6</w:t>
      </w:r>
      <w:r w:rsidR="000E6DF8" w:rsidRPr="00752094">
        <w:rPr>
          <w:rFonts w:ascii="Times" w:hAnsi="Times"/>
        </w:rPr>
        <w:t>3</w:t>
      </w:r>
    </w:p>
    <w:p w14:paraId="0BF75D67" w14:textId="77777777" w:rsidR="0081087A" w:rsidRPr="00752094" w:rsidRDefault="0081087A" w:rsidP="007F67B6">
      <w:pPr>
        <w:rPr>
          <w:rFonts w:ascii="Times" w:hAnsi="Times"/>
        </w:rPr>
      </w:pPr>
    </w:p>
    <w:p w14:paraId="5F47DAB4" w14:textId="52CEDFE5" w:rsidR="00495B38" w:rsidRPr="00752094" w:rsidRDefault="00495B38" w:rsidP="00495B38">
      <w:pPr>
        <w:spacing w:line="480" w:lineRule="auto"/>
        <w:rPr>
          <w:rFonts w:ascii="Times" w:hAnsi="Times"/>
        </w:rPr>
      </w:pPr>
      <w:r w:rsidRPr="00752094">
        <w:rPr>
          <w:rFonts w:ascii="Times" w:hAnsi="Times"/>
        </w:rPr>
        <w:t>Total phenol (</w:t>
      </w:r>
      <w:r w:rsidRPr="00752094">
        <w:rPr>
          <w:rFonts w:ascii="Times" w:hAnsi="Times"/>
          <w:b/>
          <w:bCs/>
        </w:rPr>
        <w:t>Figure S1</w:t>
      </w:r>
      <w:r w:rsidRPr="00752094">
        <w:rPr>
          <w:rFonts w:ascii="Times" w:hAnsi="Times"/>
        </w:rPr>
        <w:t>) and tannin content (</w:t>
      </w:r>
      <w:r w:rsidRPr="00752094">
        <w:rPr>
          <w:rFonts w:ascii="Times" w:hAnsi="Times"/>
          <w:b/>
          <w:bCs/>
        </w:rPr>
        <w:t>Figure S2)</w:t>
      </w:r>
      <w:r w:rsidRPr="00752094">
        <w:rPr>
          <w:rFonts w:ascii="Times" w:hAnsi="Times"/>
        </w:rPr>
        <w:t xml:space="preserve"> were found to correlate with antimicrobial activity. </w:t>
      </w:r>
      <w:r w:rsidR="000234A9" w:rsidRPr="00752094">
        <w:rPr>
          <w:rFonts w:ascii="Times" w:hAnsi="Times"/>
        </w:rPr>
        <w:t>Findings s</w:t>
      </w:r>
      <w:r w:rsidRPr="00752094">
        <w:rPr>
          <w:rFonts w:ascii="Times" w:hAnsi="Times"/>
        </w:rPr>
        <w:t>uggest</w:t>
      </w:r>
      <w:r w:rsidR="000234A9" w:rsidRPr="00752094">
        <w:rPr>
          <w:rFonts w:ascii="Times" w:hAnsi="Times"/>
        </w:rPr>
        <w:t xml:space="preserve"> </w:t>
      </w:r>
      <w:r w:rsidRPr="00752094">
        <w:rPr>
          <w:rFonts w:ascii="Times" w:hAnsi="Times"/>
        </w:rPr>
        <w:t xml:space="preserve">that the majority of </w:t>
      </w:r>
      <w:r w:rsidR="000D2D93" w:rsidRPr="00752094">
        <w:rPr>
          <w:rFonts w:ascii="Times" w:hAnsi="Times"/>
        </w:rPr>
        <w:t xml:space="preserve">accessions </w:t>
      </w:r>
      <w:r w:rsidRPr="00752094">
        <w:rPr>
          <w:rFonts w:ascii="Times" w:hAnsi="Times"/>
        </w:rPr>
        <w:t xml:space="preserve">do not meet the criteria </w:t>
      </w:r>
      <w:r w:rsidR="001D2FB4" w:rsidRPr="00752094">
        <w:rPr>
          <w:rFonts w:ascii="Times" w:hAnsi="Times"/>
        </w:rPr>
        <w:t>required</w:t>
      </w:r>
      <w:r w:rsidRPr="00752094">
        <w:rPr>
          <w:rFonts w:ascii="Times" w:hAnsi="Times"/>
        </w:rPr>
        <w:t xml:space="preserve"> to identify sorghum germplasm that can be used for its potential as an antimicrobial in feed grain. </w:t>
      </w:r>
    </w:p>
    <w:p w14:paraId="3B89439D" w14:textId="06A021CA" w:rsidR="00B26CEA" w:rsidRPr="00752094" w:rsidRDefault="00826AF6" w:rsidP="00495B38">
      <w:pPr>
        <w:spacing w:line="480" w:lineRule="auto"/>
        <w:rPr>
          <w:rFonts w:ascii="Times" w:hAnsi="Times"/>
        </w:rPr>
      </w:pPr>
      <w:r w:rsidRPr="00594B17">
        <w:rPr>
          <w:rFonts w:ascii="Times" w:hAnsi="Times"/>
          <w:noProof/>
        </w:rPr>
        <w:lastRenderedPageBreak/>
        <w:drawing>
          <wp:inline distT="0" distB="0" distL="0" distR="0" wp14:anchorId="6D84BB4D" wp14:editId="21764AA3">
            <wp:extent cx="4927600" cy="3390900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10CC" w14:textId="2C916C08" w:rsidR="00B26CEA" w:rsidRPr="00752094" w:rsidRDefault="00B26CEA" w:rsidP="00495B38">
      <w:pPr>
        <w:spacing w:line="480" w:lineRule="auto"/>
        <w:rPr>
          <w:rFonts w:ascii="Times" w:hAnsi="Times"/>
        </w:rPr>
      </w:pPr>
    </w:p>
    <w:p w14:paraId="26D15207" w14:textId="3D087C44" w:rsidR="001E68D8" w:rsidRPr="00752094" w:rsidRDefault="001E68D8" w:rsidP="008E5F17">
      <w:pPr>
        <w:rPr>
          <w:rFonts w:ascii="Times" w:hAnsi="Times"/>
        </w:rPr>
      </w:pPr>
      <w:r w:rsidRPr="00752094">
        <w:rPr>
          <w:rFonts w:ascii="Times" w:hAnsi="Times"/>
          <w:b/>
          <w:bCs/>
        </w:rPr>
        <w:t>Figure S3</w:t>
      </w:r>
      <w:r w:rsidRPr="00752094">
        <w:rPr>
          <w:rFonts w:ascii="Times" w:hAnsi="Times"/>
        </w:rPr>
        <w:t xml:space="preserve">. </w:t>
      </w:r>
      <w:r w:rsidR="00826AF6" w:rsidRPr="00752094">
        <w:rPr>
          <w:rFonts w:ascii="Times" w:hAnsi="Times"/>
        </w:rPr>
        <w:t>Distribution of</w:t>
      </w:r>
      <w:r w:rsidR="00576E3A" w:rsidRPr="00752094">
        <w:rPr>
          <w:rFonts w:ascii="Times" w:hAnsi="Times"/>
        </w:rPr>
        <w:t xml:space="preserve"> </w:t>
      </w:r>
      <w:r w:rsidR="00232BD6" w:rsidRPr="00752094">
        <w:rPr>
          <w:rFonts w:ascii="Times" w:hAnsi="Times"/>
        </w:rPr>
        <w:t xml:space="preserve">accession with unpigmented testa (0) and pigmented </w:t>
      </w:r>
      <w:r w:rsidR="00576E3A" w:rsidRPr="00752094">
        <w:rPr>
          <w:rFonts w:ascii="Times" w:hAnsi="Times"/>
        </w:rPr>
        <w:t>testa</w:t>
      </w:r>
      <w:r w:rsidR="00232BD6" w:rsidRPr="00752094">
        <w:rPr>
          <w:rFonts w:ascii="Times" w:hAnsi="Times"/>
        </w:rPr>
        <w:t xml:space="preserve"> </w:t>
      </w:r>
      <w:r w:rsidR="00232BD6" w:rsidRPr="00752094">
        <w:rPr>
          <w:rFonts w:ascii="Times" w:hAnsi="Times" w:cs="Calibri"/>
          <w:color w:val="000000" w:themeColor="text1"/>
        </w:rPr>
        <w:t>(</w:t>
      </w:r>
      <w:r w:rsidR="008E5F17" w:rsidRPr="00752094">
        <w:rPr>
          <w:rFonts w:ascii="Times" w:hAnsi="Times" w:cs="Calibri"/>
          <w:color w:val="000000" w:themeColor="text1"/>
        </w:rPr>
        <w:t>1</w:t>
      </w:r>
      <w:r w:rsidR="00232BD6" w:rsidRPr="00752094">
        <w:rPr>
          <w:rFonts w:ascii="Times" w:hAnsi="Times" w:cs="Calibri"/>
          <w:color w:val="000000" w:themeColor="text1"/>
        </w:rPr>
        <w:t>) as it relate</w:t>
      </w:r>
      <w:r w:rsidR="00B827A1" w:rsidRPr="00752094">
        <w:rPr>
          <w:rFonts w:ascii="Times" w:hAnsi="Times" w:cs="Calibri"/>
          <w:color w:val="000000" w:themeColor="text1"/>
        </w:rPr>
        <w:t>s</w:t>
      </w:r>
      <w:r w:rsidR="00232BD6" w:rsidRPr="00752094">
        <w:rPr>
          <w:rFonts w:ascii="Times" w:hAnsi="Times" w:cs="Calibri"/>
          <w:color w:val="000000" w:themeColor="text1"/>
        </w:rPr>
        <w:t xml:space="preserve"> to </w:t>
      </w:r>
      <w:proofErr w:type="spellStart"/>
      <w:r w:rsidR="00B827A1" w:rsidRPr="00752094">
        <w:rPr>
          <w:rFonts w:ascii="Times" w:hAnsi="Times" w:cs="Calibri"/>
          <w:color w:val="000000" w:themeColor="text1"/>
        </w:rPr>
        <w:t>inhibtion</w:t>
      </w:r>
      <w:proofErr w:type="spellEnd"/>
      <w:r w:rsidR="00B827A1" w:rsidRPr="00752094">
        <w:rPr>
          <w:rFonts w:ascii="Times" w:hAnsi="Times" w:cs="Calibri"/>
          <w:color w:val="000000" w:themeColor="text1"/>
        </w:rPr>
        <w:t xml:space="preserve"> zone size (mm) measured from </w:t>
      </w:r>
      <w:r w:rsidR="00B827A1" w:rsidRPr="00752094">
        <w:rPr>
          <w:rFonts w:ascii="Times" w:hAnsi="Times" w:cs="Calibri"/>
          <w:i/>
          <w:iCs/>
          <w:color w:val="000000" w:themeColor="text1"/>
        </w:rPr>
        <w:t>C. perfringens</w:t>
      </w:r>
      <w:r w:rsidR="00B827A1" w:rsidRPr="00752094">
        <w:rPr>
          <w:rFonts w:ascii="Times" w:hAnsi="Times" w:cs="Calibri"/>
          <w:color w:val="000000" w:themeColor="text1"/>
        </w:rPr>
        <w:t xml:space="preserve"> disc-diffusion assay. </w:t>
      </w:r>
    </w:p>
    <w:p w14:paraId="7E67D3F3" w14:textId="7948F654" w:rsidR="00CD3EE2" w:rsidRPr="00752094" w:rsidRDefault="00CD3EE2" w:rsidP="00495B38">
      <w:pPr>
        <w:spacing w:line="480" w:lineRule="auto"/>
        <w:rPr>
          <w:rFonts w:ascii="Times" w:hAnsi="Times"/>
        </w:rPr>
      </w:pPr>
    </w:p>
    <w:p w14:paraId="7F1EFB3C" w14:textId="3717E14A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2A2A9406" w14:textId="7FC4E37E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3F584C77" w14:textId="1AC4E433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0E7336CC" w14:textId="3EE28410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12F13275" w14:textId="65E3DC2D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71828888" w14:textId="685C683B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3C178304" w14:textId="7FFAE6C6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577445E5" w14:textId="519A1E81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20911DFF" w14:textId="1C68E05B" w:rsidR="002E2FF1" w:rsidRPr="00752094" w:rsidRDefault="002E2FF1" w:rsidP="00495B38">
      <w:pPr>
        <w:spacing w:line="480" w:lineRule="auto"/>
        <w:rPr>
          <w:rFonts w:ascii="Times" w:hAnsi="Times"/>
        </w:rPr>
      </w:pPr>
    </w:p>
    <w:p w14:paraId="7E73D2C7" w14:textId="77777777" w:rsidR="002E2FF1" w:rsidRPr="00752094" w:rsidRDefault="002E2FF1" w:rsidP="00495B38">
      <w:pPr>
        <w:spacing w:line="480" w:lineRule="auto"/>
        <w:rPr>
          <w:rFonts w:ascii="Times" w:hAnsi="Times"/>
        </w:rPr>
      </w:pPr>
    </w:p>
    <w:tbl>
      <w:tblPr>
        <w:tblW w:w="7580" w:type="dxa"/>
        <w:tblLook w:val="04A0" w:firstRow="1" w:lastRow="0" w:firstColumn="1" w:lastColumn="0" w:noHBand="0" w:noVBand="1"/>
      </w:tblPr>
      <w:tblGrid>
        <w:gridCol w:w="3680"/>
        <w:gridCol w:w="1300"/>
        <w:gridCol w:w="1300"/>
        <w:gridCol w:w="1300"/>
      </w:tblGrid>
      <w:tr w:rsidR="002E2FF1" w:rsidRPr="00752094" w14:paraId="5B3698FE" w14:textId="77777777" w:rsidTr="002E2FF1">
        <w:trPr>
          <w:trHeight w:val="340"/>
        </w:trPr>
        <w:tc>
          <w:tcPr>
            <w:tcW w:w="75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79B58C" w14:textId="77777777" w:rsidR="002E2FF1" w:rsidRPr="00752094" w:rsidRDefault="002E2FF1" w:rsidP="002E2FF1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752094">
              <w:rPr>
                <w:rFonts w:ascii="Times" w:hAnsi="Times" w:cs="Calibri"/>
                <w:b/>
                <w:bCs/>
                <w:color w:val="000000"/>
              </w:rPr>
              <w:lastRenderedPageBreak/>
              <w:t>Table S3</w:t>
            </w:r>
            <w:r w:rsidRPr="00752094">
              <w:rPr>
                <w:rFonts w:ascii="Times" w:hAnsi="Times" w:cs="Calibri"/>
                <w:color w:val="000000"/>
              </w:rPr>
              <w:t xml:space="preserve">. Summary statistics for </w:t>
            </w:r>
            <w:proofErr w:type="spellStart"/>
            <w:proofErr w:type="gramStart"/>
            <w:r w:rsidRPr="00752094">
              <w:rPr>
                <w:rFonts w:ascii="Times" w:hAnsi="Times" w:cs="Calibri"/>
                <w:color w:val="000000"/>
              </w:rPr>
              <w:t>compositional,yield</w:t>
            </w:r>
            <w:proofErr w:type="spellEnd"/>
            <w:proofErr w:type="gramEnd"/>
            <w:r w:rsidRPr="00752094">
              <w:rPr>
                <w:rFonts w:ascii="Times" w:hAnsi="Times" w:cs="Calibri"/>
                <w:color w:val="000000"/>
              </w:rPr>
              <w:t>, and metabolite data of sorghum grain</w:t>
            </w:r>
          </w:p>
        </w:tc>
      </w:tr>
      <w:tr w:rsidR="002E2FF1" w:rsidRPr="00752094" w14:paraId="09117F9B" w14:textId="77777777" w:rsidTr="002E2FF1">
        <w:trPr>
          <w:trHeight w:val="360"/>
        </w:trPr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984002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DC709B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D8C905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Maximum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A48F13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Average</w:t>
            </w:r>
          </w:p>
        </w:tc>
      </w:tr>
      <w:tr w:rsidR="002E2FF1" w:rsidRPr="00752094" w14:paraId="2A3AE687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91D85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ADF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E6AB5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0711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FD9F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5.32</w:t>
            </w:r>
          </w:p>
        </w:tc>
      </w:tr>
      <w:tr w:rsidR="002E2FF1" w:rsidRPr="00752094" w14:paraId="1EEBA7A4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A892F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Amylopectin to 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962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569D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102.33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9847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86.33</w:t>
            </w:r>
          </w:p>
        </w:tc>
      </w:tr>
      <w:tr w:rsidR="002E2FF1" w:rsidRPr="00752094" w14:paraId="31DD15F6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B1352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Amylopectin to Total Dry Matter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11B5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40.78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2975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67.33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3FFE7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55.72</w:t>
            </w:r>
          </w:p>
        </w:tc>
      </w:tr>
      <w:tr w:rsidR="002E2FF1" w:rsidRPr="00752094" w14:paraId="3EFF7898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05E6E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Amylose to 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503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84469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23.46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5D7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13.46</w:t>
            </w:r>
          </w:p>
        </w:tc>
      </w:tr>
      <w:tr w:rsidR="002E2FF1" w:rsidRPr="00752094" w14:paraId="75132A03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23B4E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Ash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A023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4D56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A76F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1.64</w:t>
            </w:r>
          </w:p>
        </w:tc>
      </w:tr>
      <w:tr w:rsidR="002E2FF1" w:rsidRPr="00752094" w14:paraId="5BC27927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FA315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BTU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04F5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7146.63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0C06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8006.36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1CA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7434.27</w:t>
            </w:r>
          </w:p>
        </w:tc>
      </w:tr>
      <w:tr w:rsidR="002E2FF1" w:rsidRPr="00752094" w14:paraId="66C3F7B1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EAD60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Cal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E1E6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3922.98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1502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4371.81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CAFE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4079.62</w:t>
            </w:r>
          </w:p>
        </w:tc>
      </w:tr>
      <w:tr w:rsidR="002E2FF1" w:rsidRPr="00752094" w14:paraId="1522D503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240E8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Calcium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0C49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1E90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5C99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0.01</w:t>
            </w:r>
          </w:p>
        </w:tc>
      </w:tr>
      <w:tr w:rsidR="002E2FF1" w:rsidRPr="00752094" w14:paraId="2E4AF1D0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287F0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Copper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F6B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61C4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69A5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4.02</w:t>
            </w:r>
          </w:p>
        </w:tc>
      </w:tr>
      <w:tr w:rsidR="002E2FF1" w:rsidRPr="00752094" w14:paraId="42440985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B90FB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Dry matter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AD8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86.63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AED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89.27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29BE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87.85</w:t>
            </w:r>
          </w:p>
        </w:tc>
      </w:tr>
      <w:tr w:rsidR="002E2FF1" w:rsidRPr="00752094" w14:paraId="51D84C65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DFEEB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Fat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961C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8D20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F36D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2.23</w:t>
            </w:r>
          </w:p>
        </w:tc>
      </w:tr>
      <w:tr w:rsidR="002E2FF1" w:rsidRPr="00752094" w14:paraId="74FAEFD7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79AA0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Iron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3E775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15.75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34CB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68.06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3FBAC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39.99</w:t>
            </w:r>
          </w:p>
        </w:tc>
      </w:tr>
      <w:tr w:rsidR="002E2FF1" w:rsidRPr="00752094" w14:paraId="1E836DD0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FCC5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IVSD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1008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38.6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61F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56.06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1CEB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46.23</w:t>
            </w:r>
          </w:p>
        </w:tc>
      </w:tr>
      <w:tr w:rsidR="002E2FF1" w:rsidRPr="00752094" w14:paraId="09DBB3D2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894A9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proofErr w:type="spellStart"/>
            <w:r w:rsidRPr="00594B17">
              <w:rPr>
                <w:rFonts w:ascii="Times" w:hAnsi="Times" w:cs="Calibri"/>
                <w:color w:val="000000"/>
              </w:rPr>
              <w:t>KCal</w:t>
            </w:r>
            <w:proofErr w:type="spellEnd"/>
            <w:r w:rsidRPr="00594B17">
              <w:rPr>
                <w:rFonts w:ascii="Times" w:hAnsi="Times" w:cs="Calibri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BF7E7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1797.73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230F5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2004.51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D114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1870.32</w:t>
            </w:r>
          </w:p>
        </w:tc>
      </w:tr>
      <w:tr w:rsidR="002E2FF1" w:rsidRPr="00752094" w14:paraId="143FFF2B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E4486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Lead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79C3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124D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997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0.22</w:t>
            </w:r>
          </w:p>
        </w:tc>
      </w:tr>
      <w:tr w:rsidR="002E2FF1" w:rsidRPr="00752094" w14:paraId="78646330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CD549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Magnesium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F38F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1094.48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A62A2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2258.23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6AC15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1537.04</w:t>
            </w:r>
          </w:p>
        </w:tc>
      </w:tr>
      <w:tr w:rsidR="002E2FF1" w:rsidRPr="00752094" w14:paraId="65D0158E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E262B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Manganese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B11A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1A2F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18.49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A40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14.02</w:t>
            </w:r>
          </w:p>
        </w:tc>
      </w:tr>
      <w:tr w:rsidR="002E2FF1" w:rsidRPr="00752094" w14:paraId="40337CF8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7E770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Moisture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6A162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A0372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13.37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2F3E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12.15</w:t>
            </w:r>
          </w:p>
        </w:tc>
      </w:tr>
      <w:tr w:rsidR="002E2FF1" w:rsidRPr="00752094" w14:paraId="687C8EC0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E1BB3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Moisture for Ash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9613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735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0731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11.68</w:t>
            </w:r>
          </w:p>
        </w:tc>
      </w:tr>
      <w:tr w:rsidR="002E2FF1" w:rsidRPr="00752094" w14:paraId="4F036B04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D4195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Moisture for Fat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99ED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F49F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12.59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45FFE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11.64</w:t>
            </w:r>
          </w:p>
        </w:tc>
      </w:tr>
      <w:tr w:rsidR="002E2FF1" w:rsidRPr="00752094" w14:paraId="232FF38D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D46D4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NDF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30CB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B3F7C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23.68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F800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9.23</w:t>
            </w:r>
          </w:p>
        </w:tc>
      </w:tr>
      <w:tr w:rsidR="002E2FF1" w:rsidRPr="00752094" w14:paraId="0A55E5AF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F1BA1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Nitrogen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393D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B0987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9595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1.8</w:t>
            </w:r>
          </w:p>
        </w:tc>
      </w:tr>
      <w:tr w:rsidR="002E2FF1" w:rsidRPr="00752094" w14:paraId="2EBD2E3C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91416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Nitrogen mg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45B99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ABA9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13.46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64EE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9.22</w:t>
            </w:r>
          </w:p>
        </w:tc>
      </w:tr>
      <w:tr w:rsidR="002E2FF1" w:rsidRPr="00752094" w14:paraId="07977DCC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3907C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Phosphorus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AB2F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0D0B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3F7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0.36</w:t>
            </w:r>
          </w:p>
        </w:tc>
      </w:tr>
      <w:tr w:rsidR="002E2FF1" w:rsidRPr="00752094" w14:paraId="09FA5F14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1B75A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Prolamin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3D308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3C3D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D7C67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5.31</w:t>
            </w:r>
          </w:p>
        </w:tc>
      </w:tr>
      <w:tr w:rsidR="002E2FF1" w:rsidRPr="00752094" w14:paraId="31E997DA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E25B4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Protein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9675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F807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16.43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FACE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11.38</w:t>
            </w:r>
          </w:p>
        </w:tc>
      </w:tr>
      <w:tr w:rsidR="002E2FF1" w:rsidRPr="00752094" w14:paraId="6FB474B5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34FEC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Sodium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E06C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5AA7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8C82E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</w:t>
            </w:r>
          </w:p>
        </w:tc>
      </w:tr>
      <w:tr w:rsidR="002E2FF1" w:rsidRPr="00752094" w14:paraId="289690F4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E4873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E57FD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54.97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7AA0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70D51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68.49</w:t>
            </w:r>
          </w:p>
        </w:tc>
      </w:tr>
      <w:tr w:rsidR="002E2FF1" w:rsidRPr="00752094" w14:paraId="6E067A8C" w14:textId="77777777" w:rsidTr="002E2FF1">
        <w:trPr>
          <w:trHeight w:val="32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3A0C8" w14:textId="77777777" w:rsidR="002E2FF1" w:rsidRPr="00594B17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Zinc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DEB7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BE5F3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27.87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1827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19.01</w:t>
            </w:r>
          </w:p>
        </w:tc>
      </w:tr>
      <w:tr w:rsidR="002E2FF1" w:rsidRPr="00752094" w14:paraId="273FC3E0" w14:textId="77777777" w:rsidTr="002E2FF1">
        <w:trPr>
          <w:trHeight w:val="34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847F8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GNP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DB95B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C9DBE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3445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C5904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1085</w:t>
            </w:r>
          </w:p>
        </w:tc>
      </w:tr>
      <w:tr w:rsidR="002E2FF1" w:rsidRPr="00752094" w14:paraId="08E80AF6" w14:textId="77777777" w:rsidTr="002E2FF1">
        <w:trPr>
          <w:trHeight w:val="34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A1E8C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TGW (g)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2C73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1411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56.2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B5E29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23.3</w:t>
            </w:r>
          </w:p>
        </w:tc>
      </w:tr>
      <w:tr w:rsidR="002E2FF1" w:rsidRPr="00752094" w14:paraId="019E1F3D" w14:textId="77777777" w:rsidTr="002E2FF1">
        <w:trPr>
          <w:trHeight w:val="34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93E75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YPP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DE619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10D8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97.9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0893F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25.2</w:t>
            </w:r>
          </w:p>
        </w:tc>
      </w:tr>
      <w:tr w:rsidR="002E2FF1" w:rsidRPr="00752094" w14:paraId="11D4D2BA" w14:textId="77777777" w:rsidTr="002E2FF1">
        <w:trPr>
          <w:trHeight w:val="34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129A0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Tannins (mg CE/g)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6970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C937E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88.1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2FD86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8.24</w:t>
            </w:r>
          </w:p>
        </w:tc>
      </w:tr>
      <w:tr w:rsidR="002E2FF1" w:rsidRPr="00752094" w14:paraId="55826D1F" w14:textId="77777777" w:rsidTr="002E2FF1">
        <w:trPr>
          <w:trHeight w:val="34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4E344" w14:textId="77777777" w:rsidR="002E2FF1" w:rsidRPr="00752094" w:rsidRDefault="002E2FF1" w:rsidP="002E2FF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Total phenols [GAE/g]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F7C4C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6.9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4C3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8EDAA" w14:textId="77777777" w:rsidR="002E2FF1" w:rsidRPr="00594B17" w:rsidRDefault="002E2FF1" w:rsidP="002E2FF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292</w:t>
            </w:r>
          </w:p>
        </w:tc>
      </w:tr>
    </w:tbl>
    <w:p w14:paraId="65987A34" w14:textId="77777777" w:rsidR="002E2FF1" w:rsidRPr="00752094" w:rsidRDefault="002E2FF1">
      <w:pPr>
        <w:rPr>
          <w:rFonts w:ascii="Times" w:hAnsi="Times"/>
        </w:rPr>
      </w:pPr>
    </w:p>
    <w:p w14:paraId="13D6AEAF" w14:textId="77777777" w:rsidR="00060875" w:rsidRPr="00752094" w:rsidRDefault="002E2FF1">
      <w:pPr>
        <w:rPr>
          <w:rFonts w:ascii="Times" w:hAnsi="Times"/>
        </w:rPr>
      </w:pPr>
      <w:proofErr w:type="gramStart"/>
      <w:r w:rsidRPr="00752094">
        <w:rPr>
          <w:rFonts w:ascii="Times" w:hAnsi="Times"/>
          <w:vertAlign w:val="superscript"/>
        </w:rPr>
        <w:lastRenderedPageBreak/>
        <w:t>a</w:t>
      </w:r>
      <w:proofErr w:type="gramEnd"/>
      <w:r w:rsidRPr="00752094">
        <w:rPr>
          <w:rFonts w:ascii="Times" w:hAnsi="Times"/>
        </w:rPr>
        <w:t xml:space="preserve"> ADF, acid detergent fiber; BTU, British thermal unit; Cal, calorie; IV</w:t>
      </w:r>
      <w:r w:rsidR="003B1CBE" w:rsidRPr="00752094">
        <w:rPr>
          <w:rFonts w:ascii="Times" w:hAnsi="Times"/>
        </w:rPr>
        <w:t xml:space="preserve">SD, in </w:t>
      </w:r>
      <w:proofErr w:type="spellStart"/>
      <w:r w:rsidR="003B1CBE" w:rsidRPr="00752094">
        <w:rPr>
          <w:rFonts w:ascii="Times" w:hAnsi="Times"/>
        </w:rPr>
        <w:t>vittrol</w:t>
      </w:r>
      <w:proofErr w:type="spellEnd"/>
      <w:r w:rsidR="003B1CBE" w:rsidRPr="00752094">
        <w:rPr>
          <w:rFonts w:ascii="Times" w:hAnsi="Times"/>
        </w:rPr>
        <w:t xml:space="preserve"> starch. Disappearance/digestion; Kcal, kilocalorie; NDF, neutral detergent fiber; GNP, grain number panicle; TWG, thousand grain weight; YPP, yield primary panicle</w:t>
      </w:r>
    </w:p>
    <w:p w14:paraId="0B583211" w14:textId="77777777" w:rsidR="00060875" w:rsidRPr="00752094" w:rsidRDefault="00060875">
      <w:pPr>
        <w:rPr>
          <w:rFonts w:ascii="Times" w:hAnsi="Times"/>
        </w:rPr>
      </w:pPr>
    </w:p>
    <w:p w14:paraId="618F0F0D" w14:textId="77777777" w:rsidR="00060875" w:rsidRPr="00752094" w:rsidRDefault="00060875" w:rsidP="00060875">
      <w:pPr>
        <w:spacing w:line="480" w:lineRule="auto"/>
        <w:rPr>
          <w:rFonts w:ascii="Times" w:hAnsi="Times"/>
          <w:b/>
          <w:bCs/>
        </w:rPr>
      </w:pPr>
      <w:r w:rsidRPr="00752094">
        <w:rPr>
          <w:rFonts w:ascii="Times" w:hAnsi="Times"/>
          <w:b/>
          <w:bCs/>
        </w:rPr>
        <w:t>Table S3</w:t>
      </w:r>
      <w:r w:rsidRPr="00752094">
        <w:rPr>
          <w:rFonts w:ascii="Times" w:hAnsi="Times"/>
        </w:rPr>
        <w:t xml:space="preserve"> provides summary statistics of all 29 composition traits measured using NIRS. Correlation values and significant testing was determined to evaluate the relationships between antimicrobial activity against </w:t>
      </w:r>
      <w:r w:rsidRPr="00752094">
        <w:rPr>
          <w:rFonts w:ascii="Times" w:hAnsi="Times"/>
          <w:i/>
          <w:iCs/>
        </w:rPr>
        <w:t>C. perfringens</w:t>
      </w:r>
      <w:r w:rsidRPr="00752094">
        <w:rPr>
          <w:rFonts w:ascii="Times" w:hAnsi="Times"/>
        </w:rPr>
        <w:t xml:space="preserve"> and each composition trait. All traits, with the exception of dry matter, moisture, and moisture for ash, were found to have insignificant correlations (</w:t>
      </w:r>
      <w:r w:rsidRPr="00752094">
        <w:rPr>
          <w:rFonts w:ascii="Times" w:hAnsi="Times"/>
          <w:b/>
          <w:bCs/>
        </w:rPr>
        <w:t>Table S4</w:t>
      </w:r>
      <w:r w:rsidRPr="00752094">
        <w:rPr>
          <w:rFonts w:ascii="Times" w:hAnsi="Times"/>
        </w:rPr>
        <w:t>). Due to the inevitable increase in the error during multivariate testing, a false discovery rate (FDR) correction was applied (q). Upon the FDR correction, all correlations between composition traits and antimicrobial activity were found insignificant (</w:t>
      </w:r>
      <w:r w:rsidRPr="00752094">
        <w:rPr>
          <w:rFonts w:ascii="Times" w:hAnsi="Times"/>
          <w:b/>
          <w:bCs/>
        </w:rPr>
        <w:t>Table S4</w:t>
      </w:r>
      <w:r w:rsidRPr="00752094">
        <w:rPr>
          <w:rFonts w:ascii="Times" w:hAnsi="Times"/>
        </w:rPr>
        <w:t xml:space="preserve">). </w:t>
      </w:r>
    </w:p>
    <w:p w14:paraId="6DE6F7F5" w14:textId="4CF9199B" w:rsidR="00930E19" w:rsidRPr="00752094" w:rsidRDefault="00930E19">
      <w:pPr>
        <w:rPr>
          <w:rFonts w:ascii="Times" w:hAnsi="Times"/>
        </w:rPr>
      </w:pPr>
      <w:r w:rsidRPr="00752094">
        <w:rPr>
          <w:rFonts w:ascii="Times" w:hAnsi="Times"/>
        </w:rPr>
        <w:br w:type="page"/>
      </w:r>
    </w:p>
    <w:p w14:paraId="698514AE" w14:textId="6E972617" w:rsidR="00B42F53" w:rsidRPr="00752094" w:rsidRDefault="00B42F53" w:rsidP="00495B38">
      <w:pPr>
        <w:spacing w:line="480" w:lineRule="auto"/>
        <w:rPr>
          <w:rFonts w:ascii="Times" w:hAnsi="Times"/>
          <w:b/>
          <w:bCs/>
        </w:rPr>
      </w:pPr>
    </w:p>
    <w:tbl>
      <w:tblPr>
        <w:tblW w:w="7660" w:type="dxa"/>
        <w:tblLook w:val="04A0" w:firstRow="1" w:lastRow="0" w:firstColumn="1" w:lastColumn="0" w:noHBand="0" w:noVBand="1"/>
      </w:tblPr>
      <w:tblGrid>
        <w:gridCol w:w="3760"/>
        <w:gridCol w:w="1300"/>
        <w:gridCol w:w="1300"/>
        <w:gridCol w:w="1300"/>
      </w:tblGrid>
      <w:tr w:rsidR="00862881" w:rsidRPr="00752094" w14:paraId="1ABE0B98" w14:textId="77777777" w:rsidTr="00862881">
        <w:trPr>
          <w:trHeight w:val="340"/>
        </w:trPr>
        <w:tc>
          <w:tcPr>
            <w:tcW w:w="76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D25B5D9" w14:textId="77777777" w:rsidR="00862881" w:rsidRPr="00752094" w:rsidRDefault="00862881" w:rsidP="00594B1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752094">
              <w:rPr>
                <w:rFonts w:ascii="Times" w:hAnsi="Times" w:cs="Calibri"/>
                <w:b/>
                <w:bCs/>
                <w:color w:val="000000"/>
              </w:rPr>
              <w:t>Table S4</w:t>
            </w:r>
            <w:r w:rsidRPr="00752094">
              <w:rPr>
                <w:rFonts w:ascii="Times" w:hAnsi="Times" w:cs="Calibri"/>
                <w:color w:val="000000"/>
              </w:rPr>
              <w:t>. Correlation and significance of compositional, yield, and metabolite traits to antimicrobial activitiy</w:t>
            </w:r>
          </w:p>
        </w:tc>
      </w:tr>
      <w:tr w:rsidR="00862881" w:rsidRPr="00752094" w14:paraId="267B8C51" w14:textId="77777777" w:rsidTr="00862881">
        <w:trPr>
          <w:trHeight w:val="360"/>
        </w:trPr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7CF7DD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E1A8C3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r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B82439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p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F68E73A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q value</w:t>
            </w:r>
          </w:p>
        </w:tc>
      </w:tr>
      <w:tr w:rsidR="00862881" w:rsidRPr="00752094" w14:paraId="6EDBE141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2B6CC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ADF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B92D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E11B5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A3C67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0.989</w:t>
            </w:r>
          </w:p>
        </w:tc>
      </w:tr>
      <w:tr w:rsidR="00862881" w:rsidRPr="00752094" w14:paraId="0E5ABA0A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D7068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Amylopectin to 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DE79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9C92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75D80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0.59</w:t>
            </w:r>
          </w:p>
        </w:tc>
      </w:tr>
      <w:tr w:rsidR="00862881" w:rsidRPr="00752094" w14:paraId="45125EA5" w14:textId="77777777" w:rsidTr="00862881">
        <w:trPr>
          <w:trHeight w:val="6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FD07F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Amylopectin to Total Dry Matter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E8130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EDB3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D93F7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4028E55F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5B9B4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Amylose to 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21F7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DA917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CAC3F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0.716</w:t>
            </w:r>
          </w:p>
        </w:tc>
      </w:tr>
      <w:tr w:rsidR="00862881" w:rsidRPr="00752094" w14:paraId="09663FB8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44A58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Ash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51431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49051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13836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0.904</w:t>
            </w:r>
          </w:p>
        </w:tc>
      </w:tr>
      <w:tr w:rsidR="00862881" w:rsidRPr="00752094" w14:paraId="0D97E87D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2FFD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BTU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8D4F3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E5887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6FC3F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0.59</w:t>
            </w:r>
          </w:p>
        </w:tc>
      </w:tr>
      <w:tr w:rsidR="00862881" w:rsidRPr="00752094" w14:paraId="27B64807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EB098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Cal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97F01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9FD4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6D501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0.773</w:t>
            </w:r>
          </w:p>
        </w:tc>
      </w:tr>
      <w:tr w:rsidR="00862881" w:rsidRPr="00752094" w14:paraId="4FB65195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60505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Calcium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B4770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07D7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AEA2B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0.59</w:t>
            </w:r>
          </w:p>
        </w:tc>
      </w:tr>
      <w:tr w:rsidR="00862881" w:rsidRPr="00752094" w14:paraId="3430B31A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4926E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Copper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23C8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82A0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24B53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64A908F1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C157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Dry matter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CF8BA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ED46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775A5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0.361</w:t>
            </w:r>
          </w:p>
        </w:tc>
      </w:tr>
      <w:tr w:rsidR="00862881" w:rsidRPr="00752094" w14:paraId="71F9C6F1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8E2C3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Fat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02B2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5637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5D1AD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45120A1A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F760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Iron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BE00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A205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A711D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150A2E46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537F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IVSD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216F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8B850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384CC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5FBFF5FF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DF4B1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proofErr w:type="spellStart"/>
            <w:r w:rsidRPr="00594B17">
              <w:rPr>
                <w:rFonts w:ascii="Times" w:hAnsi="Times" w:cs="Calibri"/>
                <w:color w:val="000000"/>
              </w:rPr>
              <w:t>KCal</w:t>
            </w:r>
            <w:proofErr w:type="spellEnd"/>
            <w:r w:rsidRPr="00594B17">
              <w:rPr>
                <w:rFonts w:ascii="Times" w:hAnsi="Times" w:cs="Calibri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10C2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C3CE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A372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0.59</w:t>
            </w:r>
          </w:p>
        </w:tc>
      </w:tr>
      <w:tr w:rsidR="00862881" w:rsidRPr="00752094" w14:paraId="7E44CB6E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D3092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Lead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D315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A004A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9E721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27BCC57C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D3146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Magnesium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81D1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0492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3428D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767A9F39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0EA9C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Manganese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51DD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7942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B9973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417CD7E8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B54BA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Moisture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E49B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E219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C1F63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0.361</w:t>
            </w:r>
          </w:p>
        </w:tc>
      </w:tr>
      <w:tr w:rsidR="00862881" w:rsidRPr="00752094" w14:paraId="6B810615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A8EF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Moisture for Ash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4C7D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470FA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F2527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0.354</w:t>
            </w:r>
          </w:p>
        </w:tc>
      </w:tr>
      <w:tr w:rsidR="00862881" w:rsidRPr="00752094" w14:paraId="5CCFB3B6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34751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Moisture for Fat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3D9A5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18C5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2F50C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28048756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E2BC1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NDF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14E66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7D3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6735E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1F02F0BC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8ABD5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Nitrogen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4F00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A3595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66F91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5DEB5FB3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14B8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Nitrogen mg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9A811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16A1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0E7D9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7EA24FBB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33723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Phosphorus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6FCC7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C2793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6FE9B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0.59</w:t>
            </w:r>
          </w:p>
        </w:tc>
      </w:tr>
      <w:tr w:rsidR="00862881" w:rsidRPr="00752094" w14:paraId="73774E77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9A774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Prolamin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9E3F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C0207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6AB53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0.877</w:t>
            </w:r>
          </w:p>
        </w:tc>
      </w:tr>
      <w:tr w:rsidR="00862881" w:rsidRPr="00752094" w14:paraId="3143EB04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A17BA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Protein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D1501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BD0C8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56797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0.908</w:t>
            </w:r>
          </w:p>
        </w:tc>
      </w:tr>
      <w:tr w:rsidR="00862881" w:rsidRPr="00752094" w14:paraId="3B3EE14D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BC628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Sodium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DADDF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4067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92E38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</w:t>
            </w:r>
          </w:p>
        </w:tc>
      </w:tr>
      <w:tr w:rsidR="00862881" w:rsidRPr="00752094" w14:paraId="028515FD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62155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Starch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9BC5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AC57E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770F4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0.895</w:t>
            </w:r>
          </w:p>
        </w:tc>
      </w:tr>
      <w:tr w:rsidR="00862881" w:rsidRPr="00752094" w14:paraId="731B1AEC" w14:textId="77777777" w:rsidTr="00862881">
        <w:trPr>
          <w:trHeight w:val="32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93A1D" w14:textId="77777777" w:rsidR="00862881" w:rsidRPr="00594B17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 xml:space="preserve">Zinc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7550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522D7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66846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0.932</w:t>
            </w:r>
          </w:p>
        </w:tc>
      </w:tr>
      <w:tr w:rsidR="00862881" w:rsidRPr="00752094" w14:paraId="2572B513" w14:textId="77777777" w:rsidTr="00862881">
        <w:trPr>
          <w:trHeight w:val="3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B33D" w14:textId="77777777" w:rsidR="00862881" w:rsidRPr="00752094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GNP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D0D6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0.00308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79444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0.9353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FAD94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-</w:t>
            </w:r>
          </w:p>
        </w:tc>
      </w:tr>
      <w:tr w:rsidR="00862881" w:rsidRPr="00752094" w14:paraId="19EBDFDC" w14:textId="77777777" w:rsidTr="00862881">
        <w:trPr>
          <w:trHeight w:val="3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9571F" w14:textId="77777777" w:rsidR="00862881" w:rsidRPr="00752094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TGW (g)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00319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0.00796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3B0D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0.8334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340DB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-</w:t>
            </w:r>
          </w:p>
        </w:tc>
      </w:tr>
      <w:tr w:rsidR="00862881" w:rsidRPr="00752094" w14:paraId="75738AEA" w14:textId="77777777" w:rsidTr="00862881">
        <w:trPr>
          <w:trHeight w:val="3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7CDA5" w14:textId="77777777" w:rsidR="00862881" w:rsidRPr="00752094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YPP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8FACD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0.00201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A455D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0.9577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3F825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-</w:t>
            </w:r>
          </w:p>
        </w:tc>
      </w:tr>
      <w:tr w:rsidR="00862881" w:rsidRPr="00752094" w14:paraId="3F31CB86" w14:textId="77777777" w:rsidTr="00862881">
        <w:trPr>
          <w:trHeight w:val="3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52D4A" w14:textId="77777777" w:rsidR="00862881" w:rsidRPr="00752094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Tannins (mg CE/g)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75A82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7F2FC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18B82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-</w:t>
            </w:r>
          </w:p>
        </w:tc>
      </w:tr>
      <w:tr w:rsidR="00862881" w:rsidRPr="00752094" w14:paraId="1B84634D" w14:textId="77777777" w:rsidTr="00862881">
        <w:trPr>
          <w:trHeight w:val="34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9B097" w14:textId="77777777" w:rsidR="00862881" w:rsidRPr="00752094" w:rsidRDefault="00862881" w:rsidP="00862881">
            <w:pPr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Total phenols [GAE/g]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873B0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-0.12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AF0E5" w14:textId="77777777" w:rsidR="00862881" w:rsidRPr="00752094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752094">
              <w:rPr>
                <w:rFonts w:ascii="Times" w:hAnsi="Times" w:cs="Calibri"/>
                <w:color w:val="000000"/>
              </w:rPr>
              <w:t>0.036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83F61" w14:textId="77777777" w:rsidR="00862881" w:rsidRPr="00594B17" w:rsidRDefault="00862881" w:rsidP="00862881">
            <w:pPr>
              <w:jc w:val="center"/>
              <w:rPr>
                <w:rFonts w:ascii="Times" w:hAnsi="Times" w:cs="Calibri"/>
                <w:color w:val="000000"/>
              </w:rPr>
            </w:pPr>
            <w:r w:rsidRPr="00594B17">
              <w:rPr>
                <w:rFonts w:ascii="Times" w:hAnsi="Times" w:cs="Calibri"/>
                <w:color w:val="000000"/>
              </w:rPr>
              <w:t>-</w:t>
            </w:r>
          </w:p>
        </w:tc>
      </w:tr>
    </w:tbl>
    <w:p w14:paraId="7EDFF81E" w14:textId="1F272A73" w:rsidR="007F55FE" w:rsidRPr="00752094" w:rsidRDefault="00A9317A" w:rsidP="00594B17">
      <w:pPr>
        <w:spacing w:line="480" w:lineRule="auto"/>
        <w:rPr>
          <w:rFonts w:ascii="Times" w:hAnsi="Times"/>
        </w:rPr>
      </w:pPr>
      <w:r w:rsidRPr="000D4DF5">
        <w:rPr>
          <w:rFonts w:ascii="Times" w:hAnsi="Times"/>
          <w:noProof/>
        </w:rPr>
        <w:lastRenderedPageBreak/>
        <w:drawing>
          <wp:inline distT="0" distB="0" distL="0" distR="0" wp14:anchorId="3C9445EF" wp14:editId="1F4BB898">
            <wp:extent cx="3349256" cy="3460899"/>
            <wp:effectExtent l="0" t="0" r="381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8 at 4.03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59" cy="34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4DD5" w14:textId="16476571" w:rsidR="008206E9" w:rsidRPr="00752094" w:rsidRDefault="008206E9" w:rsidP="00676556">
      <w:pPr>
        <w:rPr>
          <w:rFonts w:ascii="Times" w:hAnsi="Times"/>
        </w:rPr>
      </w:pPr>
    </w:p>
    <w:p w14:paraId="58745D7B" w14:textId="243E0D7E" w:rsidR="00A9317A" w:rsidRPr="00752094" w:rsidRDefault="002A26B2">
      <w:pPr>
        <w:rPr>
          <w:rFonts w:ascii="Times" w:hAnsi="Times"/>
        </w:rPr>
      </w:pPr>
      <w:r w:rsidRPr="00752094">
        <w:rPr>
          <w:rFonts w:ascii="Times" w:hAnsi="Times"/>
          <w:b/>
          <w:bCs/>
        </w:rPr>
        <w:t>Figure</w:t>
      </w:r>
      <w:r w:rsidR="0032399A" w:rsidRPr="00752094">
        <w:rPr>
          <w:rFonts w:ascii="Times" w:hAnsi="Times"/>
          <w:b/>
          <w:bCs/>
        </w:rPr>
        <w:t xml:space="preserve"> </w:t>
      </w:r>
      <w:r w:rsidRPr="00752094">
        <w:rPr>
          <w:rFonts w:ascii="Times" w:hAnsi="Times"/>
          <w:b/>
          <w:bCs/>
        </w:rPr>
        <w:t>S</w:t>
      </w:r>
      <w:r w:rsidR="005902AF" w:rsidRPr="00752094">
        <w:rPr>
          <w:rFonts w:ascii="Times" w:hAnsi="Times"/>
          <w:b/>
          <w:bCs/>
        </w:rPr>
        <w:t>4</w:t>
      </w:r>
      <w:r w:rsidR="0032399A" w:rsidRPr="00752094">
        <w:rPr>
          <w:rFonts w:ascii="Times" w:hAnsi="Times"/>
          <w:b/>
          <w:bCs/>
        </w:rPr>
        <w:t>.</w:t>
      </w:r>
      <w:r w:rsidR="0032399A" w:rsidRPr="00752094">
        <w:rPr>
          <w:rFonts w:ascii="Times" w:hAnsi="Times"/>
        </w:rPr>
        <w:t xml:space="preserve"> QQ plot for LMM of </w:t>
      </w:r>
      <w:proofErr w:type="spellStart"/>
      <w:r w:rsidR="00A22EC1" w:rsidRPr="00752094">
        <w:rPr>
          <w:rFonts w:ascii="Times" w:hAnsi="Times"/>
        </w:rPr>
        <w:t>anitmicrobial</w:t>
      </w:r>
      <w:proofErr w:type="spellEnd"/>
      <w:r w:rsidR="00A22EC1" w:rsidRPr="00752094">
        <w:rPr>
          <w:rFonts w:ascii="Times" w:hAnsi="Times"/>
        </w:rPr>
        <w:t xml:space="preserve"> </w:t>
      </w:r>
      <w:proofErr w:type="spellStart"/>
      <w:r w:rsidR="00A22EC1" w:rsidRPr="00752094">
        <w:rPr>
          <w:rFonts w:ascii="Times" w:hAnsi="Times"/>
        </w:rPr>
        <w:t>activtiy</w:t>
      </w:r>
      <w:proofErr w:type="spellEnd"/>
    </w:p>
    <w:p w14:paraId="768F462C" w14:textId="219949E7" w:rsidR="001E4380" w:rsidRPr="00752094" w:rsidRDefault="001E4380">
      <w:pPr>
        <w:rPr>
          <w:rFonts w:ascii="Times" w:hAnsi="Times"/>
        </w:rPr>
      </w:pPr>
    </w:p>
    <w:p w14:paraId="7D261957" w14:textId="43C26BD3" w:rsidR="0032399A" w:rsidRPr="00752094" w:rsidRDefault="0032399A">
      <w:pPr>
        <w:rPr>
          <w:rFonts w:ascii="Times" w:hAnsi="Times"/>
        </w:rPr>
      </w:pPr>
      <w:r w:rsidRPr="00594B17">
        <w:rPr>
          <w:rFonts w:ascii="Times" w:hAnsi="Times"/>
          <w:noProof/>
        </w:rPr>
        <w:drawing>
          <wp:inline distT="0" distB="0" distL="0" distR="0" wp14:anchorId="115AD000" wp14:editId="18C79A5E">
            <wp:extent cx="3752850" cy="381659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704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8833" w14:textId="301F1A11" w:rsidR="0057647A" w:rsidRDefault="0032399A">
      <w:pPr>
        <w:rPr>
          <w:rFonts w:ascii="Times" w:hAnsi="Times"/>
        </w:rPr>
      </w:pPr>
      <w:r w:rsidRPr="00752094">
        <w:rPr>
          <w:rFonts w:ascii="Times" w:hAnsi="Times"/>
          <w:b/>
          <w:bCs/>
        </w:rPr>
        <w:t>Figure S</w:t>
      </w:r>
      <w:r w:rsidR="005902AF" w:rsidRPr="00752094">
        <w:rPr>
          <w:rFonts w:ascii="Times" w:hAnsi="Times"/>
          <w:b/>
          <w:bCs/>
        </w:rPr>
        <w:t>5</w:t>
      </w:r>
      <w:r w:rsidRPr="00752094">
        <w:rPr>
          <w:rFonts w:ascii="Times" w:hAnsi="Times"/>
        </w:rPr>
        <w:t>. QQ plot for LMM with tannin covariate of antimicrobial activit</w:t>
      </w:r>
      <w:r w:rsidR="00A9317A">
        <w:rPr>
          <w:rFonts w:ascii="Times" w:hAnsi="Times"/>
        </w:rPr>
        <w:t>y.</w:t>
      </w:r>
    </w:p>
    <w:p w14:paraId="03D5F41A" w14:textId="3B53842B" w:rsidR="00D8613D" w:rsidRPr="00752094" w:rsidRDefault="00823654">
      <w:pPr>
        <w:rPr>
          <w:rFonts w:ascii="Times" w:hAnsi="Times"/>
          <w:b/>
          <w:bCs/>
        </w:rPr>
      </w:pPr>
      <w:r w:rsidRPr="00594B17">
        <w:rPr>
          <w:rFonts w:ascii="Times" w:hAnsi="Times"/>
          <w:b/>
          <w:bCs/>
          <w:noProof/>
        </w:rPr>
        <w:lastRenderedPageBreak/>
        <w:drawing>
          <wp:inline distT="0" distB="0" distL="0" distR="0" wp14:anchorId="67FE5271" wp14:editId="1D9B8102">
            <wp:extent cx="3172576" cy="3370521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8 at 4.45.4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6" cy="33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427"/>
        <w:tblW w:w="9866" w:type="dxa"/>
        <w:tblLook w:val="04A0" w:firstRow="1" w:lastRow="0" w:firstColumn="1" w:lastColumn="0" w:noHBand="0" w:noVBand="1"/>
      </w:tblPr>
      <w:tblGrid>
        <w:gridCol w:w="1807"/>
        <w:gridCol w:w="1691"/>
        <w:gridCol w:w="1262"/>
        <w:gridCol w:w="1057"/>
        <w:gridCol w:w="1157"/>
        <w:gridCol w:w="1161"/>
        <w:gridCol w:w="1731"/>
      </w:tblGrid>
      <w:tr w:rsidR="00A9317A" w:rsidRPr="005E6714" w14:paraId="16E1BD13" w14:textId="77777777" w:rsidTr="00A9317A">
        <w:trPr>
          <w:trHeight w:val="404"/>
        </w:trPr>
        <w:tc>
          <w:tcPr>
            <w:tcW w:w="9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02756" w14:textId="77777777" w:rsidR="00A9317A" w:rsidRPr="005E6714" w:rsidRDefault="00A9317A" w:rsidP="00A9317A">
            <w:pPr>
              <w:rPr>
                <w:rFonts w:ascii="Times" w:hAnsi="Times"/>
                <w:b/>
                <w:bCs/>
                <w:color w:val="000000"/>
              </w:rPr>
            </w:pPr>
            <w:r w:rsidRPr="005E6714">
              <w:rPr>
                <w:rFonts w:ascii="Times" w:hAnsi="Times"/>
                <w:b/>
                <w:bCs/>
                <w:color w:val="000000"/>
              </w:rPr>
              <w:t xml:space="preserve">Table S5. </w:t>
            </w:r>
            <w:r w:rsidRPr="005E6714">
              <w:rPr>
                <w:rFonts w:ascii="Times" w:hAnsi="Times"/>
                <w:color w:val="000000"/>
              </w:rPr>
              <w:t>Top four significant associations for antimicrobial activity GWAS. P-Wald value was calculated and adjusted by the Bonferroni correction.</w:t>
            </w:r>
          </w:p>
        </w:tc>
      </w:tr>
      <w:tr w:rsidR="00A9317A" w:rsidRPr="005E6714" w14:paraId="50577495" w14:textId="77777777" w:rsidTr="00A9317A">
        <w:trPr>
          <w:trHeight w:val="325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4988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Chromosome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4D91F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SNP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A57B3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Position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334E8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allele1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1A20B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allele0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239D7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5E6714">
              <w:rPr>
                <w:rFonts w:ascii="Times" w:hAnsi="Times" w:cs="Calibri"/>
                <w:b/>
                <w:bCs/>
                <w:color w:val="000000"/>
              </w:rPr>
              <w:t>MAF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1CFA4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proofErr w:type="spellStart"/>
            <w:r w:rsidRPr="005E6714">
              <w:rPr>
                <w:rFonts w:ascii="Times" w:hAnsi="Times" w:cs="Calibri"/>
                <w:b/>
                <w:bCs/>
                <w:color w:val="000000"/>
              </w:rPr>
              <w:t>p_wald</w:t>
            </w:r>
            <w:proofErr w:type="spellEnd"/>
          </w:p>
        </w:tc>
      </w:tr>
      <w:tr w:rsidR="00A9317A" w:rsidRPr="005E6714" w14:paraId="726ACFFC" w14:textId="77777777" w:rsidTr="00A9317A">
        <w:trPr>
          <w:trHeight w:val="3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6633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D85D9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S2_8924006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AF13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8924006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2C31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27CB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T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8857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0.06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332B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2.31E-08</w:t>
            </w:r>
          </w:p>
        </w:tc>
      </w:tr>
      <w:tr w:rsidR="00A9317A" w:rsidRPr="005E6714" w14:paraId="50F0B155" w14:textId="77777777" w:rsidTr="00A9317A">
        <w:trPr>
          <w:trHeight w:val="3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EED0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4335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S4_64038743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1116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64038743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241C0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2489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G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880B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0.051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D39A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8.13E-08</w:t>
            </w:r>
          </w:p>
        </w:tc>
      </w:tr>
      <w:tr w:rsidR="00A9317A" w:rsidRPr="005E6714" w14:paraId="2604EFCF" w14:textId="77777777" w:rsidTr="00A9317A">
        <w:trPr>
          <w:trHeight w:val="3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E36B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5C09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S4_64439967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88C7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64439967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2D62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E270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A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DAB9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0.15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C49A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8.92E-08</w:t>
            </w:r>
          </w:p>
        </w:tc>
      </w:tr>
      <w:tr w:rsidR="00A9317A" w:rsidRPr="005E6714" w14:paraId="35E34A93" w14:textId="77777777" w:rsidTr="00A9317A">
        <w:trPr>
          <w:trHeight w:val="3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A3F4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10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939E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S10_56476103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F548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56476103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9FAC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857E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G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FDEE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0.055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4E0F" w14:textId="77777777" w:rsidR="00A9317A" w:rsidRPr="005E6714" w:rsidRDefault="00A9317A" w:rsidP="00A9317A">
            <w:pPr>
              <w:jc w:val="center"/>
              <w:rPr>
                <w:rFonts w:ascii="Times" w:hAnsi="Times" w:cs="Calibri"/>
                <w:color w:val="000000"/>
              </w:rPr>
            </w:pPr>
            <w:r w:rsidRPr="005E6714">
              <w:rPr>
                <w:rFonts w:ascii="Times" w:hAnsi="Times" w:cs="Calibri"/>
                <w:color w:val="000000"/>
              </w:rPr>
              <w:t>1.48E-08</w:t>
            </w:r>
          </w:p>
        </w:tc>
      </w:tr>
    </w:tbl>
    <w:tbl>
      <w:tblPr>
        <w:tblStyle w:val="TableGrid"/>
        <w:tblpPr w:leftFromText="180" w:rightFromText="180" w:vertAnchor="text" w:horzAnchor="margin" w:tblpY="3517"/>
        <w:tblW w:w="9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6"/>
      </w:tblGrid>
      <w:tr w:rsidR="00A9317A" w14:paraId="5586E277" w14:textId="77777777" w:rsidTr="00A9317A">
        <w:trPr>
          <w:trHeight w:val="658"/>
        </w:trPr>
        <w:tc>
          <w:tcPr>
            <w:tcW w:w="9878" w:type="dxa"/>
            <w:gridSpan w:val="10"/>
            <w:tcBorders>
              <w:bottom w:val="single" w:sz="4" w:space="0" w:color="auto"/>
            </w:tcBorders>
          </w:tcPr>
          <w:p w14:paraId="5F86E833" w14:textId="77777777" w:rsidR="00A9317A" w:rsidRDefault="00A9317A" w:rsidP="00A9317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Table S6.</w:t>
            </w:r>
            <w:r>
              <w:t xml:space="preserve"> </w:t>
            </w:r>
            <w:r w:rsidRPr="00AB04BF">
              <w:rPr>
                <w:rFonts w:ascii="Times" w:hAnsi="Times"/>
                <w:b/>
                <w:bCs/>
              </w:rPr>
              <w:t>T-</w:t>
            </w:r>
            <w:r w:rsidRPr="006137EA">
              <w:rPr>
                <w:rFonts w:ascii="Times" w:hAnsi="Times"/>
              </w:rPr>
              <w:t xml:space="preserve">test </w:t>
            </w:r>
            <w:proofErr w:type="gramStart"/>
            <w:r w:rsidRPr="006137EA">
              <w:rPr>
                <w:rFonts w:ascii="Times" w:hAnsi="Times"/>
              </w:rPr>
              <w:t xml:space="preserve">comparing  </w:t>
            </w:r>
            <w:proofErr w:type="spellStart"/>
            <w:r w:rsidRPr="006137EA">
              <w:rPr>
                <w:rFonts w:ascii="Times" w:hAnsi="Times"/>
              </w:rPr>
              <w:t>pwald</w:t>
            </w:r>
            <w:proofErr w:type="spellEnd"/>
            <w:proofErr w:type="gramEnd"/>
            <w:r w:rsidRPr="006137EA">
              <w:rPr>
                <w:rFonts w:ascii="Times" w:hAnsi="Times"/>
              </w:rPr>
              <w:t xml:space="preserve"> values for SNPs in antimicrobial activity and tannin covariate GWAS</w:t>
            </w:r>
          </w:p>
        </w:tc>
      </w:tr>
      <w:tr w:rsidR="00A9317A" w14:paraId="453D42C5" w14:textId="77777777" w:rsidTr="00A9317A">
        <w:trPr>
          <w:gridAfter w:val="1"/>
          <w:wAfter w:w="6" w:type="dxa"/>
          <w:trHeight w:val="634"/>
        </w:trPr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32AAC553" w14:textId="77777777" w:rsidR="00A9317A" w:rsidRPr="006137EA" w:rsidRDefault="00A9317A" w:rsidP="00A9317A">
            <w:pPr>
              <w:rPr>
                <w:rFonts w:ascii="Times" w:hAnsi="Times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0CFAD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C077A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DF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78ED1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Tail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EA3F2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P-Val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44159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CI 95%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BC348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Cohen-D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F73B9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BF10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786DB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Power</w:t>
            </w:r>
          </w:p>
        </w:tc>
      </w:tr>
      <w:tr w:rsidR="00A9317A" w14:paraId="3EA8A7C4" w14:textId="77777777" w:rsidTr="00A9317A">
        <w:trPr>
          <w:gridAfter w:val="1"/>
          <w:wAfter w:w="6" w:type="dxa"/>
          <w:trHeight w:val="340"/>
        </w:trPr>
        <w:tc>
          <w:tcPr>
            <w:tcW w:w="1096" w:type="dxa"/>
            <w:tcBorders>
              <w:top w:val="single" w:sz="4" w:space="0" w:color="auto"/>
            </w:tcBorders>
          </w:tcPr>
          <w:p w14:paraId="5A3756C8" w14:textId="77777777" w:rsidR="00A9317A" w:rsidRPr="006137EA" w:rsidRDefault="00A9317A" w:rsidP="00A9317A">
            <w:pPr>
              <w:rPr>
                <w:rFonts w:ascii="Times" w:hAnsi="Times"/>
              </w:rPr>
            </w:pPr>
            <w:r w:rsidRPr="006137EA">
              <w:rPr>
                <w:rFonts w:ascii="Times" w:hAnsi="Times"/>
              </w:rPr>
              <w:t>T-Test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180920FB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-1.21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31430D5C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198239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74644388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Two-sided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457FB2B0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0.227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4EF6F48F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[-0, 0]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7310FDFE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0.00543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6DECF6A0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0.011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vAlign w:val="center"/>
          </w:tcPr>
          <w:p w14:paraId="36BE53FB" w14:textId="77777777" w:rsidR="00A9317A" w:rsidRPr="006137EA" w:rsidRDefault="00A9317A" w:rsidP="00A931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0.227</w:t>
            </w:r>
          </w:p>
        </w:tc>
      </w:tr>
    </w:tbl>
    <w:p w14:paraId="51B00D46" w14:textId="697C9005" w:rsidR="00E17FA9" w:rsidRPr="00752094" w:rsidRDefault="00E17FA9" w:rsidP="00A06ABC">
      <w:pPr>
        <w:spacing w:line="480" w:lineRule="auto"/>
        <w:rPr>
          <w:rFonts w:ascii="Times" w:hAnsi="Times"/>
        </w:rPr>
      </w:pPr>
      <w:r w:rsidRPr="00752094">
        <w:rPr>
          <w:rFonts w:ascii="Times" w:hAnsi="Times"/>
          <w:b/>
          <w:bCs/>
        </w:rPr>
        <w:t>Figure S</w:t>
      </w:r>
      <w:r w:rsidR="005902AF" w:rsidRPr="00752094">
        <w:rPr>
          <w:rFonts w:ascii="Times" w:hAnsi="Times"/>
          <w:b/>
          <w:bCs/>
        </w:rPr>
        <w:t>6</w:t>
      </w:r>
      <w:r w:rsidRPr="00752094">
        <w:rPr>
          <w:rFonts w:ascii="Times" w:hAnsi="Times"/>
        </w:rPr>
        <w:t>.</w:t>
      </w:r>
      <w:r w:rsidR="00220467" w:rsidRPr="00752094">
        <w:rPr>
          <w:rFonts w:ascii="Times" w:hAnsi="Times"/>
        </w:rPr>
        <w:t xml:space="preserve"> </w:t>
      </w:r>
      <w:r w:rsidR="0085633C" w:rsidRPr="00752094">
        <w:rPr>
          <w:rFonts w:ascii="Times" w:hAnsi="Times"/>
        </w:rPr>
        <w:t>QQ plot for LMM of tannin trait.</w:t>
      </w:r>
    </w:p>
    <w:p w14:paraId="5EF801EA" w14:textId="5A5DEBFC" w:rsidR="007542B2" w:rsidRPr="00752094" w:rsidRDefault="007542B2" w:rsidP="00A06ABC">
      <w:pPr>
        <w:spacing w:line="480" w:lineRule="auto"/>
        <w:rPr>
          <w:rFonts w:ascii="Times" w:hAnsi="Times"/>
        </w:rPr>
      </w:pPr>
      <w:r w:rsidRPr="00594B17">
        <w:rPr>
          <w:rFonts w:ascii="Times" w:hAnsi="Times"/>
          <w:noProof/>
        </w:rPr>
        <w:lastRenderedPageBreak/>
        <w:drawing>
          <wp:inline distT="0" distB="0" distL="0" distR="0" wp14:anchorId="5DFA95C6" wp14:editId="3EC9FD5A">
            <wp:extent cx="4838700" cy="3390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BEE" w14:textId="5B8557DD" w:rsidR="00010BBA" w:rsidRPr="00752094" w:rsidRDefault="007542B2" w:rsidP="00594B17">
      <w:pPr>
        <w:spacing w:line="480" w:lineRule="auto"/>
        <w:rPr>
          <w:rFonts w:ascii="Times" w:hAnsi="Times"/>
        </w:rPr>
      </w:pPr>
      <w:r w:rsidRPr="00594B17">
        <w:rPr>
          <w:rFonts w:ascii="Times" w:hAnsi="Times"/>
          <w:b/>
          <w:bCs/>
        </w:rPr>
        <w:t>Figure S7</w:t>
      </w:r>
      <w:r w:rsidRPr="00752094">
        <w:rPr>
          <w:rFonts w:ascii="Times" w:hAnsi="Times"/>
        </w:rPr>
        <w:t xml:space="preserve">. </w:t>
      </w:r>
      <w:r w:rsidR="002662AD" w:rsidRPr="00752094">
        <w:rPr>
          <w:rFonts w:ascii="Times" w:hAnsi="Times"/>
        </w:rPr>
        <w:t>D</w:t>
      </w:r>
      <w:r w:rsidR="00A82678" w:rsidRPr="00752094">
        <w:rPr>
          <w:rFonts w:ascii="Times" w:hAnsi="Times"/>
        </w:rPr>
        <w:t>istribution</w:t>
      </w:r>
      <w:r w:rsidR="002662AD" w:rsidRPr="00752094">
        <w:rPr>
          <w:rFonts w:ascii="Times" w:hAnsi="Times"/>
        </w:rPr>
        <w:t xml:space="preserve"> and density</w:t>
      </w:r>
      <w:r w:rsidR="00A82678" w:rsidRPr="00752094">
        <w:rPr>
          <w:rFonts w:ascii="Times" w:hAnsi="Times"/>
        </w:rPr>
        <w:t xml:space="preserve"> of accessions that have </w:t>
      </w:r>
      <w:r w:rsidR="00C83740" w:rsidRPr="00752094">
        <w:rPr>
          <w:rFonts w:ascii="Times" w:hAnsi="Times"/>
        </w:rPr>
        <w:t xml:space="preserve">both favorable alleles </w:t>
      </w:r>
      <w:r w:rsidR="00A82678" w:rsidRPr="00752094">
        <w:rPr>
          <w:rFonts w:ascii="Times" w:hAnsi="Times"/>
        </w:rPr>
        <w:t xml:space="preserve">at </w:t>
      </w:r>
      <w:r w:rsidR="00091513" w:rsidRPr="00752094">
        <w:rPr>
          <w:rFonts w:ascii="Times" w:hAnsi="Times"/>
        </w:rPr>
        <w:t>SNPs S2_8924006 and S10_56476103 (C/C + T/T)</w:t>
      </w:r>
      <w:r w:rsidR="0035331D" w:rsidRPr="00752094">
        <w:rPr>
          <w:rFonts w:ascii="Times" w:hAnsi="Times"/>
        </w:rPr>
        <w:t>,</w:t>
      </w:r>
      <w:r w:rsidR="00091513" w:rsidRPr="00752094">
        <w:rPr>
          <w:rFonts w:ascii="Times" w:hAnsi="Times"/>
        </w:rPr>
        <w:t xml:space="preserve"> only S2_8934006 (C/C + G/G)</w:t>
      </w:r>
      <w:r w:rsidR="0035331D" w:rsidRPr="00752094">
        <w:rPr>
          <w:rFonts w:ascii="Times" w:hAnsi="Times"/>
        </w:rPr>
        <w:t>,</w:t>
      </w:r>
      <w:r w:rsidR="003353AB" w:rsidRPr="00752094">
        <w:rPr>
          <w:rFonts w:ascii="Times" w:hAnsi="Times"/>
        </w:rPr>
        <w:t xml:space="preserve"> </w:t>
      </w:r>
      <w:r w:rsidR="006B7667" w:rsidRPr="00752094">
        <w:rPr>
          <w:rFonts w:ascii="Times" w:hAnsi="Times"/>
        </w:rPr>
        <w:t xml:space="preserve"> only S10_56476103 (T/T + T/T)</w:t>
      </w:r>
      <w:r w:rsidR="0035331D" w:rsidRPr="00752094">
        <w:rPr>
          <w:rFonts w:ascii="Times" w:hAnsi="Times"/>
        </w:rPr>
        <w:t xml:space="preserve">, </w:t>
      </w:r>
      <w:r w:rsidR="006B7667" w:rsidRPr="00752094">
        <w:rPr>
          <w:rFonts w:ascii="Times" w:hAnsi="Times"/>
        </w:rPr>
        <w:t xml:space="preserve"> </w:t>
      </w:r>
      <w:r w:rsidR="0035331D" w:rsidRPr="00752094">
        <w:rPr>
          <w:rFonts w:ascii="Times" w:hAnsi="Times"/>
        </w:rPr>
        <w:t xml:space="preserve">and </w:t>
      </w:r>
      <w:r w:rsidR="006B7667" w:rsidRPr="00752094">
        <w:rPr>
          <w:rFonts w:ascii="Times" w:hAnsi="Times"/>
        </w:rPr>
        <w:t>neither favorable allele (T/T + G/G), across inhibition zone (mm)</w:t>
      </w:r>
      <w:r w:rsidR="0035331D" w:rsidRPr="00752094">
        <w:rPr>
          <w:rFonts w:ascii="Times" w:hAnsi="Times"/>
        </w:rPr>
        <w:t>. Triangles represent the mean inhibition zone</w:t>
      </w:r>
      <w:r w:rsidR="002662AD" w:rsidRPr="00752094">
        <w:rPr>
          <w:rFonts w:ascii="Times" w:hAnsi="Times"/>
        </w:rPr>
        <w:t>s for each genotype.</w:t>
      </w:r>
    </w:p>
    <w:p w14:paraId="498B05AB" w14:textId="77777777" w:rsidR="00010BBA" w:rsidRPr="00752094" w:rsidRDefault="00010BBA" w:rsidP="00A06ABC">
      <w:pPr>
        <w:spacing w:line="480" w:lineRule="auto"/>
        <w:rPr>
          <w:rFonts w:ascii="Times" w:hAnsi="Times"/>
        </w:rPr>
      </w:pPr>
    </w:p>
    <w:p w14:paraId="7EC6F2FB" w14:textId="77777777" w:rsidR="008F7CC2" w:rsidRPr="00752094" w:rsidRDefault="008F7CC2">
      <w:pPr>
        <w:rPr>
          <w:rFonts w:ascii="Times" w:hAnsi="Times" w:cs="Calibri"/>
          <w:b/>
          <w:bCs/>
          <w:color w:val="000000"/>
        </w:rPr>
      </w:pPr>
    </w:p>
    <w:p w14:paraId="4FDA7E44" w14:textId="77777777" w:rsidR="006D0B60" w:rsidRPr="00752094" w:rsidRDefault="006D0B60" w:rsidP="006D0B60">
      <w:pPr>
        <w:rPr>
          <w:rFonts w:ascii="Times" w:hAnsi="Times" w:cs="Calibri"/>
          <w:b/>
          <w:bCs/>
          <w:color w:val="000000"/>
        </w:rPr>
      </w:pPr>
    </w:p>
    <w:p w14:paraId="74B0CD24" w14:textId="18293FA5" w:rsidR="00070EDF" w:rsidRPr="00EE68FC" w:rsidRDefault="00070EDF">
      <w:pPr>
        <w:rPr>
          <w:rFonts w:ascii="Times" w:hAnsi="Times"/>
        </w:rPr>
      </w:pPr>
    </w:p>
    <w:sectPr w:rsidR="00070EDF" w:rsidRPr="00EE68FC" w:rsidSect="003D3E0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890D5" w14:textId="77777777" w:rsidR="00B81940" w:rsidRDefault="00B81940" w:rsidP="00F107FF">
      <w:r>
        <w:separator/>
      </w:r>
    </w:p>
  </w:endnote>
  <w:endnote w:type="continuationSeparator" w:id="0">
    <w:p w14:paraId="7FB147E6" w14:textId="77777777" w:rsidR="00B81940" w:rsidRDefault="00B81940" w:rsidP="00F1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66974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934BC" w14:textId="3138FB83" w:rsidR="00B92C07" w:rsidRDefault="00B92C07" w:rsidP="00640F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1FB0F" w14:textId="77777777" w:rsidR="00B92C07" w:rsidRDefault="00B92C07" w:rsidP="00F107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843789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A3787B" w14:textId="55BE5453" w:rsidR="00B92C07" w:rsidRDefault="00B92C07" w:rsidP="00640F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170EE7" w14:textId="77777777" w:rsidR="00B92C07" w:rsidRDefault="00B92C07" w:rsidP="00F107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A8F7A" w14:textId="77777777" w:rsidR="00B81940" w:rsidRDefault="00B81940" w:rsidP="00F107FF">
      <w:r>
        <w:separator/>
      </w:r>
    </w:p>
  </w:footnote>
  <w:footnote w:type="continuationSeparator" w:id="0">
    <w:p w14:paraId="0BB580CF" w14:textId="77777777" w:rsidR="00B81940" w:rsidRDefault="00B81940" w:rsidP="00F10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F1"/>
    <w:rsid w:val="00010BBA"/>
    <w:rsid w:val="00017BFD"/>
    <w:rsid w:val="000234A9"/>
    <w:rsid w:val="00031BC4"/>
    <w:rsid w:val="0004229E"/>
    <w:rsid w:val="0005163C"/>
    <w:rsid w:val="00052DE1"/>
    <w:rsid w:val="00053BDE"/>
    <w:rsid w:val="00056ED6"/>
    <w:rsid w:val="00060875"/>
    <w:rsid w:val="00070EDF"/>
    <w:rsid w:val="00085CA7"/>
    <w:rsid w:val="00091513"/>
    <w:rsid w:val="00095DB9"/>
    <w:rsid w:val="000B36FE"/>
    <w:rsid w:val="000D0607"/>
    <w:rsid w:val="000D1FE6"/>
    <w:rsid w:val="000D2D93"/>
    <w:rsid w:val="000D55B0"/>
    <w:rsid w:val="000E5417"/>
    <w:rsid w:val="000E6DF8"/>
    <w:rsid w:val="000F12D6"/>
    <w:rsid w:val="00101B70"/>
    <w:rsid w:val="00125BDE"/>
    <w:rsid w:val="00133E4E"/>
    <w:rsid w:val="00150126"/>
    <w:rsid w:val="0015182E"/>
    <w:rsid w:val="00156B53"/>
    <w:rsid w:val="00193542"/>
    <w:rsid w:val="001C2267"/>
    <w:rsid w:val="001D0C0D"/>
    <w:rsid w:val="001D0FBB"/>
    <w:rsid w:val="001D2FB4"/>
    <w:rsid w:val="001E4380"/>
    <w:rsid w:val="001E68D8"/>
    <w:rsid w:val="001E6EBD"/>
    <w:rsid w:val="001E6EC1"/>
    <w:rsid w:val="0020190D"/>
    <w:rsid w:val="00203DDC"/>
    <w:rsid w:val="0020542D"/>
    <w:rsid w:val="0021390A"/>
    <w:rsid w:val="0021629A"/>
    <w:rsid w:val="00220467"/>
    <w:rsid w:val="00221E6C"/>
    <w:rsid w:val="002265B8"/>
    <w:rsid w:val="00232BD6"/>
    <w:rsid w:val="00246AF6"/>
    <w:rsid w:val="002517E4"/>
    <w:rsid w:val="00253EED"/>
    <w:rsid w:val="002662AD"/>
    <w:rsid w:val="00287D26"/>
    <w:rsid w:val="0029042B"/>
    <w:rsid w:val="0029159D"/>
    <w:rsid w:val="00292ADC"/>
    <w:rsid w:val="00296B1C"/>
    <w:rsid w:val="002A26B2"/>
    <w:rsid w:val="002A62B7"/>
    <w:rsid w:val="002B24E1"/>
    <w:rsid w:val="002C1DDB"/>
    <w:rsid w:val="002C5332"/>
    <w:rsid w:val="002D266A"/>
    <w:rsid w:val="002D2C2E"/>
    <w:rsid w:val="002D3CAA"/>
    <w:rsid w:val="002E2FF1"/>
    <w:rsid w:val="00301092"/>
    <w:rsid w:val="00304781"/>
    <w:rsid w:val="00304A14"/>
    <w:rsid w:val="0032399A"/>
    <w:rsid w:val="00332D25"/>
    <w:rsid w:val="003353AB"/>
    <w:rsid w:val="003405F8"/>
    <w:rsid w:val="0034123E"/>
    <w:rsid w:val="0034289A"/>
    <w:rsid w:val="00346E5E"/>
    <w:rsid w:val="00350333"/>
    <w:rsid w:val="0035331D"/>
    <w:rsid w:val="0035608C"/>
    <w:rsid w:val="003568DC"/>
    <w:rsid w:val="00373AB0"/>
    <w:rsid w:val="00381FE1"/>
    <w:rsid w:val="00383BD7"/>
    <w:rsid w:val="003842C4"/>
    <w:rsid w:val="00394B62"/>
    <w:rsid w:val="003A6BAF"/>
    <w:rsid w:val="003B1CBE"/>
    <w:rsid w:val="003B4516"/>
    <w:rsid w:val="003B6F1B"/>
    <w:rsid w:val="003C62CA"/>
    <w:rsid w:val="003C798F"/>
    <w:rsid w:val="003D3E02"/>
    <w:rsid w:val="003E7257"/>
    <w:rsid w:val="00420D82"/>
    <w:rsid w:val="0043024C"/>
    <w:rsid w:val="004444A6"/>
    <w:rsid w:val="00450AC7"/>
    <w:rsid w:val="00461F14"/>
    <w:rsid w:val="004673BE"/>
    <w:rsid w:val="00476182"/>
    <w:rsid w:val="0047621D"/>
    <w:rsid w:val="00495B38"/>
    <w:rsid w:val="0049678C"/>
    <w:rsid w:val="004B55CA"/>
    <w:rsid w:val="004D4766"/>
    <w:rsid w:val="004E0776"/>
    <w:rsid w:val="004E1A1D"/>
    <w:rsid w:val="00523F24"/>
    <w:rsid w:val="00526BF6"/>
    <w:rsid w:val="00527EFD"/>
    <w:rsid w:val="00541A40"/>
    <w:rsid w:val="00551439"/>
    <w:rsid w:val="005521D6"/>
    <w:rsid w:val="00565595"/>
    <w:rsid w:val="005675AC"/>
    <w:rsid w:val="00571711"/>
    <w:rsid w:val="005727AA"/>
    <w:rsid w:val="0057647A"/>
    <w:rsid w:val="00576E3A"/>
    <w:rsid w:val="005902AF"/>
    <w:rsid w:val="00593687"/>
    <w:rsid w:val="00594B17"/>
    <w:rsid w:val="005A62F9"/>
    <w:rsid w:val="005D0AAB"/>
    <w:rsid w:val="005E2A03"/>
    <w:rsid w:val="0060380A"/>
    <w:rsid w:val="00621713"/>
    <w:rsid w:val="00626DFD"/>
    <w:rsid w:val="00636F66"/>
    <w:rsid w:val="00640FE2"/>
    <w:rsid w:val="00654713"/>
    <w:rsid w:val="00656654"/>
    <w:rsid w:val="0066494D"/>
    <w:rsid w:val="00676556"/>
    <w:rsid w:val="00697E07"/>
    <w:rsid w:val="006A2D4A"/>
    <w:rsid w:val="006A6369"/>
    <w:rsid w:val="006B7667"/>
    <w:rsid w:val="006C06AF"/>
    <w:rsid w:val="006C7D97"/>
    <w:rsid w:val="006D0B60"/>
    <w:rsid w:val="006E2DE0"/>
    <w:rsid w:val="006E3453"/>
    <w:rsid w:val="006F292B"/>
    <w:rsid w:val="00711181"/>
    <w:rsid w:val="007237CB"/>
    <w:rsid w:val="00740363"/>
    <w:rsid w:val="00746AE5"/>
    <w:rsid w:val="00752094"/>
    <w:rsid w:val="007542B2"/>
    <w:rsid w:val="00764616"/>
    <w:rsid w:val="007769E2"/>
    <w:rsid w:val="007F55FE"/>
    <w:rsid w:val="007F67B6"/>
    <w:rsid w:val="008078A5"/>
    <w:rsid w:val="0081087A"/>
    <w:rsid w:val="008112D7"/>
    <w:rsid w:val="008206E9"/>
    <w:rsid w:val="00821CC3"/>
    <w:rsid w:val="00823654"/>
    <w:rsid w:val="00824396"/>
    <w:rsid w:val="00826AF6"/>
    <w:rsid w:val="0085633C"/>
    <w:rsid w:val="00862881"/>
    <w:rsid w:val="0087493F"/>
    <w:rsid w:val="00894BA9"/>
    <w:rsid w:val="0089552F"/>
    <w:rsid w:val="008B4CA2"/>
    <w:rsid w:val="008B583C"/>
    <w:rsid w:val="008C3BE0"/>
    <w:rsid w:val="008C6FDB"/>
    <w:rsid w:val="008E5F17"/>
    <w:rsid w:val="008F7CC2"/>
    <w:rsid w:val="00930E19"/>
    <w:rsid w:val="00934289"/>
    <w:rsid w:val="009350CB"/>
    <w:rsid w:val="009361F6"/>
    <w:rsid w:val="009365BB"/>
    <w:rsid w:val="00982118"/>
    <w:rsid w:val="009A0522"/>
    <w:rsid w:val="009B3E0D"/>
    <w:rsid w:val="009C6623"/>
    <w:rsid w:val="009E056A"/>
    <w:rsid w:val="009E0B15"/>
    <w:rsid w:val="00A04AF8"/>
    <w:rsid w:val="00A0675D"/>
    <w:rsid w:val="00A06ABC"/>
    <w:rsid w:val="00A22EC1"/>
    <w:rsid w:val="00A63CB0"/>
    <w:rsid w:val="00A71D89"/>
    <w:rsid w:val="00A82678"/>
    <w:rsid w:val="00A91498"/>
    <w:rsid w:val="00A9239B"/>
    <w:rsid w:val="00A9317A"/>
    <w:rsid w:val="00AB04BF"/>
    <w:rsid w:val="00AC14AB"/>
    <w:rsid w:val="00AC466F"/>
    <w:rsid w:val="00AD6F6D"/>
    <w:rsid w:val="00AF5DB9"/>
    <w:rsid w:val="00B1447C"/>
    <w:rsid w:val="00B26CEA"/>
    <w:rsid w:val="00B31DE3"/>
    <w:rsid w:val="00B42F53"/>
    <w:rsid w:val="00B5169C"/>
    <w:rsid w:val="00B542D4"/>
    <w:rsid w:val="00B6533D"/>
    <w:rsid w:val="00B81940"/>
    <w:rsid w:val="00B827A1"/>
    <w:rsid w:val="00B92C07"/>
    <w:rsid w:val="00B94F8C"/>
    <w:rsid w:val="00BB5594"/>
    <w:rsid w:val="00BC63FB"/>
    <w:rsid w:val="00BD00C3"/>
    <w:rsid w:val="00C00F19"/>
    <w:rsid w:val="00C07F55"/>
    <w:rsid w:val="00C25AA5"/>
    <w:rsid w:val="00C26E79"/>
    <w:rsid w:val="00C4664A"/>
    <w:rsid w:val="00C564AC"/>
    <w:rsid w:val="00C626DD"/>
    <w:rsid w:val="00C82A16"/>
    <w:rsid w:val="00C83740"/>
    <w:rsid w:val="00C92053"/>
    <w:rsid w:val="00C932B4"/>
    <w:rsid w:val="00CA2B4A"/>
    <w:rsid w:val="00CB5682"/>
    <w:rsid w:val="00CD3EE2"/>
    <w:rsid w:val="00D07F8F"/>
    <w:rsid w:val="00D13F34"/>
    <w:rsid w:val="00D15919"/>
    <w:rsid w:val="00D303E3"/>
    <w:rsid w:val="00D33593"/>
    <w:rsid w:val="00D46B0F"/>
    <w:rsid w:val="00D5253E"/>
    <w:rsid w:val="00D635DF"/>
    <w:rsid w:val="00D8613D"/>
    <w:rsid w:val="00DA33D8"/>
    <w:rsid w:val="00DD6874"/>
    <w:rsid w:val="00DD7BA6"/>
    <w:rsid w:val="00DE0FDD"/>
    <w:rsid w:val="00DF1D07"/>
    <w:rsid w:val="00E003A0"/>
    <w:rsid w:val="00E17FA9"/>
    <w:rsid w:val="00E257F1"/>
    <w:rsid w:val="00E33A20"/>
    <w:rsid w:val="00E47CFF"/>
    <w:rsid w:val="00E55C0D"/>
    <w:rsid w:val="00E56059"/>
    <w:rsid w:val="00E70B22"/>
    <w:rsid w:val="00E7185A"/>
    <w:rsid w:val="00E75AEF"/>
    <w:rsid w:val="00E81CE5"/>
    <w:rsid w:val="00E948AF"/>
    <w:rsid w:val="00EA229B"/>
    <w:rsid w:val="00EA55CB"/>
    <w:rsid w:val="00EE68FC"/>
    <w:rsid w:val="00EF172A"/>
    <w:rsid w:val="00EF6CEA"/>
    <w:rsid w:val="00F051D2"/>
    <w:rsid w:val="00F07C2D"/>
    <w:rsid w:val="00F107FF"/>
    <w:rsid w:val="00F2173F"/>
    <w:rsid w:val="00F50E65"/>
    <w:rsid w:val="00F56986"/>
    <w:rsid w:val="00F76EB9"/>
    <w:rsid w:val="00F97384"/>
    <w:rsid w:val="00FA1761"/>
    <w:rsid w:val="00FC25DB"/>
    <w:rsid w:val="00F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C8F6"/>
  <w15:chartTrackingRefBased/>
  <w15:docId w15:val="{1547395C-C1C0-7147-91AE-C8C64BF6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F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C0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C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0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0D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46E5E"/>
  </w:style>
  <w:style w:type="paragraph" w:styleId="Footer">
    <w:name w:val="footer"/>
    <w:basedOn w:val="Normal"/>
    <w:link w:val="FooterChar"/>
    <w:uiPriority w:val="99"/>
    <w:unhideWhenUsed/>
    <w:rsid w:val="00F107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107FF"/>
  </w:style>
  <w:style w:type="character" w:styleId="PageNumber">
    <w:name w:val="page number"/>
    <w:basedOn w:val="DefaultParagraphFont"/>
    <w:uiPriority w:val="99"/>
    <w:semiHidden/>
    <w:unhideWhenUsed/>
    <w:rsid w:val="00F107FF"/>
  </w:style>
  <w:style w:type="paragraph" w:styleId="NoSpacing">
    <w:name w:val="No Spacing"/>
    <w:link w:val="NoSpacingChar"/>
    <w:uiPriority w:val="1"/>
    <w:qFormat/>
    <w:rsid w:val="003D3E0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D3E02"/>
    <w:rPr>
      <w:rFonts w:eastAsiaTheme="minorEastAsia"/>
      <w:sz w:val="22"/>
      <w:szCs w:val="22"/>
      <w:lang w:eastAsia="zh-CN"/>
    </w:rPr>
  </w:style>
  <w:style w:type="paragraph" w:styleId="Revision">
    <w:name w:val="Revision"/>
    <w:hidden/>
    <w:uiPriority w:val="99"/>
    <w:semiHidden/>
    <w:rsid w:val="00350333"/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5764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SUPPLEMENTARY FIGURES AND TABLES</dc:subject>
  <dc:creator>Lindsay K Shields</dc:creator>
  <cp:keywords/>
  <dc:description/>
  <cp:lastModifiedBy>Lindsay K Shields</cp:lastModifiedBy>
  <cp:revision>2</cp:revision>
  <dcterms:created xsi:type="dcterms:W3CDTF">2020-09-10T14:23:00Z</dcterms:created>
  <dcterms:modified xsi:type="dcterms:W3CDTF">2020-09-10T14:23:00Z</dcterms:modified>
</cp:coreProperties>
</file>