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spacing w:after="160" w:before="320"/>
      </w:pPr>
      <w:r>
        <w:t xml:space="preserve">Option 1: Full Lecture Abstract (Detailed)</w:t>
      </w:r>
    </w:p>
    <w:p>
      <w:pPr>
        <w:spacing w:after="160"/>
      </w:pPr>
      <w:r>
        <w:rPr>
          <w:b/>
          <w:bCs/>
        </w:rPr>
        <w:t xml:space="preserve">Title: </w:t>
      </w:r>
      <w:r>
        <w:t xml:space="preserve">Multimodal Artificial Intelligence – One Model That Looks, Listens and Reads</w:t>
      </w:r>
    </w:p>
    <w:p>
      <w:pPr>
        <w:spacing w:after="160"/>
      </w:pPr>
      <w:r>
        <w:rPr>
          <w:b/>
          <w:bCs/>
        </w:rPr>
        <w:t xml:space="preserve">Abstract:</w:t>
      </w:r>
    </w:p>
    <w:p>
      <w:pPr>
        <w:spacing w:after="160"/>
      </w:pPr>
      <w:r>
        <w:t xml:space="preserve">Multimodal AI enables a single system to jointly process, align and reason across two or more modalities — text, images, audio, video and structured data — and to produce one grounded output. This 90-minute session, part of the AICTE ATAL Academy Online FDP on Emerging Trends in Artificial Intelligence and Data Science: Bridging Fundamentals, Innovation, and Research, is built around one running example: a photograph, a drone clip, a voice note and six months of sensor readings that together must answer whether a cracked pipeline weld is safe to run through the monsoon. The session equips educators, researchers and practitioners with the foundational knowledge, architectural insight and practical strategies needed to understand, build, evaluate and secure funding for multimodal systems. The focus throughout is on understanding across modalities and the decisions that follow from it; generation from prompts belongs to the companion session on NLP and generative AI.</w:t>
      </w:r>
    </w:p>
    <w:p>
      <w:pPr>
        <w:spacing w:after="160"/>
      </w:pPr>
      <w:r>
        <w:t xml:space="preserve">The lecture begins by demystifying the three ideas that let one model handle diverse data types at once: embeddings that place an image, a sentence and a sound in the same representational space; contrastive training on hundreds of millions of image–caption pairs; and a transformer that does not care what its tokens represent. It then sets out the trade-offs between early, late and cross-attention fusion. Participants test their judgement in a live fusion round — three campus and regional scenarios, from hostel attendance to crop advisory from a leaf photo and a farmer’s regional-language voice note — before seeing the single rule that decides all three.</w:t>
      </w:r>
    </w:p>
    <w:p>
      <w:pPr>
        <w:spacing w:after="160"/>
      </w:pPr>
      <w:r>
        <w:t xml:space="preserve">Attendees then explore the most significant shifts of the past year — document intelligence, chart reasoning, speech-native and small on-device models, and agentic loops that look, act and verify — alongside an honest account of what still breaks: fine spatial detail, dense handwriting, confidently wrong answers, long video, cost and evaluation itself. Each failure case is mapped to an open research problem and to the metric that would measure progress on it. The architecture section traces the five stages of a production multimodal system — ingest, encode, reason, structure, verify — with evaluation, cost and latency, data governance and fallback treated as cross-cutting concerns. It runs the pipeline-weld example through all five stages end to end, and compares the three places the model can run: a hosted API, a self-hosted open model, or an on-device edge model.</w:t>
      </w:r>
    </w:p>
    <w:p>
      <w:pPr>
        <w:spacing w:after="160"/>
      </w:pPr>
      <w:r>
        <w:t xml:space="preserve">A significant portion of the lecture is dedicated to actionable outcomes for the research and academic community, grounded in current, sourced figures on the IndiaAI Mission and ANRF. Attendees will learn how to:</w:t>
      </w:r>
    </w:p>
    <w:p>
      <w:pPr>
        <w:pStyle w:val="ListParagraph"/>
        <w:numPr>
          <w:ilvl w:val="0"/>
          <w:numId w:val="2"/>
        </w:numPr>
        <w:spacing w:after="80"/>
      </w:pPr>
      <w:r>
        <w:t xml:space="preserve">Frame a narrow, fundable research problem and state how it will be measured.</w:t>
      </w:r>
    </w:p>
    <w:p>
      <w:pPr>
        <w:pStyle w:val="ListParagraph"/>
        <w:numPr>
          <w:ilvl w:val="0"/>
          <w:numId w:val="2"/>
        </w:numPr>
        <w:spacing w:after="80"/>
      </w:pPr>
      <w:r>
        <w:t xml:space="preserve">Choose appropriate evaluation metrics across task quality, cross-modal quality, trust and engineering cost.</w:t>
      </w:r>
    </w:p>
    <w:p>
      <w:pPr>
        <w:pStyle w:val="ListParagraph"/>
        <w:numPr>
          <w:ilvl w:val="0"/>
          <w:numId w:val="2"/>
        </w:numPr>
        <w:spacing w:after="80"/>
      </w:pPr>
      <w:r>
        <w:t xml:space="preserve">Identify under-used funding and compute routes, including the ANRF Advanced Research Grant and the IndiaAI Mission’s subsidised GPU compute, for which academic institutions are explicitly eligible.</w:t>
      </w:r>
    </w:p>
    <w:p>
      <w:pPr>
        <w:pStyle w:val="ListParagraph"/>
        <w:numPr>
          <w:ilvl w:val="0"/>
          <w:numId w:val="2"/>
        </w:numPr>
        <w:spacing w:after="80"/>
      </w:pPr>
      <w:r>
        <w:t xml:space="preserve">Turn a single lecture into a funded research project using their own campus data and student cohorts.</w:t>
      </w:r>
    </w:p>
    <w:p>
      <w:pPr>
        <w:spacing w:after="160" w:before="160"/>
      </w:pPr>
      <w:r>
        <w:rPr>
          <w:b/>
          <w:bCs/>
        </w:rPr>
        <w:t xml:space="preserve">Learning Outcomes: </w:t>
      </w:r>
      <w:r>
        <w:t xml:space="preserve">By the end of this session, participants will be able to:</w:t>
      </w:r>
    </w:p>
    <w:p>
      <w:pPr>
        <w:pStyle w:val="ListParagraph"/>
        <w:numPr>
          <w:ilvl w:val="0"/>
          <w:numId w:val="2"/>
        </w:numPr>
        <w:spacing w:after="80"/>
      </w:pPr>
      <w:r>
        <w:rPr>
          <w:b/>
          <w:bCs/>
        </w:rPr>
        <w:t xml:space="preserve">Explain</w:t>
      </w:r>
      <w:r>
        <w:t xml:space="preserve"> the core concepts of shared representational space without relying on complex equations.</w:t>
      </w:r>
    </w:p>
    <w:p>
      <w:pPr>
        <w:pStyle w:val="ListParagraph"/>
        <w:numPr>
          <w:ilvl w:val="0"/>
          <w:numId w:val="2"/>
        </w:numPr>
        <w:spacing w:after="80"/>
      </w:pPr>
      <w:r>
        <w:rPr>
          <w:b/>
          <w:bCs/>
        </w:rPr>
        <w:t xml:space="preserve">Choose</w:t>
      </w:r>
      <w:r>
        <w:t xml:space="preserve"> an appropriate modality fusion strategy (early, late or cross-attention) for their own projects, and defend the choice.</w:t>
      </w:r>
    </w:p>
    <w:p>
      <w:pPr>
        <w:pStyle w:val="ListParagraph"/>
        <w:numPr>
          <w:ilvl w:val="0"/>
          <w:numId w:val="2"/>
        </w:numPr>
        <w:spacing w:after="80"/>
      </w:pPr>
      <w:r>
        <w:rPr>
          <w:b/>
          <w:bCs/>
        </w:rPr>
        <w:t xml:space="preserve">Draw</w:t>
      </w:r>
      <w:r>
        <w:t xml:space="preserve"> a complete, end-to-end architecture diagram for a domain-specific multimodal AI system.</w:t>
      </w:r>
    </w:p>
    <w:p>
      <w:pPr>
        <w:pStyle w:val="ListParagraph"/>
        <w:numPr>
          <w:ilvl w:val="0"/>
          <w:numId w:val="2"/>
        </w:numPr>
        <w:spacing w:after="80"/>
      </w:pPr>
      <w:r>
        <w:rPr>
          <w:b/>
          <w:bCs/>
        </w:rPr>
        <w:t xml:space="preserve">Frame</w:t>
      </w:r>
      <w:r>
        <w:t xml:space="preserve"> a specific, evaluable and fundable research proposal that names both an open problem and the metric used to judge it.</w:t>
      </w:r>
    </w:p>
    <w:p>
      <w:pPr>
        <w:spacing w:after="160" w:before="160"/>
      </w:pPr>
      <w:r>
        <w:t xml:space="preserve">The session is interactive throughout, with five short chat polls, and closes with a practical roadmap: three free routes to run a first multimodal system the same evening — in a browser, in a notebook, or offline on a laptop — and one specific Monday action for those who teach, research or guide student projects.</w:t>
      </w:r>
    </w:p>
    <w:p>
      <w:pPr>
        <w:pStyle w:val="Heading2"/>
        <w:spacing w:after="160" w:before="320"/>
      </w:pPr>
      <w:r>
        <w:t xml:space="preserve">Option 2: Concise Abstract (Shorter)</w:t>
      </w:r>
    </w:p>
    <w:p>
      <w:pPr>
        <w:spacing w:after="160"/>
      </w:pPr>
      <w:r>
        <w:rPr>
          <w:b/>
          <w:bCs/>
        </w:rPr>
        <w:t xml:space="preserve">Title: </w:t>
      </w:r>
      <w:r>
        <w:t xml:space="preserve">Multimodal Artificial Intelligence – One Model That Looks, Listens and Reads</w:t>
      </w:r>
    </w:p>
    <w:p>
      <w:pPr>
        <w:spacing w:after="160"/>
      </w:pPr>
      <w:r>
        <w:rPr>
          <w:b/>
          <w:bCs/>
        </w:rPr>
        <w:t xml:space="preserve">Abstract:</w:t>
      </w:r>
    </w:p>
    <w:p>
      <w:pPr>
        <w:spacing w:after="160"/>
      </w:pPr>
      <w:r>
        <w:t xml:space="preserve">Multimodal AI enables a single system to jointly process, align and reason across two or more modalities — text, images, audio, video and structured data — and to produce one grounded output. This 90-minute interactive session in the AICTE ATAL Academy FDP on Emerging Trends in AI and Data Science follows one running example from question to answer. Participants learn the three ideas behind unified, cross-modal models, practise choosing a fusion strategy in a live round, and see where the technology works today — from document intelligence to agentic systems — and where it still breaks, with each failure mapped to an open research problem and a way to measure it. Key focus areas include a five-stage reference architecture, the metrics that show whether a system is actually working, and practical routes to funding and subsidised compute through ANRF and the IndiaAI Mission. Attendees leave able to run a first multimodal system the same evening and to apply the material in the classroom, in a research lab, or in a funded project.</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2026-08-29T16:40:56.343Z</dcterms:created>
  <dcterms:modified xsi:type="dcterms:W3CDTF">2026-08-29T16:40:56.354Z</dcterms:modified>
</cp:coreProperties>
</file>

<file path=docProps/custom.xml><?xml version="1.0" encoding="utf-8"?>
<Properties xmlns="http://schemas.openxmlformats.org/officeDocument/2006/custom-properties" xmlns:vt="http://schemas.openxmlformats.org/officeDocument/2006/docPropsVTypes"/>
</file>