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320"/>
      </w:pPr>
      <w:r>
        <w:t xml:space="preserve">Option 1: Full Lecture Abstract (Detailed)</w:t>
      </w:r>
    </w:p>
    <w:p>
      <w:pPr>
        <w:spacing w:after="160"/>
      </w:pPr>
      <w:r>
        <w:rPr>
          <w:b/>
          <w:bCs/>
        </w:rPr>
        <w:t xml:space="preserve">Title: </w:t>
      </w:r>
      <w:r>
        <w:t xml:space="preserve">Emerging Trends in Artificial Intelligence and Data Science: Bridging Fundamentals, Innovation, and Research – In Focus: Multimodal AI</w:t>
      </w:r>
    </w:p>
    <w:p>
      <w:pPr>
        <w:spacing w:after="160"/>
      </w:pPr>
      <w:r>
        <w:rPr>
          <w:b/>
          <w:bCs/>
        </w:rPr>
        <w:t xml:space="preserve">Abstract:</w:t>
      </w:r>
    </w:p>
    <w:p>
      <w:pPr>
        <w:spacing w:after="160"/>
      </w:pPr>
      <w:r>
        <w:t xml:space="preserve">Multimodal AI enables a single system to jointly process, align and reason across two or more modalities — text, images, audio, video and structured data — and to produce one grounded output. This 90-minute lecture, designed for the AICTE ATAL Academy Online FDP, provides a comprehensive and practical deep dive into the field. Moving beyond theory, the session equips educators, researchers and practitioners with the foundational knowledge, architectural insight and actionable strategies needed to understand, build, evaluate and secure funding for multimodal systems. The focus throughout is on understanding across modalities and the decisions that follow from it; generation from prompts belongs to the companion NLP and generative AI session.</w:t>
      </w:r>
    </w:p>
    <w:p>
      <w:pPr>
        <w:spacing w:after="160"/>
      </w:pPr>
      <w:r>
        <w:t xml:space="preserve">The lecture begins by demystifying the core technical shifts that let one model handle diverse data types simultaneously. It explains the move from legacy, siloed pipelines to a unified shared representational space, breaking down contrastive training, tokenisation and the transformer architecture in an accessible way, and setting out the trade-offs between early, late and cross-attention fusion.</w:t>
      </w:r>
    </w:p>
    <w:p>
      <w:pPr>
        <w:spacing w:after="160"/>
      </w:pPr>
      <w:r>
        <w:t xml:space="preserve">Attendees will explore the most significant innovations of the past year, including document intelligence, chart reasoning and agentic loops, alongside an honest assessment of what still breaks: fine spatial detail, dense handwriting, confidently wrong answers, long video, cost and evaluation itself. Each of these failure cases is mapped to an open research problem and to the metric that would measure progress on it. The session then moves into practical architecture, tracing the five stages of a production multimodal system — ingest, encode, reason, structure, verify — with evaluation, cost and latency, governance and fallback treated as cross-cutting concerns, and covering deployment choices from hosted APIs to on-device edge models.</w:t>
      </w:r>
    </w:p>
    <w:p>
      <w:pPr>
        <w:spacing w:after="160"/>
      </w:pPr>
      <w:r>
        <w:t xml:space="preserve">A significant portion of the lecture is dedicated to actionable outcomes for the research and academic community. Attendees will learn how to:</w:t>
      </w:r>
    </w:p>
    <w:p>
      <w:pPr>
        <w:pStyle w:val="ListParagraph"/>
        <w:numPr>
          <w:ilvl w:val="0"/>
          <w:numId w:val="2"/>
        </w:numPr>
        <w:spacing w:after="80"/>
      </w:pPr>
      <w:r>
        <w:t xml:space="preserve">Frame a narrow, fundable research problem and state how it will be measured.</w:t>
      </w:r>
    </w:p>
    <w:p>
      <w:pPr>
        <w:pStyle w:val="ListParagraph"/>
        <w:numPr>
          <w:ilvl w:val="0"/>
          <w:numId w:val="2"/>
        </w:numPr>
        <w:spacing w:after="80"/>
      </w:pPr>
      <w:r>
        <w:t xml:space="preserve">Choose appropriate evaluation metrics across task quality, cross-modal quality, trust and engineering cost.</w:t>
      </w:r>
    </w:p>
    <w:p>
      <w:pPr>
        <w:pStyle w:val="ListParagraph"/>
        <w:numPr>
          <w:ilvl w:val="0"/>
          <w:numId w:val="2"/>
        </w:numPr>
        <w:spacing w:after="80"/>
      </w:pPr>
      <w:r>
        <w:t xml:space="preserve">Identify currently underutilised grant opportunities from initiatives such as the IndiaAI Mission and ANRF.</w:t>
      </w:r>
    </w:p>
    <w:p>
      <w:pPr>
        <w:pStyle w:val="ListParagraph"/>
        <w:numPr>
          <w:ilvl w:val="0"/>
          <w:numId w:val="2"/>
        </w:numPr>
        <w:spacing w:after="80"/>
      </w:pPr>
      <w:r>
        <w:t xml:space="preserve">Turn a single lecture into a funded research project using their own campus data and student cohorts.</w:t>
      </w:r>
    </w:p>
    <w:p>
      <w:pPr>
        <w:spacing w:after="160" w:before="160"/>
      </w:pPr>
      <w:r>
        <w:rPr>
          <w:b/>
          <w:bCs/>
        </w:rPr>
        <w:t xml:space="preserve">Learning Outcomes: </w:t>
      </w:r>
      <w:r>
        <w:t xml:space="preserve">By the end of this session, participants will be able to:</w:t>
      </w:r>
    </w:p>
    <w:p>
      <w:pPr>
        <w:pStyle w:val="ListParagraph"/>
        <w:numPr>
          <w:ilvl w:val="0"/>
          <w:numId w:val="2"/>
        </w:numPr>
        <w:spacing w:after="80"/>
      </w:pPr>
      <w:r>
        <w:rPr>
          <w:b/>
          <w:bCs/>
        </w:rPr>
        <w:t xml:space="preserve">Explain</w:t>
      </w:r>
      <w:r>
        <w:t xml:space="preserve"> the core concepts of shared representational space without relying on complex equations.</w:t>
      </w:r>
    </w:p>
    <w:p>
      <w:pPr>
        <w:pStyle w:val="ListParagraph"/>
        <w:numPr>
          <w:ilvl w:val="0"/>
          <w:numId w:val="2"/>
        </w:numPr>
        <w:spacing w:after="80"/>
      </w:pPr>
      <w:r>
        <w:rPr>
          <w:b/>
          <w:bCs/>
        </w:rPr>
        <w:t xml:space="preserve">Choose</w:t>
      </w:r>
      <w:r>
        <w:t xml:space="preserve"> an appropriate modality fusion strategy (early, late or cross-attention) for their own projects.</w:t>
      </w:r>
    </w:p>
    <w:p>
      <w:pPr>
        <w:pStyle w:val="ListParagraph"/>
        <w:numPr>
          <w:ilvl w:val="0"/>
          <w:numId w:val="2"/>
        </w:numPr>
        <w:spacing w:after="80"/>
      </w:pPr>
      <w:r>
        <w:rPr>
          <w:b/>
          <w:bCs/>
        </w:rPr>
        <w:t xml:space="preserve">Draw</w:t>
      </w:r>
      <w:r>
        <w:t xml:space="preserve"> a complete, end-to-end architecture diagram for a domain-specific multimodal AI system.</w:t>
      </w:r>
    </w:p>
    <w:p>
      <w:pPr>
        <w:pStyle w:val="ListParagraph"/>
        <w:numPr>
          <w:ilvl w:val="0"/>
          <w:numId w:val="2"/>
        </w:numPr>
        <w:spacing w:after="80"/>
      </w:pPr>
      <w:r>
        <w:rPr>
          <w:b/>
          <w:bCs/>
        </w:rPr>
        <w:t xml:space="preserve">Frame</w:t>
      </w:r>
      <w:r>
        <w:t xml:space="preserve"> a specific, evaluable and fundable research proposal that names both an open problem and the metric used to judge it.</w:t>
      </w:r>
    </w:p>
    <w:p>
      <w:pPr>
        <w:spacing w:after="160" w:before="160"/>
      </w:pPr>
      <w:r>
        <w:t xml:space="preserve">The lecture concludes with a practical roadmap for immediate application, guiding participants to run their first multimodal system within hours and to establish a longer-term research or teaching plan.</w:t>
      </w:r>
    </w:p>
    <w:p>
      <w:pPr>
        <w:pStyle w:val="Heading2"/>
        <w:spacing w:after="160" w:before="320"/>
      </w:pPr>
      <w:r>
        <w:t xml:space="preserve">Option 2: Concise Abstract (Shorter)</w:t>
      </w:r>
    </w:p>
    <w:p>
      <w:pPr>
        <w:spacing w:after="160"/>
      </w:pPr>
      <w:r>
        <w:rPr>
          <w:b/>
          <w:bCs/>
        </w:rPr>
        <w:t xml:space="preserve">Title: </w:t>
      </w:r>
      <w:r>
        <w:t xml:space="preserve">Emerging Trends in AI &amp; DS – In Focus: Multimodal AI</w:t>
      </w:r>
    </w:p>
    <w:p>
      <w:pPr>
        <w:spacing w:after="160"/>
      </w:pPr>
      <w:r>
        <w:rPr>
          <w:b/>
          <w:bCs/>
        </w:rPr>
        <w:t xml:space="preserve">Abstract:</w:t>
      </w:r>
    </w:p>
    <w:p>
      <w:pPr>
        <w:spacing w:after="160"/>
      </w:pPr>
      <w:r>
        <w:t xml:space="preserve">Multimodal AI enables a single system to jointly process, align and reason across two or more modalities — text, images, audio, video and structured data — and to produce one grounded output. This 90-minute session from the AICTE ATAL Academy FDP offers a holistic view of the field, bridging core fundamentals and current research. Participants will learn the principles behind unified, cross-modal models and explore practical applications from document intelligence to agentic systems. The lecture gives a candid assessment of the technology’s limitations, maps each of them to an open research problem and a way to measure it, and outlines a clear path from theory to practice. Key focus areas include a reference architecture for building these systems, the metrics that show whether one is actually working, and strategies for securing research funding through the IndiaAI Mission and ANRF. The session is designed to let attendees apply the material immediately, in the classroom, in a research lab, or in a funded project.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2026-08-29T16:40:56.343Z</dcterms:created>
  <dcterms:modified xsi:type="dcterms:W3CDTF">2026-08-29T16:40:56.354Z</dcterms:modified>
</cp:coreProperties>
</file>

<file path=docProps/custom.xml><?xml version="1.0" encoding="utf-8"?>
<Properties xmlns="http://schemas.openxmlformats.org/officeDocument/2006/custom-properties" xmlns:vt="http://schemas.openxmlformats.org/officeDocument/2006/docPropsVTypes"/>
</file>