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FB71C" w14:textId="6A413D56" w:rsidR="001D12E6" w:rsidRPr="00DE1E58" w:rsidRDefault="00A31728" w:rsidP="005963B5">
      <w:pPr>
        <w:pStyle w:val="Heading1"/>
      </w:pPr>
      <w:r w:rsidRPr="00DE1E58">
        <w:t xml:space="preserve">1. </w:t>
      </w:r>
      <w:r w:rsidR="001D12E6" w:rsidRPr="00DE1E58">
        <w:t>Experimental setup and plant propagation</w:t>
      </w:r>
    </w:p>
    <w:p w14:paraId="280A071D" w14:textId="77777777" w:rsidR="001D12E6" w:rsidRPr="00A31728" w:rsidRDefault="001D12E6" w:rsidP="00A3183F">
      <w:pPr>
        <w:spacing w:line="240" w:lineRule="auto"/>
        <w:ind w:firstLine="720"/>
        <w:rPr>
          <w:rFonts w:ascii="Cambria" w:hAnsi="Cambria"/>
          <w:color w:val="000000" w:themeColor="text1"/>
        </w:rPr>
      </w:pPr>
      <w:r w:rsidRPr="00A31728">
        <w:rPr>
          <w:rFonts w:ascii="Cambria" w:hAnsi="Cambria"/>
          <w:color w:val="000000" w:themeColor="text1"/>
        </w:rPr>
        <w:t>To acquire plants for our experiments, we collected live cottonwood and tamarisk seedlings (</w:t>
      </w:r>
      <w:r w:rsidRPr="00A31728">
        <w:rPr>
          <w:rFonts w:ascii="Cambria" w:hAnsi="Cambria"/>
        </w:rPr>
        <w:t xml:space="preserve">including </w:t>
      </w:r>
      <w:r w:rsidRPr="00A31728">
        <w:rPr>
          <w:rFonts w:ascii="Cambria" w:hAnsi="Cambria"/>
          <w:i/>
        </w:rPr>
        <w:t xml:space="preserve">T. ramosissima </w:t>
      </w:r>
      <w:r w:rsidRPr="00A31728">
        <w:rPr>
          <w:rFonts w:ascii="Cambria" w:hAnsi="Cambria"/>
        </w:rPr>
        <w:t>Ledebour</w:t>
      </w:r>
      <w:r w:rsidRPr="00A31728">
        <w:rPr>
          <w:rFonts w:ascii="Cambria" w:hAnsi="Cambria"/>
          <w:i/>
        </w:rPr>
        <w:t xml:space="preserve">, T. chinensis </w:t>
      </w:r>
      <w:r w:rsidRPr="00A31728">
        <w:rPr>
          <w:rFonts w:ascii="Cambria" w:hAnsi="Cambria"/>
        </w:rPr>
        <w:t xml:space="preserve">Loureiro, and </w:t>
      </w:r>
      <w:r w:rsidRPr="00A31728">
        <w:rPr>
          <w:rFonts w:ascii="Cambria" w:hAnsi="Cambria"/>
          <w:i/>
        </w:rPr>
        <w:t>T. parviflora</w:t>
      </w:r>
      <w:r w:rsidRPr="00A31728">
        <w:rPr>
          <w:rFonts w:ascii="Cambria" w:hAnsi="Cambria"/>
        </w:rPr>
        <w:t>)</w:t>
      </w:r>
      <w:r w:rsidRPr="00A31728">
        <w:rPr>
          <w:rFonts w:ascii="Cambria" w:hAnsi="Cambria"/>
          <w:color w:val="000000" w:themeColor="text1"/>
        </w:rPr>
        <w:t xml:space="preserve"> from the Bill Williams River (AZ), Virgin River (NV) and San Joaquin River basins in March 2013. Plants were greenhouse-healed for two months in vermiculite, and then shipped as bare-root plants to the RFS. </w:t>
      </w:r>
    </w:p>
    <w:p w14:paraId="3C697F00" w14:textId="632E0739" w:rsidR="001D12E6" w:rsidRPr="00DE1E58" w:rsidRDefault="001D12E6" w:rsidP="005963B5">
      <w:pPr>
        <w:pStyle w:val="Heading1"/>
      </w:pPr>
      <w:r w:rsidRPr="00DE1E58">
        <w:t>2</w:t>
      </w:r>
      <w:r w:rsidR="00A31728" w:rsidRPr="00DE1E58">
        <w:t>.</w:t>
      </w:r>
      <w:r w:rsidRPr="00DE1E58">
        <w:t xml:space="preserve"> Plant morphological traits</w:t>
      </w:r>
    </w:p>
    <w:p w14:paraId="6702142B" w14:textId="40995334" w:rsidR="001D12E6" w:rsidRPr="00A31728" w:rsidRDefault="001D12E6" w:rsidP="00A3183F">
      <w:pPr>
        <w:spacing w:line="240" w:lineRule="auto"/>
        <w:ind w:firstLine="720"/>
        <w:rPr>
          <w:rFonts w:ascii="Cambria" w:hAnsi="Cambria"/>
          <w:color w:val="000000" w:themeColor="text1"/>
        </w:rPr>
      </w:pPr>
      <w:r w:rsidRPr="00A31728">
        <w:rPr>
          <w:rFonts w:ascii="Cambria" w:hAnsi="Cambria"/>
          <w:color w:val="000000" w:themeColor="text1"/>
        </w:rPr>
        <w:t xml:space="preserve">We used a random subsample of 90 plants (47 </w:t>
      </w:r>
      <w:r w:rsidRPr="00A31728">
        <w:rPr>
          <w:rFonts w:ascii="Cambria" w:hAnsi="Cambria"/>
        </w:rPr>
        <w:t>cottonwood and 43 tamarisk</w:t>
      </w:r>
      <w:r w:rsidRPr="00A31728">
        <w:rPr>
          <w:rFonts w:ascii="Cambria" w:hAnsi="Cambria"/>
          <w:color w:val="000000" w:themeColor="text1"/>
        </w:rPr>
        <w:t xml:space="preserve">) to quantify differences in morphological traits between species. At the end of the transplant and growth period, plants were carefully removed from their pots and rinsed of sand. </w:t>
      </w:r>
    </w:p>
    <w:p w14:paraId="55CC9860" w14:textId="3068AA47" w:rsidR="001D12E6" w:rsidRPr="00DE1E58" w:rsidRDefault="001D12E6" w:rsidP="005963B5">
      <w:pPr>
        <w:pStyle w:val="Heading1"/>
      </w:pPr>
      <w:r w:rsidRPr="00DE1E58">
        <w:t>3. Flood experiment design</w:t>
      </w:r>
    </w:p>
    <w:p w14:paraId="2D64345D" w14:textId="5519D6F8" w:rsidR="004342C5" w:rsidRPr="00A3183F" w:rsidRDefault="001D12E6" w:rsidP="00A31733">
      <w:pPr>
        <w:spacing w:line="240" w:lineRule="auto"/>
        <w:ind w:firstLine="720"/>
        <w:rPr>
          <w:rFonts w:ascii="Cambria" w:hAnsi="Cambria"/>
        </w:rPr>
      </w:pPr>
      <w:r w:rsidRPr="00A31728">
        <w:rPr>
          <w:rFonts w:ascii="Cambria" w:hAnsi="Cambria"/>
        </w:rPr>
        <w:t>We conducted 10 flume runs that differed with respect to s</w:t>
      </w:r>
      <w:r w:rsidR="00A56B5D" w:rsidRPr="00A31728">
        <w:rPr>
          <w:rFonts w:ascii="Cambria" w:hAnsi="Cambria"/>
        </w:rPr>
        <w:t>pecies, plant size, and density</w:t>
      </w:r>
      <w:r w:rsidRPr="00A31728">
        <w:rPr>
          <w:rFonts w:ascii="Cambria" w:hAnsi="Cambria"/>
        </w:rPr>
        <w:t xml:space="preserve">. Individual plants were tested in five of the trials, in which 4–5 plants were installed ca. 3 m apart </w:t>
      </w:r>
      <w:r w:rsidR="00A56B5D" w:rsidRPr="00A31728">
        <w:rPr>
          <w:rFonts w:ascii="Cambria" w:hAnsi="Cambria"/>
        </w:rPr>
        <w:t>within a 12-m long test section</w:t>
      </w:r>
      <w:r w:rsidRPr="00A31728">
        <w:rPr>
          <w:rFonts w:ascii="Cambria" w:hAnsi="Cambria"/>
        </w:rPr>
        <w:t xml:space="preserve">. </w:t>
      </w:r>
    </w:p>
    <w:p w14:paraId="303A73E3" w14:textId="77777777" w:rsidR="0077463A" w:rsidRPr="00A31728" w:rsidRDefault="0077463A" w:rsidP="004342C5">
      <w:pPr>
        <w:pStyle w:val="EndNoteBibliography"/>
        <w:spacing w:after="0"/>
        <w:rPr>
          <w:rFonts w:ascii="Cambria" w:hAnsi="Cambria"/>
        </w:rPr>
      </w:pPr>
    </w:p>
    <w:p w14:paraId="12B72C91" w14:textId="3A5047D1" w:rsidR="00186B60" w:rsidRDefault="001D12E6" w:rsidP="004D3B99">
      <w:pPr>
        <w:pStyle w:val="Heading1"/>
      </w:pPr>
      <w:bookmarkStart w:id="0" w:name="_GoBack"/>
      <w:r w:rsidRPr="00A31728">
        <w:t xml:space="preserve">References: </w:t>
      </w:r>
    </w:p>
    <w:bookmarkEnd w:id="0"/>
    <w:p w14:paraId="226923C6" w14:textId="77777777" w:rsidR="00DE1E58" w:rsidRPr="00F16FA5" w:rsidRDefault="00186B60" w:rsidP="00DE1E58">
      <w:pPr>
        <w:pStyle w:val="EndNoteBibliography"/>
        <w:spacing w:after="0"/>
        <w:ind w:left="720" w:hanging="720"/>
      </w:pPr>
      <w:r w:rsidRPr="00F16FA5">
        <w:rPr>
          <w:rFonts w:ascii="Cambria" w:hAnsi="Cambria"/>
        </w:rPr>
        <w:fldChar w:fldCharType="begin"/>
      </w:r>
      <w:r w:rsidRPr="00F16FA5">
        <w:rPr>
          <w:rFonts w:ascii="Cambria" w:hAnsi="Cambria"/>
        </w:rPr>
        <w:instrText xml:space="preserve"> ADDIN EN.REFLIST </w:instrText>
      </w:r>
      <w:r w:rsidRPr="00F16FA5">
        <w:rPr>
          <w:rFonts w:ascii="Cambria" w:hAnsi="Cambria"/>
        </w:rPr>
        <w:fldChar w:fldCharType="separate"/>
      </w:r>
      <w:r w:rsidR="00DE1E58" w:rsidRPr="00F16FA5">
        <w:t xml:space="preserve">Bywater-Reyes S., Wilcox A.C., Stella J.C. &amp; Lightbody A.F. (2015) Flow and scour constraints on uprooting of pioneer woody seedlings. </w:t>
      </w:r>
      <w:r w:rsidR="00DE1E58" w:rsidRPr="00F16FA5">
        <w:rPr>
          <w:i/>
        </w:rPr>
        <w:t>Water Resource Research,</w:t>
      </w:r>
      <w:r w:rsidR="00DE1E58" w:rsidRPr="00F16FA5">
        <w:t xml:space="preserve"> 51, 9190-9206.</w:t>
      </w:r>
    </w:p>
    <w:p w14:paraId="4B55CBE9" w14:textId="77777777" w:rsidR="00DE1E58" w:rsidRPr="00F16FA5" w:rsidRDefault="00DE1E58" w:rsidP="00DE1E58">
      <w:pPr>
        <w:pStyle w:val="EndNoteBibliography"/>
        <w:spacing w:after="0"/>
        <w:ind w:left="720" w:hanging="720"/>
      </w:pPr>
      <w:r w:rsidRPr="00F16FA5">
        <w:t xml:space="preserve">Edmaier K., Crouzy B. &amp; Perona P. (2015) Experimental characterization of vegetation uprooting by flow. </w:t>
      </w:r>
      <w:r w:rsidRPr="00F16FA5">
        <w:rPr>
          <w:i/>
        </w:rPr>
        <w:t>Journal of Geophysical Research: Biogeosciences,</w:t>
      </w:r>
      <w:r w:rsidRPr="00F16FA5">
        <w:t xml:space="preserve"> 120, 2169-8953.</w:t>
      </w:r>
    </w:p>
    <w:p w14:paraId="05D851B2" w14:textId="77777777" w:rsidR="00DE1E58" w:rsidRPr="00F16FA5" w:rsidRDefault="00DE1E58" w:rsidP="00DE1E58">
      <w:pPr>
        <w:pStyle w:val="EndNoteBibliography"/>
        <w:spacing w:after="0"/>
        <w:ind w:left="720" w:hanging="720"/>
      </w:pPr>
      <w:r w:rsidRPr="00F16FA5">
        <w:t xml:space="preserve">Khuder H., Stokes A., Danjon F., Gouskou K. &amp; Lagane F. (2007) Is it possible to manipulate root anchorage in young trees? </w:t>
      </w:r>
      <w:r w:rsidRPr="00F16FA5">
        <w:rPr>
          <w:i/>
        </w:rPr>
        <w:t>Plant and Soil,</w:t>
      </w:r>
      <w:r w:rsidRPr="00F16FA5">
        <w:t xml:space="preserve"> 294, 87-102.</w:t>
      </w:r>
    </w:p>
    <w:p w14:paraId="19D0C840" w14:textId="77777777" w:rsidR="00DE1E58" w:rsidRPr="00F16FA5" w:rsidRDefault="00DE1E58" w:rsidP="00DE1E58">
      <w:pPr>
        <w:pStyle w:val="EndNoteBibliography"/>
        <w:spacing w:after="0"/>
        <w:ind w:left="720" w:hanging="720"/>
      </w:pPr>
      <w:r w:rsidRPr="00F16FA5">
        <w:t xml:space="preserve">Kondolf G.M. (1997) Hungry water: Effects of dams and gravel mining on river channels. </w:t>
      </w:r>
      <w:r w:rsidRPr="00F16FA5">
        <w:rPr>
          <w:i/>
        </w:rPr>
        <w:t>Environmental Management,</w:t>
      </w:r>
      <w:r w:rsidRPr="00F16FA5">
        <w:t xml:space="preserve"> 21, 533-551.</w:t>
      </w:r>
    </w:p>
    <w:p w14:paraId="086C0C94" w14:textId="77777777" w:rsidR="00DE1E58" w:rsidRPr="00F16FA5" w:rsidRDefault="00DE1E58" w:rsidP="00DE1E58">
      <w:pPr>
        <w:pStyle w:val="EndNoteBibliography"/>
        <w:spacing w:after="0"/>
        <w:ind w:left="720" w:hanging="720"/>
      </w:pPr>
      <w:r w:rsidRPr="00F16FA5">
        <w:t xml:space="preserve">Kui L., Stella J.C., Lightbody A.F. &amp; Wilcox A.C. (2014) Ecogeomorphic feedbacks and flood loss of riparian tree seedlings in meandering channel experiments. </w:t>
      </w:r>
      <w:r w:rsidRPr="00F16FA5">
        <w:rPr>
          <w:i/>
        </w:rPr>
        <w:t>Water Resource Research</w:t>
      </w:r>
      <w:r w:rsidRPr="00F16FA5">
        <w:t>.</w:t>
      </w:r>
    </w:p>
    <w:p w14:paraId="7763E2AB" w14:textId="77777777" w:rsidR="00DE1E58" w:rsidRPr="00F16FA5" w:rsidRDefault="00DE1E58" w:rsidP="00DE1E58">
      <w:pPr>
        <w:pStyle w:val="EndNoteBibliography"/>
        <w:spacing w:after="0"/>
        <w:ind w:left="720" w:hanging="720"/>
      </w:pPr>
      <w:r w:rsidRPr="00F16FA5">
        <w:t xml:space="preserve">Manners R., Wilcox A.C., Kui L., Lightbody A.F., Stella J. &amp; Sklar L.S. (2015) When do plants modify fluvial processes? Plant-hydraulic interactions under variable flow and sediment supply rates. </w:t>
      </w:r>
      <w:r w:rsidRPr="00F16FA5">
        <w:rPr>
          <w:i/>
        </w:rPr>
        <w:t>Journal of Geophysical Research - Earth Surface,</w:t>
      </w:r>
      <w:r w:rsidRPr="00F16FA5">
        <w:t xml:space="preserve"> 120, 325-345.</w:t>
      </w:r>
    </w:p>
    <w:p w14:paraId="4E3BC77C" w14:textId="77777777" w:rsidR="00DE1E58" w:rsidRPr="00F16FA5" w:rsidRDefault="00DE1E58" w:rsidP="00DE1E58">
      <w:pPr>
        <w:pStyle w:val="EndNoteBibliography"/>
        <w:spacing w:after="0"/>
        <w:ind w:left="720" w:hanging="720"/>
      </w:pPr>
      <w:r w:rsidRPr="00F16FA5">
        <w:t xml:space="preserve">Rominger J.T., Lightbody A.F. &amp; Nepf H.M. (2010) Effects of added vegetation on sand bar stability and stream hydrodynamics. </w:t>
      </w:r>
      <w:r w:rsidRPr="00F16FA5">
        <w:rPr>
          <w:i/>
        </w:rPr>
        <w:t>Journal of Hydraulic Engineering-Asce,</w:t>
      </w:r>
      <w:r w:rsidRPr="00F16FA5">
        <w:t xml:space="preserve"> 136, 994-1002.</w:t>
      </w:r>
    </w:p>
    <w:p w14:paraId="4E4BE516" w14:textId="77777777" w:rsidR="00DE1E58" w:rsidRPr="00F16FA5" w:rsidRDefault="00DE1E58" w:rsidP="00DE1E58">
      <w:pPr>
        <w:pStyle w:val="EndNoteBibliography"/>
        <w:spacing w:after="0"/>
        <w:ind w:left="720" w:hanging="720"/>
      </w:pPr>
      <w:r w:rsidRPr="00F16FA5">
        <w:t xml:space="preserve">Scott M.L., Shafroth P.B. &amp; Auble G.T. (1999) Responses of riparian cottonwoods to alluvial water table declines. </w:t>
      </w:r>
      <w:r w:rsidRPr="00F16FA5">
        <w:rPr>
          <w:i/>
        </w:rPr>
        <w:t>Environmental Management,</w:t>
      </w:r>
      <w:r w:rsidRPr="00F16FA5">
        <w:t xml:space="preserve"> 23, 347-358.</w:t>
      </w:r>
    </w:p>
    <w:p w14:paraId="038BABFE" w14:textId="77777777" w:rsidR="00DE1E58" w:rsidRPr="00F16FA5" w:rsidRDefault="00DE1E58" w:rsidP="00DE1E58">
      <w:pPr>
        <w:pStyle w:val="EndNoteBibliography"/>
        <w:ind w:left="720" w:hanging="720"/>
      </w:pPr>
      <w:r w:rsidRPr="00F16FA5">
        <w:t xml:space="preserve">Taylor J.P., Wester D.B. &amp; Smith L.M. (1999) Soil disturbance, flood management, and riparian woody plant establishment in the Rio Grande floodplain. </w:t>
      </w:r>
      <w:r w:rsidRPr="00F16FA5">
        <w:rPr>
          <w:i/>
        </w:rPr>
        <w:t>Wetlands,</w:t>
      </w:r>
      <w:r w:rsidRPr="00F16FA5">
        <w:t xml:space="preserve"> 19, 372-382.</w:t>
      </w:r>
    </w:p>
    <w:p w14:paraId="2F0AE327" w14:textId="3218FC16" w:rsidR="00BA652F" w:rsidRPr="00A31728" w:rsidRDefault="00186B60" w:rsidP="004342C5">
      <w:pPr>
        <w:spacing w:line="240" w:lineRule="auto"/>
        <w:ind w:firstLine="720"/>
        <w:rPr>
          <w:rFonts w:ascii="Cambria" w:hAnsi="Cambria"/>
        </w:rPr>
      </w:pPr>
      <w:r w:rsidRPr="00F16FA5">
        <w:rPr>
          <w:rFonts w:ascii="Cambria" w:hAnsi="Cambria"/>
        </w:rPr>
        <w:fldChar w:fldCharType="end"/>
      </w:r>
    </w:p>
    <w:sectPr w:rsidR="00BA652F" w:rsidRPr="00A3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45487"/>
    <w:multiLevelType w:val="hybridMultilevel"/>
    <w:tmpl w:val="544EA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Freshwater Bi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0fvp50alpzrr7ee20px5zat9fw9dpxrrfre&quot;&gt;PhD litereview&lt;record-ids&gt;&lt;item&gt;28&lt;/item&gt;&lt;item&gt;215&lt;/item&gt;&lt;item&gt;257&lt;/item&gt;&lt;item&gt;332&lt;/item&gt;&lt;item&gt;378&lt;/item&gt;&lt;item&gt;379&lt;/item&gt;&lt;item&gt;391&lt;/item&gt;&lt;item&gt;426&lt;/item&gt;&lt;item&gt;429&lt;/item&gt;&lt;/record-ids&gt;&lt;/item&gt;&lt;/Libraries&gt;"/>
  </w:docVars>
  <w:rsids>
    <w:rsidRoot w:val="00EF2743"/>
    <w:rsid w:val="000C383E"/>
    <w:rsid w:val="00145A13"/>
    <w:rsid w:val="00165D66"/>
    <w:rsid w:val="00186B60"/>
    <w:rsid w:val="001B6BC2"/>
    <w:rsid w:val="001D12E6"/>
    <w:rsid w:val="001D1A82"/>
    <w:rsid w:val="00286BE1"/>
    <w:rsid w:val="003974BA"/>
    <w:rsid w:val="003B5A82"/>
    <w:rsid w:val="004342C5"/>
    <w:rsid w:val="004D3B99"/>
    <w:rsid w:val="004F3285"/>
    <w:rsid w:val="005963B5"/>
    <w:rsid w:val="005D43FA"/>
    <w:rsid w:val="005E6A42"/>
    <w:rsid w:val="00617515"/>
    <w:rsid w:val="00680F65"/>
    <w:rsid w:val="007508BA"/>
    <w:rsid w:val="0077463A"/>
    <w:rsid w:val="00967BCD"/>
    <w:rsid w:val="00994C79"/>
    <w:rsid w:val="00A31728"/>
    <w:rsid w:val="00A31733"/>
    <w:rsid w:val="00A3183F"/>
    <w:rsid w:val="00A56B5D"/>
    <w:rsid w:val="00B4280A"/>
    <w:rsid w:val="00BA652F"/>
    <w:rsid w:val="00C53AF0"/>
    <w:rsid w:val="00C736C4"/>
    <w:rsid w:val="00C8556A"/>
    <w:rsid w:val="00C95755"/>
    <w:rsid w:val="00CA5410"/>
    <w:rsid w:val="00CB666C"/>
    <w:rsid w:val="00CF4562"/>
    <w:rsid w:val="00D00839"/>
    <w:rsid w:val="00DD62D0"/>
    <w:rsid w:val="00DE1E58"/>
    <w:rsid w:val="00E22B1D"/>
    <w:rsid w:val="00E4670D"/>
    <w:rsid w:val="00EF2743"/>
    <w:rsid w:val="00F16FA5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B9479"/>
  <w15:docId w15:val="{737FAB23-7E70-4DFF-90E2-1A4B2FDF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4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2E6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1D12E6"/>
    <w:pPr>
      <w:spacing w:after="200"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D12E6"/>
    <w:rPr>
      <w:rFonts w:ascii="Calibri" w:hAnsi="Calibri" w:cs="Calibri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72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72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31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7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7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728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186B60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86B60"/>
    <w:rPr>
      <w:rFonts w:ascii="Calibri" w:hAnsi="Calibri" w:cs="Calibri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CB6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lkui</dc:creator>
  <cp:keywords/>
  <dc:description/>
  <cp:lastModifiedBy>LK</cp:lastModifiedBy>
  <cp:revision>14</cp:revision>
  <cp:lastPrinted>2016-12-21T20:27:00Z</cp:lastPrinted>
  <dcterms:created xsi:type="dcterms:W3CDTF">2018-08-15T14:57:00Z</dcterms:created>
  <dcterms:modified xsi:type="dcterms:W3CDTF">2020-06-25T00:09:00Z</dcterms:modified>
</cp:coreProperties>
</file>