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小组成员：雷正、蔡铭飞、冼嘉谦</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BatchNorm、余弦退火与数据增强充分训练后，测试准确率达 94.38%。在此基础上，本文进一步提出“诊断—改进—验证”的误差驱动方法论：项目一据“邻级混淆”改用有序回归分级，将严重误判减少 43%；项目二通过组件消融与 Grad-CAM 可解释性分析，定量厘清 BatchNorm、训练时长与数据增强各自的贡献，并据此否证了 Focal Loss 在本任务上的适用性。两个项目完整覆盖了数据加载、可视化、预处理、建模、评估与结论的全流程，验证了集成学习与深度卷积网络的有效性，并通过对照与消融实验积累了模型调优与工程实现的经验。</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Cortes 和 Vapnik (1995)正式提出，凭借坚实的统计学习理论基础和优秀的小样本泛化能力，长期是分类任务的重要工具；以随机森林(Breiman, 2001)、梯度提升树（GBDT、XGBoost、LightGBM）为代表的集成学习方法，通过组合多个弱学习器进一步提升了精度与鲁棒性，至今仍是结构化数据竞赛中的主流方案。在深度学习方面，Krizhevsky 等 (2012)提出的 AlexNet 在 ImageNet 竞赛中以显著优势夺冠，掀起了深度卷积网络的研究热潮；此后 VGG(Simonyan 和 Zisserman, 2015)、GoogLeNet、ResNet(He 等, 2016)等更深、更高效的网络结构相继涌现，不断刷新图像识别的精度上限。本实训以经典且最具代表性的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5486400" cy="2657885"/>
            <wp:docPr id="1" name="Picture 1"/>
            <wp:cNvGraphicFramePr>
              <a:graphicFrameLocks noChangeAspect="1"/>
            </wp:cNvGraphicFramePr>
            <a:graphic>
              <a:graphicData uri="http://schemas.openxmlformats.org/drawingml/2006/picture">
                <pic:pic>
                  <pic:nvPicPr>
                    <pic:cNvPr id="0" name="fig_roadmap.png"/>
                    <pic:cNvPicPr/>
                  </pic:nvPicPr>
                  <pic:blipFill>
                    <a:blip r:embed="rId9"/>
                    <a:stretch>
                      <a:fillRect/>
                    </a:stretch>
                  </pic:blipFill>
                  <pic:spPr>
                    <a:xfrm>
                      <a:off x="0" y="0"/>
                      <a:ext cx="5486400" cy="2657885"/>
                    </a:xfrm>
                    <a:prstGeom prst="rect"/>
                  </pic:spPr>
                </pic:pic>
              </a:graphicData>
            </a:graphic>
          </wp:inline>
        </w:drawing>
      </w:r>
    </w:p>
    <w:p>
      <w:pPr>
        <w:jc w:val="center"/>
      </w:pPr>
      <w:r>
        <w:rPr>
          <w:sz w:val="21"/>
        </w:rPr>
        <w:t>图 1-1 本组两个子项目的总体技术路线</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周志华, 2016)。</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在节点中的占比(周志华, 2016)。算法每次选择使子节点不纯度下降最大的特征进行分裂，具有良好的可解释性，但单棵树容易过拟合。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并以交叉熵为损失函数进行参数估计(周志华, 2016)。其结构简单、训练高效，常作为分类任务的基线模型。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（5）Dropout：训练时以一定概率随机置零神经元输出，有效抑制过拟合(Srivastava 等, 2014)。</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AlexNet(Krizhevsky 等, 2012)由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对于多分类问题，常计算各类别指标的算术平均，即宏平均（Macro-average），它对每个类别一视同仁，能更好地反映模型在不平衡数据上的综合表现(周志华, 2016)。混淆矩阵则以矩阵形式展示各类别的预测分布，可直观分析模型的混淆情况。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实现，项目二的 AlexNet 基于 PyTorch 实现并使用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Set）(Cortez 等, 2009)，来源网址为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ind w:firstLine="480"/>
      </w:pPr>
      <w:r>
        <w:t>关于标签分箱的依据，表 3-2 给出了原始质量评分的完整分布及三分类归并方案。</w:t>
      </w:r>
    </w:p>
    <w:p>
      <w:pPr>
        <w:jc w:val="center"/>
      </w:pPr>
      <w:r>
        <w:rPr>
          <w:sz w:val="21"/>
        </w:rPr>
        <w:t>表 3-2 原始质量评分分布与三分类归并方案</w:t>
      </w:r>
    </w:p>
    <w:tbl>
      <w:tblPr>
        <w:tblStyle w:val="LightList-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原始评分</w:t>
            </w:r>
          </w:p>
        </w:tc>
        <w:tc>
          <w:tcPr>
            <w:tcW w:type="dxa" w:w="960"/>
          </w:tcPr>
          <w:p>
            <w:r>
              <w:t>3</w:t>
            </w:r>
          </w:p>
        </w:tc>
        <w:tc>
          <w:tcPr>
            <w:tcW w:type="dxa" w:w="960"/>
          </w:tcPr>
          <w:p>
            <w:r>
              <w:t>4</w:t>
            </w:r>
          </w:p>
        </w:tc>
        <w:tc>
          <w:tcPr>
            <w:tcW w:type="dxa" w:w="960"/>
          </w:tcPr>
          <w:p>
            <w:r>
              <w:t>5</w:t>
            </w:r>
          </w:p>
        </w:tc>
        <w:tc>
          <w:tcPr>
            <w:tcW w:type="dxa" w:w="960"/>
          </w:tcPr>
          <w:p>
            <w:r>
              <w:t>6</w:t>
            </w:r>
          </w:p>
        </w:tc>
        <w:tc>
          <w:tcPr>
            <w:tcW w:type="dxa" w:w="960"/>
          </w:tcPr>
          <w:p>
            <w:r>
              <w:t>7</w:t>
            </w:r>
          </w:p>
        </w:tc>
        <w:tc>
          <w:tcPr>
            <w:tcW w:type="dxa" w:w="960"/>
          </w:tcPr>
          <w:p>
            <w:r>
              <w:t>8</w:t>
            </w:r>
          </w:p>
        </w:tc>
        <w:tc>
          <w:tcPr>
            <w:tcW w:type="dxa" w:w="960"/>
          </w:tcPr>
          <w:p>
            <w:r>
              <w:t>9</w:t>
            </w:r>
          </w:p>
        </w:tc>
        <w:tc>
          <w:tcPr>
            <w:tcW w:type="dxa" w:w="960"/>
          </w:tcPr>
          <w:p>
            <w:r>
              <w:t>合计</w:t>
            </w:r>
          </w:p>
        </w:tc>
      </w:tr>
      <w:tr>
        <w:tc>
          <w:tcPr>
            <w:tcW w:type="dxa" w:w="960"/>
          </w:tcPr>
          <w:p>
            <w:r>
              <w:t>样本数</w:t>
            </w:r>
          </w:p>
        </w:tc>
        <w:tc>
          <w:tcPr>
            <w:tcW w:type="dxa" w:w="960"/>
          </w:tcPr>
          <w:p>
            <w:r>
              <w:t>20</w:t>
            </w:r>
          </w:p>
        </w:tc>
        <w:tc>
          <w:tcPr>
            <w:tcW w:type="dxa" w:w="960"/>
          </w:tcPr>
          <w:p>
            <w:r>
              <w:t>163</w:t>
            </w:r>
          </w:p>
        </w:tc>
        <w:tc>
          <w:tcPr>
            <w:tcW w:type="dxa" w:w="960"/>
          </w:tcPr>
          <w:p>
            <w:r>
              <w:t>1457</w:t>
            </w:r>
          </w:p>
        </w:tc>
        <w:tc>
          <w:tcPr>
            <w:tcW w:type="dxa" w:w="960"/>
          </w:tcPr>
          <w:p>
            <w:r>
              <w:t>2198</w:t>
            </w:r>
          </w:p>
        </w:tc>
        <w:tc>
          <w:tcPr>
            <w:tcW w:type="dxa" w:w="960"/>
          </w:tcPr>
          <w:p>
            <w:r>
              <w:t>880</w:t>
            </w:r>
          </w:p>
        </w:tc>
        <w:tc>
          <w:tcPr>
            <w:tcW w:type="dxa" w:w="960"/>
          </w:tcPr>
          <w:p>
            <w:r>
              <w:t>175</w:t>
            </w:r>
          </w:p>
        </w:tc>
        <w:tc>
          <w:tcPr>
            <w:tcW w:type="dxa" w:w="960"/>
          </w:tcPr>
          <w:p>
            <w:r>
              <w:t>5</w:t>
            </w:r>
          </w:p>
        </w:tc>
        <w:tc>
          <w:tcPr>
            <w:tcW w:type="dxa" w:w="960"/>
          </w:tcPr>
          <w:p>
            <w:r>
              <w:t>4898</w:t>
            </w:r>
          </w:p>
        </w:tc>
      </w:tr>
      <w:tr>
        <w:tc>
          <w:tcPr>
            <w:tcW w:type="dxa" w:w="960"/>
          </w:tcPr>
          <w:p>
            <w:r>
              <w:t>归并类别</w:t>
            </w:r>
          </w:p>
        </w:tc>
        <w:tc>
          <w:tcPr>
            <w:tcW w:type="dxa" w:w="960"/>
          </w:tcPr>
          <w:p>
            <w:r>
              <w:t>差(≤5)：1640</w:t>
            </w:r>
          </w:p>
        </w:tc>
        <w:tc>
          <w:tcPr>
            <w:tcW w:type="dxa" w:w="960"/>
          </w:tcPr>
          <w:p>
            <w:r/>
          </w:p>
        </w:tc>
        <w:tc>
          <w:tcPr>
            <w:tcW w:type="dxa" w:w="960"/>
          </w:tcPr>
          <w:p>
            <w:r/>
          </w:p>
        </w:tc>
        <w:tc>
          <w:tcPr>
            <w:tcW w:type="dxa" w:w="960"/>
          </w:tcPr>
          <w:p>
            <w:r>
              <w:t>中：2198</w:t>
            </w:r>
          </w:p>
        </w:tc>
        <w:tc>
          <w:tcPr>
            <w:tcW w:type="dxa" w:w="960"/>
          </w:tcPr>
          <w:p>
            <w:r>
              <w:t>好(≥7)：1060</w:t>
            </w:r>
          </w:p>
        </w:tc>
        <w:tc>
          <w:tcPr>
            <w:tcW w:type="dxa" w:w="960"/>
          </w:tcPr>
          <w:p>
            <w:r/>
          </w:p>
        </w:tc>
        <w:tc>
          <w:tcPr>
            <w:tcW w:type="dxa" w:w="960"/>
          </w:tcPr>
          <w:p>
            <w:r/>
          </w:p>
        </w:tc>
        <w:tc>
          <w:tcPr>
            <w:tcW w:type="dxa" w:w="960"/>
          </w:tcPr>
          <w:p>
            <w:r/>
          </w:p>
        </w:tc>
      </w:tr>
    </w:tbl>
    <w:p>
      <w:pPr>
        <w:ind w:firstLine="480"/>
      </w:pPr>
      <w:r>
        <w:t>如表 3-2 所示，原始评分高度集中于 5、6、7 三档（合计占 92.6%），而 3、4、8、9 分的样本极少（最少的 9 分仅 5 例）。若直接进行七分类，这些极少数类几乎无法被有效学习、评价也极不稳定；若简化为二分类，又会丢失“中等品质”这一重要档次。因此，本文参照课程“3 分类”要求并结合数据的实际分布，将评分按≤5/=6/≥7 归并为差/中/好三类——既保证每个类别都有足够样本（最少 1060 例），又符合葡萄酒质量“低/中/高”分级的实际语义，是兼顾可学习性与业务含义的合理选择。</w:t>
      </w:r>
    </w:p>
    <w:p>
      <w:pPr>
        <w:pStyle w:val="Heading2"/>
      </w:pPr>
      <w:r>
        <w:t>3.4 模型建立</w:t>
      </w:r>
    </w:p>
    <w:p>
      <w:pPr>
        <w:ind w:firstLine="480"/>
      </w:pPr>
      <w:r>
        <w:t>项目一的完整建模流程如图 3-3 所示：经数据集导入、探索性数据分析、任务定义与分层划分后，以 Pipeline 将标准化与分类器封装为一体，再通过 GridSearchCV 完成交叉验证调参，最终对四种模型做统一评估。</w:t>
      </w:r>
    </w:p>
    <w:p>
      <w:pPr>
        <w:jc w:val="center"/>
      </w:pPr>
      <w:r>
        <w:drawing>
          <wp:inline xmlns:a="http://schemas.openxmlformats.org/drawingml/2006/main" xmlns:pic="http://schemas.openxmlformats.org/drawingml/2006/picture">
            <wp:extent cx="5303520" cy="2601009"/>
            <wp:docPr id="4" name="Picture 4"/>
            <wp:cNvGraphicFramePr>
              <a:graphicFrameLocks noChangeAspect="1"/>
            </wp:cNvGraphicFramePr>
            <a:graphic>
              <a:graphicData uri="http://schemas.openxmlformats.org/drawingml/2006/picture">
                <pic:pic>
                  <pic:nvPicPr>
                    <pic:cNvPr id="0" name="fig_ml_pipeline.png"/>
                    <pic:cNvPicPr/>
                  </pic:nvPicPr>
                  <pic:blipFill>
                    <a:blip r:embed="rId12"/>
                    <a:stretch>
                      <a:fillRect/>
                    </a:stretch>
                  </pic:blipFill>
                  <pic:spPr>
                    <a:xfrm>
                      <a:off x="0" y="0"/>
                      <a:ext cx="5303520" cy="2601009"/>
                    </a:xfrm>
                    <a:prstGeom prst="rect"/>
                  </pic:spPr>
                </pic:pic>
              </a:graphicData>
            </a:graphic>
          </wp:inline>
        </w:drawing>
      </w:r>
    </w:p>
    <w:p>
      <w:pPr>
        <w:jc w:val="center"/>
      </w:pPr>
      <w:r>
        <w:rPr>
          <w:sz w:val="21"/>
        </w:rPr>
        <w:t>图 3-3 项目一传统机器学习建模流程</w:t>
      </w:r>
    </w:p>
    <w:p>
      <w:pPr>
        <w:ind w:firstLine="480"/>
      </w:pPr>
      <w:r>
        <w:t>选取支持向量机、决策树、随机森林、逻辑回归四种代表性算法（原理见 2.2 节），借助 scikit-learn(Pedregosa 等, 2011)提供的 GridSearchCV，通过五折交叉验证结合网格搜索（评分准则为宏平均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3-3。</w:t>
      </w:r>
    </w:p>
    <w:p>
      <w:pPr>
        <w:jc w:val="center"/>
      </w:pPr>
      <w:r>
        <w:rPr>
          <w:sz w:val="21"/>
        </w:rPr>
        <w:t>表 3-3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3-4 与图 3-4。</w:t>
      </w:r>
    </w:p>
    <w:p>
      <w:pPr>
        <w:jc w:val="center"/>
      </w:pPr>
      <w:r>
        <w:rPr>
          <w:sz w:val="21"/>
        </w:rPr>
        <w:t>表 3-4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5120640" cy="2508256"/>
            <wp:docPr id="5" name="Picture 5"/>
            <wp:cNvGraphicFramePr>
              <a:graphicFrameLocks noChangeAspect="1"/>
            </wp:cNvGraphicFramePr>
            <a:graphic>
              <a:graphicData uri="http://schemas.openxmlformats.org/drawingml/2006/picture">
                <pic:pic>
                  <pic:nvPicPr>
                    <pic:cNvPr id="0" name="fig_ml_compare.png"/>
                    <pic:cNvPicPr/>
                  </pic:nvPicPr>
                  <pic:blipFill>
                    <a:blip r:embed="rId13"/>
                    <a:stretch>
                      <a:fillRect/>
                    </a:stretch>
                  </pic:blipFill>
                  <pic:spPr>
                    <a:xfrm>
                      <a:off x="0" y="0"/>
                      <a:ext cx="5120640" cy="2508256"/>
                    </a:xfrm>
                    <a:prstGeom prst="rect"/>
                  </pic:spPr>
                </pic:pic>
              </a:graphicData>
            </a:graphic>
          </wp:inline>
        </w:drawing>
      </w:r>
    </w:p>
    <w:p>
      <w:pPr>
        <w:jc w:val="center"/>
      </w:pPr>
      <w:r>
        <w:rPr>
          <w:sz w:val="21"/>
        </w:rPr>
        <w:t>图 3-4 四种传统机器学习模型测试集 Accuracy 与 Macro-F1 对比</w:t>
      </w:r>
    </w:p>
    <w:p>
      <w:pPr>
        <w:ind w:firstLine="480"/>
      </w:pPr>
      <w:r>
        <w:t>考虑到本任务标签有序且类别不平衡，仅凭准确率与宏 F1 难以全面刻画模型质量，因此进一步报告五项进阶指标（表 3-5）：平衡准确率（各类召回率均值，抗不平衡）、二次加权 Kappa（QWK，对跨级错误施以二次惩罚的有序一致性）、Cohen's Kappa（排除随机猜测的一致性）、Matthews 相关系数（MCC，不平衡下稳健的综合相关度）与宏平均 ROC-AUC（OvR，衡量概率排序质量）。</w:t>
      </w:r>
    </w:p>
    <w:p>
      <w:pPr>
        <w:jc w:val="center"/>
      </w:pPr>
      <w:r>
        <w:rPr>
          <w:sz w:val="21"/>
        </w:rPr>
        <w:t>表 3-5 四种模型的进阶评估指标（测试集）</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模型</w:t>
            </w:r>
          </w:p>
        </w:tc>
        <w:tc>
          <w:tcPr>
            <w:tcW w:type="dxa" w:w="1440"/>
          </w:tcPr>
          <w:p>
            <w:r>
              <w:t>平衡准确率</w:t>
            </w:r>
          </w:p>
        </w:tc>
        <w:tc>
          <w:tcPr>
            <w:tcW w:type="dxa" w:w="1440"/>
          </w:tcPr>
          <w:p>
            <w:r>
              <w:t>二次加权Kappa</w:t>
            </w:r>
          </w:p>
        </w:tc>
        <w:tc>
          <w:tcPr>
            <w:tcW w:type="dxa" w:w="1440"/>
          </w:tcPr>
          <w:p>
            <w:r>
              <w:t>Cohen's Kappa</w:t>
            </w:r>
          </w:p>
        </w:tc>
        <w:tc>
          <w:tcPr>
            <w:tcW w:type="dxa" w:w="1440"/>
          </w:tcPr>
          <w:p>
            <w:r>
              <w:t>MCC</w:t>
            </w:r>
          </w:p>
        </w:tc>
        <w:tc>
          <w:tcPr>
            <w:tcW w:type="dxa" w:w="1440"/>
          </w:tcPr>
          <w:p>
            <w:r>
              <w:t>宏ROC-AUC</w:t>
            </w:r>
          </w:p>
        </w:tc>
      </w:tr>
      <w:tr>
        <w:tc>
          <w:tcPr>
            <w:tcW w:type="dxa" w:w="1440"/>
          </w:tcPr>
          <w:p>
            <w:r>
              <w:t>SVM</w:t>
            </w:r>
          </w:p>
        </w:tc>
        <w:tc>
          <w:tcPr>
            <w:tcW w:type="dxa" w:w="1440"/>
          </w:tcPr>
          <w:p>
            <w:r>
              <w:t>0.660</w:t>
            </w:r>
          </w:p>
        </w:tc>
        <w:tc>
          <w:tcPr>
            <w:tcW w:type="dxa" w:w="1440"/>
          </w:tcPr>
          <w:p>
            <w:r>
              <w:t>0.626</w:t>
            </w:r>
          </w:p>
        </w:tc>
        <w:tc>
          <w:tcPr>
            <w:tcW w:type="dxa" w:w="1440"/>
          </w:tcPr>
          <w:p>
            <w:r>
              <w:t>0.428</w:t>
            </w:r>
          </w:p>
        </w:tc>
        <w:tc>
          <w:tcPr>
            <w:tcW w:type="dxa" w:w="1440"/>
          </w:tcPr>
          <w:p>
            <w:r>
              <w:t>0.439</w:t>
            </w:r>
          </w:p>
        </w:tc>
        <w:tc>
          <w:tcPr>
            <w:tcW w:type="dxa" w:w="1440"/>
          </w:tcPr>
          <w:p>
            <w:r>
              <w:t>0.819</w:t>
            </w:r>
          </w:p>
        </w:tc>
      </w:tr>
      <w:tr>
        <w:tc>
          <w:tcPr>
            <w:tcW w:type="dxa" w:w="1440"/>
          </w:tcPr>
          <w:p>
            <w:r>
              <w:t>决策树</w:t>
            </w:r>
          </w:p>
        </w:tc>
        <w:tc>
          <w:tcPr>
            <w:tcW w:type="dxa" w:w="1440"/>
          </w:tcPr>
          <w:p>
            <w:r>
              <w:t>0.644</w:t>
            </w:r>
          </w:p>
        </w:tc>
        <w:tc>
          <w:tcPr>
            <w:tcW w:type="dxa" w:w="1440"/>
          </w:tcPr>
          <w:p>
            <w:r>
              <w:t>0.566</w:t>
            </w:r>
          </w:p>
        </w:tc>
        <w:tc>
          <w:tcPr>
            <w:tcW w:type="dxa" w:w="1440"/>
          </w:tcPr>
          <w:p>
            <w:r>
              <w:t>0.451</w:t>
            </w:r>
          </w:p>
        </w:tc>
        <w:tc>
          <w:tcPr>
            <w:tcW w:type="dxa" w:w="1440"/>
          </w:tcPr>
          <w:p>
            <w:r>
              <w:t>0.452</w:t>
            </w:r>
          </w:p>
        </w:tc>
        <w:tc>
          <w:tcPr>
            <w:tcW w:type="dxa" w:w="1440"/>
          </w:tcPr>
          <w:p>
            <w:r>
              <w:t>0.729</w:t>
            </w:r>
          </w:p>
        </w:tc>
      </w:tr>
      <w:tr>
        <w:tc>
          <w:tcPr>
            <w:tcW w:type="dxa" w:w="1440"/>
          </w:tcPr>
          <w:p>
            <w:r>
              <w:t>随机森林</w:t>
            </w:r>
          </w:p>
        </w:tc>
        <w:tc>
          <w:tcPr>
            <w:tcW w:type="dxa" w:w="1440"/>
          </w:tcPr>
          <w:p>
            <w:r>
              <w:t>0.723</w:t>
            </w:r>
          </w:p>
        </w:tc>
        <w:tc>
          <w:tcPr>
            <w:tcW w:type="dxa" w:w="1440"/>
          </w:tcPr>
          <w:p>
            <w:r>
              <w:t>0.720</w:t>
            </w:r>
          </w:p>
        </w:tc>
        <w:tc>
          <w:tcPr>
            <w:tcW w:type="dxa" w:w="1440"/>
          </w:tcPr>
          <w:p>
            <w:r>
              <w:t>0.579</w:t>
            </w:r>
          </w:p>
        </w:tc>
        <w:tc>
          <w:tcPr>
            <w:tcW w:type="dxa" w:w="1440"/>
          </w:tcPr>
          <w:p>
            <w:r>
              <w:t>0.581</w:t>
            </w:r>
          </w:p>
        </w:tc>
        <w:tc>
          <w:tcPr>
            <w:tcW w:type="dxa" w:w="1440"/>
          </w:tcPr>
          <w:p>
            <w:r>
              <w:t>0.899</w:t>
            </w:r>
          </w:p>
        </w:tc>
      </w:tr>
      <w:tr>
        <w:tc>
          <w:tcPr>
            <w:tcW w:type="dxa" w:w="1440"/>
          </w:tcPr>
          <w:p>
            <w:r>
              <w:t>逻辑回归</w:t>
            </w:r>
          </w:p>
        </w:tc>
        <w:tc>
          <w:tcPr>
            <w:tcW w:type="dxa" w:w="1440"/>
          </w:tcPr>
          <w:p>
            <w:r>
              <w:t>0.567</w:t>
            </w:r>
          </w:p>
        </w:tc>
        <w:tc>
          <w:tcPr>
            <w:tcW w:type="dxa" w:w="1440"/>
          </w:tcPr>
          <w:p>
            <w:r>
              <w:t>0.491</w:t>
            </w:r>
          </w:p>
        </w:tc>
        <w:tc>
          <w:tcPr>
            <w:tcW w:type="dxa" w:w="1440"/>
          </w:tcPr>
          <w:p>
            <w:r>
              <w:t>0.296</w:t>
            </w:r>
          </w:p>
        </w:tc>
        <w:tc>
          <w:tcPr>
            <w:tcW w:type="dxa" w:w="1440"/>
          </w:tcPr>
          <w:p>
            <w:r>
              <w:t>0.311</w:t>
            </w:r>
          </w:p>
        </w:tc>
        <w:tc>
          <w:tcPr>
            <w:tcW w:type="dxa" w:w="1440"/>
          </w:tcPr>
          <w:p>
            <w:r>
              <w:t>0.740</w:t>
            </w:r>
          </w:p>
        </w:tc>
      </w:tr>
    </w:tbl>
    <w:p>
      <w:pPr>
        <w:ind w:firstLine="480"/>
      </w:pPr>
      <w:r>
        <w:t>在全部五项进阶指标上随机森林依然稳居第一（尤以 QWK 0.720、宏 ROC-AUC 0.899 明显领先），说明其优势是跨“一致性—概率排序—抗不平衡”多维度的全面领先，而非某一指标的偶然；逻辑回归各项垫底，与其线性假设难以拟合理化指标到质量之间的非线性关系相符。</w:t>
      </w:r>
    </w:p>
    <w:p>
      <w:pPr>
        <w:ind w:firstLine="480"/>
      </w:pPr>
      <w:r>
        <w:t>由表 3-3 可见，随机森林在四项指标上全面领先，其次为决策树与 SVM，逻辑回归表现最差。为进一步分析最优模型，给出随机森林各类别详细指标（表 3-6）及其混淆矩阵（图 3-5）。</w:t>
      </w:r>
    </w:p>
    <w:p>
      <w:pPr>
        <w:jc w:val="center"/>
      </w:pPr>
      <w:r>
        <w:rPr>
          <w:sz w:val="21"/>
        </w:rPr>
        <w:t>表 3-6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6" name="Picture 6"/>
            <wp:cNvGraphicFramePr>
              <a:graphicFrameLocks noChangeAspect="1"/>
            </wp:cNvGraphicFramePr>
            <a:graphic>
              <a:graphicData uri="http://schemas.openxmlformats.org/drawingml/2006/picture">
                <pic:pic>
                  <pic:nvPicPr>
                    <pic:cNvPr id="0" name="cm_随机森林.png"/>
                    <pic:cNvPicPr/>
                  </pic:nvPicPr>
                  <pic:blipFill>
                    <a:blip r:embed="rId14"/>
                    <a:stretch>
                      <a:fillRect/>
                    </a:stretch>
                  </pic:blipFill>
                  <pic:spPr>
                    <a:xfrm>
                      <a:off x="0" y="0"/>
                      <a:ext cx="3200400" cy="2560320"/>
                    </a:xfrm>
                    <a:prstGeom prst="rect"/>
                  </pic:spPr>
                </pic:pic>
              </a:graphicData>
            </a:graphic>
          </wp:inline>
        </w:drawing>
      </w:r>
    </w:p>
    <w:p>
      <w:pPr>
        <w:jc w:val="center"/>
      </w:pPr>
      <w:r>
        <w:rPr>
          <w:sz w:val="21"/>
        </w:rPr>
        <w:t>图 3-5 随机森林混淆矩阵</w:t>
      </w:r>
    </w:p>
    <w:p>
      <w:pPr>
        <w:jc w:val="center"/>
      </w:pPr>
      <w:r>
        <w:drawing>
          <wp:inline xmlns:a="http://schemas.openxmlformats.org/drawingml/2006/main" xmlns:pic="http://schemas.openxmlformats.org/drawingml/2006/picture">
            <wp:extent cx="4114800" cy="2939143"/>
            <wp:docPr id="7" name="Picture 7"/>
            <wp:cNvGraphicFramePr>
              <a:graphicFrameLocks noChangeAspect="1"/>
            </wp:cNvGraphicFramePr>
            <a:graphic>
              <a:graphicData uri="http://schemas.openxmlformats.org/drawingml/2006/picture">
                <pic:pic>
                  <pic:nvPicPr>
                    <pic:cNvPr id="0" name="rf_feature_importance.png"/>
                    <pic:cNvPicPr/>
                  </pic:nvPicPr>
                  <pic:blipFill>
                    <a:blip r:embed="rId15"/>
                    <a:stretch>
                      <a:fillRect/>
                    </a:stretch>
                  </pic:blipFill>
                  <pic:spPr>
                    <a:xfrm>
                      <a:off x="0" y="0"/>
                      <a:ext cx="4114800" cy="2939143"/>
                    </a:xfrm>
                    <a:prstGeom prst="rect"/>
                  </pic:spPr>
                </pic:pic>
              </a:graphicData>
            </a:graphic>
          </wp:inline>
        </w:drawing>
      </w:r>
    </w:p>
    <w:p>
      <w:pPr>
        <w:jc w:val="center"/>
      </w:pPr>
      <w:r>
        <w:rPr>
          <w:sz w:val="21"/>
        </w:rPr>
        <w:t>图 3-6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3-5）可以发现，模型的误差呈现明显的“邻级混淆”特征：真实为“差”的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数据集(Xiao 等, 2017)，由德国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8" name="Picture 8"/>
            <wp:cNvGraphicFramePr>
              <a:graphicFrameLocks noChangeAspect="1"/>
            </wp:cNvGraphicFramePr>
            <a:graphic>
              <a:graphicData uri="http://schemas.openxmlformats.org/drawingml/2006/picture">
                <pic:pic>
                  <pic:nvPicPr>
                    <pic:cNvPr id="0" name="samples.png"/>
                    <pic:cNvPicPr/>
                  </pic:nvPicPr>
                  <pic:blipFill>
                    <a:blip r:embed="rId16"/>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58.3M。其中卷积层负责逐级提取由边缘、纹理到语义部件的层次化特征，池化层逐步降低空间分辨率，全连接层完成最终类别判别。每个卷积层后均接入批归一化（BatchNorm）以稳定输入分布、加速收敛；原始 AlexNet 的局部响应归一化（LRN）则作为对照在 4.6 节单独消融。网络整体结构与各层张量尺寸的演变如图 4-2 所示，可与表 4-1 的逐层参数相互对照。</w:t>
      </w:r>
    </w:p>
    <w:p>
      <w:pPr>
        <w:jc w:val="center"/>
      </w:pPr>
      <w:r>
        <w:drawing>
          <wp:inline xmlns:a="http://schemas.openxmlformats.org/drawingml/2006/main" xmlns:pic="http://schemas.openxmlformats.org/drawingml/2006/picture">
            <wp:extent cx="5669280" cy="3190665"/>
            <wp:docPr id="9" name="Picture 9"/>
            <wp:cNvGraphicFramePr>
              <a:graphicFrameLocks noChangeAspect="1"/>
            </wp:cNvGraphicFramePr>
            <a:graphic>
              <a:graphicData uri="http://schemas.openxmlformats.org/drawingml/2006/picture">
                <pic:pic>
                  <pic:nvPicPr>
                    <pic:cNvPr id="0" name="fig_alexnet_arch.png"/>
                    <pic:cNvPicPr/>
                  </pic:nvPicPr>
                  <pic:blipFill>
                    <a:blip r:embed="rId17"/>
                    <a:stretch>
                      <a:fillRect/>
                    </a:stretch>
                  </pic:blipFill>
                  <pic:spPr>
                    <a:xfrm>
                      <a:off x="0" y="0"/>
                      <a:ext cx="5669280" cy="3190665"/>
                    </a:xfrm>
                    <a:prstGeom prst="rect"/>
                  </pic:spPr>
                </pic:pic>
              </a:graphicData>
            </a:graphic>
          </wp:inline>
        </w:drawing>
      </w:r>
    </w:p>
    <w:p>
      <w:pPr>
        <w:jc w:val="center"/>
      </w:pPr>
      <w:r>
        <w:rPr>
          <w:sz w:val="21"/>
        </w:rPr>
        <w:t>图 4-2 手写 AlexNet 网络结构示意</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填充2；BN+ReLU</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填充2；BN+ReLU</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填充1；BN+ReLU</w:t>
            </w:r>
          </w:p>
        </w:tc>
        <w:tc>
          <w:tcPr>
            <w:tcW w:type="dxa" w:w="2880"/>
          </w:tcPr>
          <w:p>
            <w:r>
              <w:t>384×13×13</w:t>
            </w:r>
          </w:p>
        </w:tc>
      </w:tr>
      <w:tr>
        <w:tc>
          <w:tcPr>
            <w:tcW w:type="dxa" w:w="2880"/>
          </w:tcPr>
          <w:p>
            <w:r>
              <w:t>Conv4</w:t>
            </w:r>
          </w:p>
        </w:tc>
        <w:tc>
          <w:tcPr>
            <w:tcW w:type="dxa" w:w="2880"/>
          </w:tcPr>
          <w:p>
            <w:r>
              <w:t>384核 3×3 填充1；BN+ReLU</w:t>
            </w:r>
          </w:p>
        </w:tc>
        <w:tc>
          <w:tcPr>
            <w:tcW w:type="dxa" w:w="2880"/>
          </w:tcPr>
          <w:p>
            <w:r>
              <w:t>384×13×13</w:t>
            </w:r>
          </w:p>
        </w:tc>
      </w:tr>
      <w:tr>
        <w:tc>
          <w:tcPr>
            <w:tcW w:type="dxa" w:w="2880"/>
          </w:tcPr>
          <w:p>
            <w:r>
              <w:t>Conv5</w:t>
            </w:r>
          </w:p>
        </w:tc>
        <w:tc>
          <w:tcPr>
            <w:tcW w:type="dxa" w:w="2880"/>
          </w:tcPr>
          <w:p>
            <w:r>
              <w:t>256核 3×3 填充1；BN+ReLU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0.01，采用余弦退火（CosineAnnealingLR）将学习率沿余弦曲线平滑衰减至 0，相比阶梯式衰减更适合较长训练；批大小 128，共训练 40 轮，并对训练集施加数据增强（随机水平翻转+小角度旋转）以提升泛化，按验证集准确率保存最优模型。训练在单张 NVIDIA RTX 4090 GPU 上完成，约耗时半小时。这些设置由 4.6 节的组件对照实验逐一验证后确定。</w:t>
      </w:r>
    </w:p>
    <w:p>
      <w:pPr>
        <w:ind w:firstLine="480"/>
      </w:pPr>
      <w:r>
        <w:t>项目二从数据准备到最终评估的完整流程如图 4-3 所示，分为数据准备、模型训练、模型选择与最终评估可视化四个阶段：数据准备完成训练/验证/测试划分、Resize 与标准化；模型训练以手写 AlexNet 配合交叉熵损失、SGD-动量优化器与学习率调度推进；模型选择按验证集准确率保存最优权重；最终评估在测试集上计算 Accuracy 与 Macro-F1，并辅以混淆矩阵与 Grad-CAM 可视化。</w:t>
      </w:r>
    </w:p>
    <w:p>
      <w:pPr>
        <w:jc w:val="center"/>
      </w:pPr>
      <w:r>
        <w:drawing>
          <wp:inline xmlns:a="http://schemas.openxmlformats.org/drawingml/2006/main" xmlns:pic="http://schemas.openxmlformats.org/drawingml/2006/picture">
            <wp:extent cx="5303520" cy="2635900"/>
            <wp:docPr id="10" name="Picture 10"/>
            <wp:cNvGraphicFramePr>
              <a:graphicFrameLocks noChangeAspect="1"/>
            </wp:cNvGraphicFramePr>
            <a:graphic>
              <a:graphicData uri="http://schemas.openxmlformats.org/drawingml/2006/picture">
                <pic:pic>
                  <pic:nvPicPr>
                    <pic:cNvPr id="0" name="fig_train_pipeline.png"/>
                    <pic:cNvPicPr/>
                  </pic:nvPicPr>
                  <pic:blipFill>
                    <a:blip r:embed="rId18"/>
                    <a:stretch>
                      <a:fillRect/>
                    </a:stretch>
                  </pic:blipFill>
                  <pic:spPr>
                    <a:xfrm>
                      <a:off x="0" y="0"/>
                      <a:ext cx="5303520" cy="2635900"/>
                    </a:xfrm>
                    <a:prstGeom prst="rect"/>
                  </pic:spPr>
                </pic:pic>
              </a:graphicData>
            </a:graphic>
          </wp:inline>
        </w:drawing>
      </w:r>
    </w:p>
    <w:p>
      <w:pPr>
        <w:jc w:val="center"/>
      </w:pPr>
      <w:r>
        <w:rPr>
          <w:sz w:val="21"/>
        </w:rPr>
        <w:t>图 4-3 项目二 AlexNet 训练与评估流程</w:t>
      </w:r>
    </w:p>
    <w:p>
      <w:pPr>
        <w:pStyle w:val="Heading2"/>
      </w:pPr>
      <w:r>
        <w:t>4.5 模型评估</w:t>
      </w:r>
    </w:p>
    <w:p>
      <w:pPr>
        <w:ind w:firstLine="480"/>
      </w:pPr>
      <w:r>
        <w:t>训练与验证过程的损失、准确率曲线见图 4-4。可见训练初期损失迅速下降、准确率快速提升；随着余弦退火使学习率平滑衰减，后期曲线稳步逼近最优，验证集最高准确率达 0.9457。训练末期训练准确率约 0.975、验证约 0.945，仅存约 3 个百分点的良性差距，未见明显过拟合，表明 BatchNorm、Dropout、权重衰减与数据增强共同构成了有效正则化。</w:t>
      </w:r>
    </w:p>
    <w:p>
      <w:pPr>
        <w:jc w:val="center"/>
      </w:pPr>
      <w:r>
        <w:drawing>
          <wp:inline xmlns:a="http://schemas.openxmlformats.org/drawingml/2006/main" xmlns:pic="http://schemas.openxmlformats.org/drawingml/2006/picture">
            <wp:extent cx="5486400" cy="1995055"/>
            <wp:docPr id="11" name="Picture 11"/>
            <wp:cNvGraphicFramePr>
              <a:graphicFrameLocks noChangeAspect="1"/>
            </wp:cNvGraphicFramePr>
            <a:graphic>
              <a:graphicData uri="http://schemas.openxmlformats.org/drawingml/2006/picture">
                <pic:pic>
                  <pic:nvPicPr>
                    <pic:cNvPr id="0" name="curves.png"/>
                    <pic:cNvPicPr/>
                  </pic:nvPicPr>
                  <pic:blipFill>
                    <a:blip r:embed="rId19"/>
                    <a:stretch>
                      <a:fillRect/>
                    </a:stretch>
                  </pic:blipFill>
                  <pic:spPr>
                    <a:xfrm>
                      <a:off x="0" y="0"/>
                      <a:ext cx="5486400" cy="1995055"/>
                    </a:xfrm>
                    <a:prstGeom prst="rect"/>
                  </pic:spPr>
                </pic:pic>
              </a:graphicData>
            </a:graphic>
          </wp:inline>
        </w:drawing>
      </w:r>
    </w:p>
    <w:p>
      <w:pPr>
        <w:jc w:val="center"/>
      </w:pPr>
      <w:r>
        <w:rPr>
          <w:sz w:val="21"/>
        </w:rPr>
        <w:t>图 4-4 训练/验证 损失与准确率曲线</w:t>
      </w:r>
    </w:p>
    <w:p>
      <w:pPr>
        <w:ind w:firstLine="480"/>
      </w:pPr>
      <w:r>
        <w:t>在 10000 张测试图像上，模型最终准确率为 94.38%，宏平均 F1 为 0.944。除硬分类指标外，模型的宏平均 ROC-AUC 高达 0.9972，Cohen's Kappa 与 MCC 均为 0.938，表明其在概率排序质量与“排除随机猜测”的一致性上同样优异（10 类近乎均衡，故各项与准确率高度吻合）。各类别详细指标见表 4-2，整体混淆情况见图 4-5。</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0.90</w:t>
            </w:r>
          </w:p>
        </w:tc>
        <w:tc>
          <w:tcPr>
            <w:tcW w:type="dxa" w:w="2160"/>
          </w:tcPr>
          <w:p>
            <w:r>
              <w:t>0.90</w:t>
            </w:r>
          </w:p>
        </w:tc>
        <w:tc>
          <w:tcPr>
            <w:tcW w:type="dxa" w:w="2160"/>
          </w:tcPr>
          <w:p>
            <w:r>
              <w:t>0.90</w:t>
            </w:r>
          </w:p>
        </w:tc>
      </w:tr>
      <w:tr>
        <w:tc>
          <w:tcPr>
            <w:tcW w:type="dxa" w:w="2160"/>
          </w:tcPr>
          <w:p>
            <w:r>
              <w:t>裤子</w:t>
            </w:r>
          </w:p>
        </w:tc>
        <w:tc>
          <w:tcPr>
            <w:tcW w:type="dxa" w:w="2160"/>
          </w:tcPr>
          <w:p>
            <w:r>
              <w:t>1.00</w:t>
            </w:r>
          </w:p>
        </w:tc>
        <w:tc>
          <w:tcPr>
            <w:tcW w:type="dxa" w:w="2160"/>
          </w:tcPr>
          <w:p>
            <w:r>
              <w:t>0.99</w:t>
            </w:r>
          </w:p>
        </w:tc>
        <w:tc>
          <w:tcPr>
            <w:tcW w:type="dxa" w:w="2160"/>
          </w:tcPr>
          <w:p>
            <w:r>
              <w:t>1.00</w:t>
            </w:r>
          </w:p>
        </w:tc>
      </w:tr>
      <w:tr>
        <w:tc>
          <w:tcPr>
            <w:tcW w:type="dxa" w:w="2160"/>
          </w:tcPr>
          <w:p>
            <w:r>
              <w:t>套衫</w:t>
            </w:r>
          </w:p>
        </w:tc>
        <w:tc>
          <w:tcPr>
            <w:tcW w:type="dxa" w:w="2160"/>
          </w:tcPr>
          <w:p>
            <w:r>
              <w:t>0.93</w:t>
            </w:r>
          </w:p>
        </w:tc>
        <w:tc>
          <w:tcPr>
            <w:tcW w:type="dxa" w:w="2160"/>
          </w:tcPr>
          <w:p>
            <w:r>
              <w:t>0.91</w:t>
            </w:r>
          </w:p>
        </w:tc>
        <w:tc>
          <w:tcPr>
            <w:tcW w:type="dxa" w:w="2160"/>
          </w:tcPr>
          <w:p>
            <w:r>
              <w:t>0.92</w:t>
            </w:r>
          </w:p>
        </w:tc>
      </w:tr>
      <w:tr>
        <w:tc>
          <w:tcPr>
            <w:tcW w:type="dxa" w:w="2160"/>
          </w:tcPr>
          <w:p>
            <w:r>
              <w:t>连衣裙</w:t>
            </w:r>
          </w:p>
        </w:tc>
        <w:tc>
          <w:tcPr>
            <w:tcW w:type="dxa" w:w="2160"/>
          </w:tcPr>
          <w:p>
            <w:r>
              <w:t>0.94</w:t>
            </w:r>
          </w:p>
        </w:tc>
        <w:tc>
          <w:tcPr>
            <w:tcW w:type="dxa" w:w="2160"/>
          </w:tcPr>
          <w:p>
            <w:r>
              <w:t>0.94</w:t>
            </w:r>
          </w:p>
        </w:tc>
        <w:tc>
          <w:tcPr>
            <w:tcW w:type="dxa" w:w="2160"/>
          </w:tcPr>
          <w:p>
            <w:r>
              <w:t>0.94</w:t>
            </w:r>
          </w:p>
        </w:tc>
      </w:tr>
      <w:tr>
        <w:tc>
          <w:tcPr>
            <w:tcW w:type="dxa" w:w="2160"/>
          </w:tcPr>
          <w:p>
            <w:r>
              <w:t>外套</w:t>
            </w:r>
          </w:p>
        </w:tc>
        <w:tc>
          <w:tcPr>
            <w:tcW w:type="dxa" w:w="2160"/>
          </w:tcPr>
          <w:p>
            <w:r>
              <w:t>0.90</w:t>
            </w:r>
          </w:p>
        </w:tc>
        <w:tc>
          <w:tcPr>
            <w:tcW w:type="dxa" w:w="2160"/>
          </w:tcPr>
          <w:p>
            <w:r>
              <w:t>0.94</w:t>
            </w:r>
          </w:p>
        </w:tc>
        <w:tc>
          <w:tcPr>
            <w:tcW w:type="dxa" w:w="2160"/>
          </w:tcPr>
          <w:p>
            <w:r>
              <w:t>0.92</w:t>
            </w:r>
          </w:p>
        </w:tc>
      </w:tr>
      <w:tr>
        <w:tc>
          <w:tcPr>
            <w:tcW w:type="dxa" w:w="2160"/>
          </w:tcPr>
          <w:p>
            <w:r>
              <w:t>凉鞋</w:t>
            </w:r>
          </w:p>
        </w:tc>
        <w:tc>
          <w:tcPr>
            <w:tcW w:type="dxa" w:w="2160"/>
          </w:tcPr>
          <w:p>
            <w:r>
              <w:t>0.99</w:t>
            </w:r>
          </w:p>
        </w:tc>
        <w:tc>
          <w:tcPr>
            <w:tcW w:type="dxa" w:w="2160"/>
          </w:tcPr>
          <w:p>
            <w:r>
              <w:t>0.99</w:t>
            </w:r>
          </w:p>
        </w:tc>
        <w:tc>
          <w:tcPr>
            <w:tcW w:type="dxa" w:w="2160"/>
          </w:tcPr>
          <w:p>
            <w:r>
              <w:t>0.99</w:t>
            </w:r>
          </w:p>
        </w:tc>
      </w:tr>
      <w:tr>
        <w:tc>
          <w:tcPr>
            <w:tcW w:type="dxa" w:w="2160"/>
          </w:tcPr>
          <w:p>
            <w:r>
              <w:t>衬衫</w:t>
            </w:r>
          </w:p>
        </w:tc>
        <w:tc>
          <w:tcPr>
            <w:tcW w:type="dxa" w:w="2160"/>
          </w:tcPr>
          <w:p>
            <w:r>
              <w:t>0.84</w:t>
            </w:r>
          </w:p>
        </w:tc>
        <w:tc>
          <w:tcPr>
            <w:tcW w:type="dxa" w:w="2160"/>
          </w:tcPr>
          <w:p>
            <w:r>
              <w:t>0.82</w:t>
            </w:r>
          </w:p>
        </w:tc>
        <w:tc>
          <w:tcPr>
            <w:tcW w:type="dxa" w:w="2160"/>
          </w:tcPr>
          <w:p>
            <w:r>
              <w:t>0.83</w:t>
            </w:r>
          </w:p>
        </w:tc>
      </w:tr>
      <w:tr>
        <w:tc>
          <w:tcPr>
            <w:tcW w:type="dxa" w:w="2160"/>
          </w:tcPr>
          <w:p>
            <w:r>
              <w:t>运动鞋</w:t>
            </w:r>
          </w:p>
        </w:tc>
        <w:tc>
          <w:tcPr>
            <w:tcW w:type="dxa" w:w="2160"/>
          </w:tcPr>
          <w:p>
            <w:r>
              <w:t>0.96</w:t>
            </w:r>
          </w:p>
        </w:tc>
        <w:tc>
          <w:tcPr>
            <w:tcW w:type="dxa" w:w="2160"/>
          </w:tcPr>
          <w:p>
            <w:r>
              <w:t>0.98</w:t>
            </w:r>
          </w:p>
        </w:tc>
        <w:tc>
          <w:tcPr>
            <w:tcW w:type="dxa" w:w="2160"/>
          </w:tcPr>
          <w:p>
            <w:r>
              <w:t>0.97</w:t>
            </w:r>
          </w:p>
        </w:tc>
      </w:tr>
      <w:tr>
        <w:tc>
          <w:tcPr>
            <w:tcW w:type="dxa" w:w="2160"/>
          </w:tcPr>
          <w:p>
            <w:r>
              <w:t>包</w:t>
            </w:r>
          </w:p>
        </w:tc>
        <w:tc>
          <w:tcPr>
            <w:tcW w:type="dxa" w:w="2160"/>
          </w:tcPr>
          <w:p>
            <w:r>
              <w:t>0.99</w:t>
            </w:r>
          </w:p>
        </w:tc>
        <w:tc>
          <w:tcPr>
            <w:tcW w:type="dxa" w:w="2160"/>
          </w:tcPr>
          <w:p>
            <w:r>
              <w:t>0.99</w:t>
            </w:r>
          </w:p>
        </w:tc>
        <w:tc>
          <w:tcPr>
            <w:tcW w:type="dxa" w:w="2160"/>
          </w:tcPr>
          <w:p>
            <w:r>
              <w:t>0.99</w:t>
            </w:r>
          </w:p>
        </w:tc>
      </w:tr>
      <w:tr>
        <w:tc>
          <w:tcPr>
            <w:tcW w:type="dxa" w:w="2160"/>
          </w:tcPr>
          <w:p>
            <w:r>
              <w:t>短靴</w:t>
            </w:r>
          </w:p>
        </w:tc>
        <w:tc>
          <w:tcPr>
            <w:tcW w:type="dxa" w:w="2160"/>
          </w:tcPr>
          <w:p>
            <w:r>
              <w:t>0.98</w:t>
            </w:r>
          </w:p>
        </w:tc>
        <w:tc>
          <w:tcPr>
            <w:tcW w:type="dxa" w:w="2160"/>
          </w:tcPr>
          <w:p>
            <w:r>
              <w:t>0.97</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20"/>
                    <a:stretch>
                      <a:fillRect/>
                    </a:stretch>
                  </pic:blipFill>
                  <pic:spPr>
                    <a:xfrm>
                      <a:off x="0" y="0"/>
                      <a:ext cx="4572000" cy="4000500"/>
                    </a:xfrm>
                    <a:prstGeom prst="rect"/>
                  </pic:spPr>
                </pic:pic>
              </a:graphicData>
            </a:graphic>
          </wp:inline>
        </w:drawing>
      </w:r>
    </w:p>
    <w:p>
      <w:pPr>
        <w:jc w:val="center"/>
      </w:pPr>
      <w:r>
        <w:rPr>
          <w:sz w:val="21"/>
        </w:rPr>
        <w:t>图 4-5 AlexNet 测试集混淆矩阵</w:t>
      </w:r>
    </w:p>
    <w:p>
      <w:pPr>
        <w:pStyle w:val="Heading2"/>
      </w:pPr>
      <w:r>
        <w:t>4.6 设计组件的对照实验（固定 15 轮预算）</w:t>
      </w:r>
    </w:p>
    <w:p>
      <w:pPr>
        <w:ind w:firstLine="480"/>
      </w:pPr>
      <w:r>
        <w:t>上节主模型的若干设计（去除 LRN、是否数据增强、网络容量）并非凭经验拍定，而是先通过一组低成本对照快速筛选。为公平比较，这些对照统一采用一个刻意压缩的 15 轮训练预算（其余协议相同：SGD、批大小 128），用较小的算力代价隔离出每个组件的单独作用；需强调的是，15 轮仅是对照用的短预算，并非主模型的训练设置（主模型为 40 轮）。结果见表 4-3 与图 4-6。其中 SimpleCNN 为仅含 3 个卷积块的轻量网络（约 0.39M 参数，直接在 28×28 原图上训练，重复 3 个随机种子取均值±标准差）；AlexNet 则分别测试了含 LRN 的版本、去掉 LRN 的版本，以及在该短预算下分别加入数据增强、标签平滑的版本。</w:t>
      </w:r>
    </w:p>
    <w:p>
      <w:pPr>
        <w:jc w:val="center"/>
      </w:pPr>
      <w:r>
        <w:rPr>
          <w:sz w:val="21"/>
        </w:rPr>
        <w:t>表 4-3 Fashion-MNIST 上的设计组件对照实验结果（固定 15 轮预算）</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 / 配置</w:t>
            </w:r>
          </w:p>
        </w:tc>
        <w:tc>
          <w:tcPr>
            <w:tcW w:type="dxa" w:w="2160"/>
          </w:tcPr>
          <w:p>
            <w:r>
              <w:t>参数量</w:t>
            </w:r>
          </w:p>
        </w:tc>
        <w:tc>
          <w:tcPr>
            <w:tcW w:type="dxa" w:w="2160"/>
          </w:tcPr>
          <w:p>
            <w:r>
              <w:t>测试准确率</w:t>
            </w:r>
          </w:p>
        </w:tc>
        <w:tc>
          <w:tcPr>
            <w:tcW w:type="dxa" w:w="2160"/>
          </w:tcPr>
          <w:p>
            <w:r>
              <w:t>宏平均F1</w:t>
            </w:r>
          </w:p>
        </w:tc>
      </w:tr>
      <w:tr>
        <w:tc>
          <w:tcPr>
            <w:tcW w:type="dxa" w:w="2160"/>
          </w:tcPr>
          <w:p>
            <w:r>
              <w:t>SimpleCNN（轻量基线，3 种子）</w:t>
            </w:r>
          </w:p>
        </w:tc>
        <w:tc>
          <w:tcPr>
            <w:tcW w:type="dxa" w:w="2160"/>
          </w:tcPr>
          <w:p>
            <w:r>
              <w:t>0.39M</w:t>
            </w:r>
          </w:p>
        </w:tc>
        <w:tc>
          <w:tcPr>
            <w:tcW w:type="dxa" w:w="2160"/>
          </w:tcPr>
          <w:p>
            <w:r>
              <w:t>0.9181±0.0015</w:t>
            </w:r>
          </w:p>
        </w:tc>
        <w:tc>
          <w:tcPr>
            <w:tcW w:type="dxa" w:w="2160"/>
          </w:tcPr>
          <w:p>
            <w:r>
              <w:t>0.9171±0.0014</w:t>
            </w:r>
          </w:p>
        </w:tc>
      </w:tr>
      <w:tr>
        <w:tc>
          <w:tcPr>
            <w:tcW w:type="dxa" w:w="2160"/>
          </w:tcPr>
          <w:p>
            <w:r>
              <w:t>AlexNet（含 LRN，无增强）</w:t>
            </w:r>
          </w:p>
        </w:tc>
        <w:tc>
          <w:tcPr>
            <w:tcW w:type="dxa" w:w="2160"/>
          </w:tcPr>
          <w:p>
            <w:r>
              <w:t>58.3M</w:t>
            </w:r>
          </w:p>
        </w:tc>
        <w:tc>
          <w:tcPr>
            <w:tcW w:type="dxa" w:w="2160"/>
          </w:tcPr>
          <w:p>
            <w:r>
              <w:t>0.9183</w:t>
            </w:r>
          </w:p>
        </w:tc>
        <w:tc>
          <w:tcPr>
            <w:tcW w:type="dxa" w:w="2160"/>
          </w:tcPr>
          <w:p>
            <w:r>
              <w:t>0.9179</w:t>
            </w:r>
          </w:p>
        </w:tc>
      </w:tr>
      <w:tr>
        <w:tc>
          <w:tcPr>
            <w:tcW w:type="dxa" w:w="2160"/>
          </w:tcPr>
          <w:p>
            <w:r>
              <w:t>AlexNet（去掉 LRN）</w:t>
            </w:r>
          </w:p>
        </w:tc>
        <w:tc>
          <w:tcPr>
            <w:tcW w:type="dxa" w:w="2160"/>
          </w:tcPr>
          <w:p>
            <w:r>
              <w:t>58.3M</w:t>
            </w:r>
          </w:p>
        </w:tc>
        <w:tc>
          <w:tcPr>
            <w:tcW w:type="dxa" w:w="2160"/>
          </w:tcPr>
          <w:p>
            <w:r>
              <w:t>0.9247</w:t>
            </w:r>
          </w:p>
        </w:tc>
        <w:tc>
          <w:tcPr>
            <w:tcW w:type="dxa" w:w="2160"/>
          </w:tcPr>
          <w:p>
            <w:r>
              <w:t>0.9245</w:t>
            </w:r>
          </w:p>
        </w:tc>
      </w:tr>
      <w:tr>
        <w:tc>
          <w:tcPr>
            <w:tcW w:type="dxa" w:w="2160"/>
          </w:tcPr>
          <w:p>
            <w:r>
              <w:t>AlexNet（+ 数据增强）</w:t>
            </w:r>
          </w:p>
        </w:tc>
        <w:tc>
          <w:tcPr>
            <w:tcW w:type="dxa" w:w="2160"/>
          </w:tcPr>
          <w:p>
            <w:r>
              <w:t>58.3M</w:t>
            </w:r>
          </w:p>
        </w:tc>
        <w:tc>
          <w:tcPr>
            <w:tcW w:type="dxa" w:w="2160"/>
          </w:tcPr>
          <w:p>
            <w:r>
              <w:t>0.9106</w:t>
            </w:r>
          </w:p>
        </w:tc>
        <w:tc>
          <w:tcPr>
            <w:tcW w:type="dxa" w:w="2160"/>
          </w:tcPr>
          <w:p>
            <w:r>
              <w:t>0.9103</w:t>
            </w:r>
          </w:p>
        </w:tc>
      </w:tr>
      <w:tr>
        <w:tc>
          <w:tcPr>
            <w:tcW w:type="dxa" w:w="2160"/>
          </w:tcPr>
          <w:p>
            <w:r>
              <w:t>AlexNet（去 LRN + 标签平滑 0.1）</w:t>
            </w:r>
          </w:p>
        </w:tc>
        <w:tc>
          <w:tcPr>
            <w:tcW w:type="dxa" w:w="2160"/>
          </w:tcPr>
          <w:p>
            <w:r>
              <w:t>58.3M</w:t>
            </w:r>
          </w:p>
        </w:tc>
        <w:tc>
          <w:tcPr>
            <w:tcW w:type="dxa" w:w="2160"/>
          </w:tcPr>
          <w:p>
            <w:r>
              <w:t>0.9226</w:t>
            </w:r>
          </w:p>
        </w:tc>
        <w:tc>
          <w:tcPr>
            <w:tcW w:type="dxa" w:w="2160"/>
          </w:tcPr>
          <w:p>
            <w:r>
              <w:t>0.9224</w:t>
            </w:r>
          </w:p>
        </w:tc>
      </w:tr>
    </w:tbl>
    <w:p>
      <w:pPr>
        <w:jc w:val="center"/>
      </w:pPr>
      <w:r>
        <w:drawing>
          <wp:inline xmlns:a="http://schemas.openxmlformats.org/drawingml/2006/main" xmlns:pic="http://schemas.openxmlformats.org/drawingml/2006/picture">
            <wp:extent cx="4572000" cy="2804160"/>
            <wp:docPr id="13" name="Picture 13"/>
            <wp:cNvGraphicFramePr>
              <a:graphicFrameLocks noChangeAspect="1"/>
            </wp:cNvGraphicFramePr>
            <a:graphic>
              <a:graphicData uri="http://schemas.openxmlformats.org/drawingml/2006/picture">
                <pic:pic>
                  <pic:nvPicPr>
                    <pic:cNvPr id="0" name="exp_compare.png"/>
                    <pic:cNvPicPr/>
                  </pic:nvPicPr>
                  <pic:blipFill>
                    <a:blip r:embed="rId21"/>
                    <a:stretch>
                      <a:fillRect/>
                    </a:stretch>
                  </pic:blipFill>
                  <pic:spPr>
                    <a:xfrm>
                      <a:off x="0" y="0"/>
                      <a:ext cx="4572000" cy="2804160"/>
                    </a:xfrm>
                    <a:prstGeom prst="rect"/>
                  </pic:spPr>
                </pic:pic>
              </a:graphicData>
            </a:graphic>
          </wp:inline>
        </w:drawing>
      </w:r>
    </w:p>
    <w:p>
      <w:pPr>
        <w:jc w:val="center"/>
      </w:pPr>
      <w:r>
        <w:rPr>
          <w:sz w:val="21"/>
        </w:rPr>
        <w:t>图 4-6 不同模型/配置的测试集准确率对比</w:t>
      </w:r>
    </w:p>
    <w:p>
      <w:r>
        <w:t>对照实验得到三点有价值的结论：</w:t>
      </w:r>
    </w:p>
    <w:p>
      <w:r>
        <w:t>（1）模型容量应与数据复杂度相匹配。仅 0.39M 参数的 SimpleCNN 达到了 0.9181 的准确率，与 58.3M 参数的 AlexNet（0.9183）几乎持平。这说明 Fashion-MNIST 本身信息量有限，AlexNet 巨大的参数量在该任务上存在明显冗余；课程要求复现 AlexNet 具有教学价值，但从工程角度看，轻量网络才是该数据集更高性价比的选择。</w:t>
      </w:r>
    </w:p>
    <w:p>
      <w:r>
        <w:t>（2）LRN 并非必要，去掉反而更优。去掉 LRN 后 AlexNet 准确率由 0.9183 提升至 0.9247，与深度学习的发展趋势一致——LRN 在后续的 VGG、ResNet 等网络中已被批归一化（BatchNorm，Ioffe 和 Szegedy, 2015）取代，表明其正则化收益有限，在小数据上甚至可能干扰特征表达。</w:t>
      </w:r>
    </w:p>
    <w:p>
      <w:r>
        <w:t>（3）数据增强的收益依赖训练预算。在该 15 轮短预算下，加入随机翻转与旋转后准确率反降至 0.9106——增强增加了优化难度而模型尚未充分收敛。但这并不意味着增强无用：当训练预算放宽到 40 轮后，同样的增强转为正收益（详见 5.2 节的贡献消融）。这一“增强×训练时长”的交互正是本文据以确定主模型配置（BN+数据增强+40 轮）的依据，也说明对照实验的价值在于厘清各组件的适用条件，而非简单给出“某组件好/坏”的结论。</w:t>
      </w:r>
    </w:p>
    <w:p>
      <w:r>
        <w:t>（4）标签平滑在短预算下未见增益。在去 LRN 配置上加入标签平滑（系数 0.1）后准确率为 0.9226，较未加时的 0.9247 反而略降约 0.2 个百分点。与数据增强类似，标签平滑本质上也是正则化，在 15 轮欠拟合区间内会拖慢收敛；它再次印证“正则化类组件的收益与训练是否充分强相关”，也说明并非任何常见 trick 都能无条件带来提升，这与下一章否证 Focal Loss 的结论一脉相承。</w:t>
      </w:r>
    </w:p>
    <w:p>
      <w:pPr>
        <w:pStyle w:val="Heading2"/>
      </w:pPr>
      <w:r>
        <w:t>4.7 训练效率与计算复杂度</w:t>
      </w:r>
    </w:p>
    <w:p>
      <w:pPr>
        <w:ind w:firstLine="480"/>
      </w:pPr>
      <w:r>
        <w:t>除分类性能外，本节从计算开销角度审视所实现的网络，并报告若干工程优化的实测效果。</w:t>
      </w:r>
    </w:p>
    <w:p>
      <w:r>
        <w:t>（1）计算复杂度对照。表 4-4 对比了主模型 AlexNet（输入 224×224）与轻量 SimpleCNN（输入 28×28）的参数量、单图浮点运算量（FLOPs）与推理延迟。AlexNet 参数量约为 SimpleCNN 的 149 倍、FLOPs 约 135 倍、CPU 单图推理延迟约 10 倍，而二者在 Fashion-MNIST 上准确率却相近（4.6 节）。这从算力角度坐实了前文判断：AlexNet 在该任务上存在显著的容量与计算冗余，将 28×28 强行上采样到 224×224 又进一步放大了卷积层的无效计算；若以部署为目标，轻量网络是性价比更高的选择。</w:t>
      </w:r>
    </w:p>
    <w:p>
      <w:pPr>
        <w:jc w:val="center"/>
      </w:pPr>
      <w:r>
        <w:rPr>
          <w:sz w:val="21"/>
        </w:rPr>
        <w:t>表 4-4 AlexNet 与 SimpleCNN 的计算复杂度对照（batch=1，RTX 4090）</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模型（输入）</w:t>
            </w:r>
          </w:p>
        </w:tc>
        <w:tc>
          <w:tcPr>
            <w:tcW w:type="dxa" w:w="1440"/>
          </w:tcPr>
          <w:p>
            <w:r>
              <w:t>参数量</w:t>
            </w:r>
          </w:p>
        </w:tc>
        <w:tc>
          <w:tcPr>
            <w:tcW w:type="dxa" w:w="1440"/>
          </w:tcPr>
          <w:p>
            <w:r>
              <w:t>FLOPs</w:t>
            </w:r>
          </w:p>
        </w:tc>
        <w:tc>
          <w:tcPr>
            <w:tcW w:type="dxa" w:w="1440"/>
          </w:tcPr>
          <w:p>
            <w:r>
              <w:t>GPU延迟</w:t>
            </w:r>
          </w:p>
        </w:tc>
        <w:tc>
          <w:tcPr>
            <w:tcW w:type="dxa" w:w="1440"/>
          </w:tcPr>
          <w:p>
            <w:r>
              <w:t>CPU延迟</w:t>
            </w:r>
          </w:p>
        </w:tc>
        <w:tc>
          <w:tcPr>
            <w:tcW w:type="dxa" w:w="1440"/>
          </w:tcPr>
          <w:p>
            <w:r>
              <w:t>测试准确率</w:t>
            </w:r>
          </w:p>
        </w:tc>
      </w:tr>
      <w:tr>
        <w:tc>
          <w:tcPr>
            <w:tcW w:type="dxa" w:w="1440"/>
          </w:tcPr>
          <w:p>
            <w:r>
              <w:t>AlexNet（224×224）</w:t>
            </w:r>
          </w:p>
        </w:tc>
        <w:tc>
          <w:tcPr>
            <w:tcW w:type="dxa" w:w="1440"/>
          </w:tcPr>
          <w:p>
            <w:r>
              <w:t>58.30M</w:t>
            </w:r>
          </w:p>
        </w:tc>
        <w:tc>
          <w:tcPr>
            <w:tcW w:type="dxa" w:w="1440"/>
          </w:tcPr>
          <w:p>
            <w:r>
              <w:t>1063.5M</w:t>
            </w:r>
          </w:p>
        </w:tc>
        <w:tc>
          <w:tcPr>
            <w:tcW w:type="dxa" w:w="1440"/>
          </w:tcPr>
          <w:p>
            <w:r>
              <w:t>0.77ms</w:t>
            </w:r>
          </w:p>
        </w:tc>
        <w:tc>
          <w:tcPr>
            <w:tcW w:type="dxa" w:w="1440"/>
          </w:tcPr>
          <w:p>
            <w:r>
              <w:t>15.44ms</w:t>
            </w:r>
          </w:p>
        </w:tc>
        <w:tc>
          <w:tcPr>
            <w:tcW w:type="dxa" w:w="1440"/>
          </w:tcPr>
          <w:p>
            <w:r>
              <w:t>约0.918</w:t>
            </w:r>
          </w:p>
        </w:tc>
      </w:tr>
      <w:tr>
        <w:tc>
          <w:tcPr>
            <w:tcW w:type="dxa" w:w="1440"/>
          </w:tcPr>
          <w:p>
            <w:r>
              <w:t>SimpleCNN（28×28）</w:t>
            </w:r>
          </w:p>
        </w:tc>
        <w:tc>
          <w:tcPr>
            <w:tcW w:type="dxa" w:w="1440"/>
          </w:tcPr>
          <w:p>
            <w:r>
              <w:t>0.39M</w:t>
            </w:r>
          </w:p>
        </w:tc>
        <w:tc>
          <w:tcPr>
            <w:tcW w:type="dxa" w:w="1440"/>
          </w:tcPr>
          <w:p>
            <w:r>
              <w:t>7.9M</w:t>
            </w:r>
          </w:p>
        </w:tc>
        <w:tc>
          <w:tcPr>
            <w:tcW w:type="dxa" w:w="1440"/>
          </w:tcPr>
          <w:p>
            <w:r>
              <w:t>0.45ms</w:t>
            </w:r>
          </w:p>
        </w:tc>
        <w:tc>
          <w:tcPr>
            <w:tcW w:type="dxa" w:w="1440"/>
          </w:tcPr>
          <w:p>
            <w:r>
              <w:t>1.50ms</w:t>
            </w:r>
          </w:p>
        </w:tc>
        <w:tc>
          <w:tcPr>
            <w:tcW w:type="dxa" w:w="1440"/>
          </w:tcPr>
          <w:p>
            <w:r>
              <w:t>约0.918</w:t>
            </w:r>
          </w:p>
        </w:tc>
      </w:tr>
      <w:tr>
        <w:tc>
          <w:tcPr>
            <w:tcW w:type="dxa" w:w="1440"/>
          </w:tcPr>
          <w:p>
            <w:r>
              <w:t>倍数（AlexNet/SimpleCNN）</w:t>
            </w:r>
          </w:p>
        </w:tc>
        <w:tc>
          <w:tcPr>
            <w:tcW w:type="dxa" w:w="1440"/>
          </w:tcPr>
          <w:p>
            <w:r>
              <w:t>×149</w:t>
            </w:r>
          </w:p>
        </w:tc>
        <w:tc>
          <w:tcPr>
            <w:tcW w:type="dxa" w:w="1440"/>
          </w:tcPr>
          <w:p>
            <w:r>
              <w:t>×135</w:t>
            </w:r>
          </w:p>
        </w:tc>
        <w:tc>
          <w:tcPr>
            <w:tcW w:type="dxa" w:w="1440"/>
          </w:tcPr>
          <w:p>
            <w:r>
              <w:t>×1.7</w:t>
            </w:r>
          </w:p>
        </w:tc>
        <w:tc>
          <w:tcPr>
            <w:tcW w:type="dxa" w:w="1440"/>
          </w:tcPr>
          <w:p>
            <w:r>
              <w:t>×10.3</w:t>
            </w:r>
          </w:p>
        </w:tc>
        <w:tc>
          <w:tcPr>
            <w:tcW w:type="dxa" w:w="1440"/>
          </w:tcPr>
          <w:p>
            <w:r>
              <w:t>—</w:t>
            </w:r>
          </w:p>
        </w:tc>
      </w:tr>
    </w:tbl>
    <w:p>
      <w:r>
        <w:t>（注：表中准确率为 15 轮短预算下两网络的对照精度，约 0.918；AlexNet 主模型经 40 轮充分训练后达 94.38%。FLOPs 由 thop 统计单张前向的乘加次数。）</w:t>
      </w:r>
    </w:p>
    <w:p>
      <w:r>
        <w:t>（2）混合精度（AMP）与 cuDNN 自动调优。引入 torch.cuda.amp 自动混合精度（前向反向以半精度为主、关键处保留单精度，并用 GradScaler 防止梯度下溢），配合 cudnn.benchmark 为固定输入尺寸自动挑选最快卷积算法后，主配置下每轮训练时间由约 12.2s 降至约 10.1s（提速约 1.2 倍、节省约 17%），而测试准确率基本不变——半精度未带来可见精度损失。在更深网络或更大批量下该加速更显著。</w:t>
      </w:r>
    </w:p>
    <w:p>
      <w:r>
        <w:t>（3）早停（Early Stopping）。引入基于验证集准确率的早停（patience=5）：验证准确率连续 5 轮不再提升即终止。主配置下模型于第 26 轮达验证最优、第 31 轮触发早停，相比固定 40 轮节省约 22% 训练轮数，对应测试准确率 93.61%。可见早停以约 0.8 个百分点的精度换取可观算力节省——差距源于余弦退火末段（学习率趋近 0）仍能精修出少量提升。故主模型仍采用完整 40 轮以追求峰值精度（94.38%），早停则作为算力受限场景下的高性价比选项。</w:t>
      </w:r>
    </w:p>
    <w:p>
      <w:pPr>
        <w:pStyle w:val="Heading2"/>
      </w:pPr>
      <w:r>
        <w:t>4.8 误差分析</w:t>
      </w:r>
    </w:p>
    <w:p>
      <w:pPr>
        <w:ind w:firstLine="480"/>
      </w:pPr>
      <w:r>
        <w:t>由混淆矩阵（图 4-5）可见，AlexNet 的误差高度集中于四类上装——T恤、套衫、外套、衬衫之间。其中“衬衫”最难识别，其 1000 个测试样本中虽有 819 个被正确识别，仍有 72 个被误判为 T恤、55 个误判为外套、35 个误判为套衫；而“T恤”也有 71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4.9 架构对照拓展：训练技巧的尽头与更优架构</w:t>
      </w:r>
    </w:p>
    <w:p>
      <w:pPr>
        <w:ind w:firstLine="480"/>
      </w:pPr>
      <w:r>
        <w:t>在完成课程规定的手写 AlexNet 主体任务后，我们进一步追问：94.38% 是否已是该任务上限？为此先穷尽训练侧手段——在主模型基础上叠加 MixUp、随机擦除、标签平滑并延长至 80 轮，测试准确率 94.45%；再施以测试时增强（TTA，水平翻转平均）与三模型集成，准确率最高也仅 94.55%（相对主模型 +0.17 个百分点）。各类正交训练技巧的边际收益已基本耗尽，强烈提示瓶颈不在训练、而在架构本身。</w:t>
      </w:r>
    </w:p>
    <w:p>
      <w:pPr>
        <w:ind w:firstLine="480"/>
      </w:pPr>
      <w:r>
        <w:t>AlexNet 为 224×224 自然图像设计：本任务须将 28×28 灰度图上采样 8 倍（不增加任何信息），其 11×11 大卷积核与占绝大部分参数的 4096 维全连接层，对这一简单小图任务都属冗余（见 4.7 节）。为验证判断，我们同样逐层手写了一个小型残差网络（ResNet）作为对照：3×3 小卷积核、残差连接缓解深层退化、全局平均池化替代巨大全连接层，并直接在原生 28×28 上训练，其余训练协议与 AlexNet 主模型一致。</w:t>
      </w:r>
    </w:p>
    <w:p>
      <w:pPr>
        <w:jc w:val="center"/>
      </w:pPr>
      <w:r>
        <w:rPr>
          <w:sz w:val="21"/>
        </w:rPr>
        <w:t>表 4-5 手写 AlexNet 与手写小型 ResNet 的架构对照（测试集）</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指标</w:t>
            </w:r>
          </w:p>
        </w:tc>
        <w:tc>
          <w:tcPr>
            <w:tcW w:type="dxa" w:w="2880"/>
          </w:tcPr>
          <w:p>
            <w:r>
              <w:t>手写 AlexNet（主模型）</w:t>
            </w:r>
          </w:p>
        </w:tc>
        <w:tc>
          <w:tcPr>
            <w:tcW w:type="dxa" w:w="2880"/>
          </w:tcPr>
          <w:p>
            <w:r>
              <w:t>手写小型 ResNet（对照）</w:t>
            </w:r>
          </w:p>
        </w:tc>
      </w:tr>
      <w:tr>
        <w:tc>
          <w:tcPr>
            <w:tcW w:type="dxa" w:w="2880"/>
          </w:tcPr>
          <w:p>
            <w:r>
              <w:t>输入分辨率</w:t>
            </w:r>
          </w:p>
        </w:tc>
        <w:tc>
          <w:tcPr>
            <w:tcW w:type="dxa" w:w="2880"/>
          </w:tcPr>
          <w:p>
            <w:r>
              <w:t>224×224（上采样8倍）</w:t>
            </w:r>
          </w:p>
        </w:tc>
        <w:tc>
          <w:tcPr>
            <w:tcW w:type="dxa" w:w="2880"/>
          </w:tcPr>
          <w:p>
            <w:r>
              <w:t>28×28（原生）</w:t>
            </w:r>
          </w:p>
        </w:tc>
      </w:tr>
      <w:tr>
        <w:tc>
          <w:tcPr>
            <w:tcW w:type="dxa" w:w="2880"/>
          </w:tcPr>
          <w:p>
            <w:r>
              <w:t>参数量</w:t>
            </w:r>
          </w:p>
        </w:tc>
        <w:tc>
          <w:tcPr>
            <w:tcW w:type="dxa" w:w="2880"/>
          </w:tcPr>
          <w:p>
            <w:r>
              <w:t>58.30M</w:t>
            </w:r>
          </w:p>
        </w:tc>
        <w:tc>
          <w:tcPr>
            <w:tcW w:type="dxa" w:w="2880"/>
          </w:tcPr>
          <w:p>
            <w:r>
              <w:t>2.78M（约1/21）</w:t>
            </w:r>
          </w:p>
        </w:tc>
      </w:tr>
      <w:tr>
        <w:tc>
          <w:tcPr>
            <w:tcW w:type="dxa" w:w="2880"/>
          </w:tcPr>
          <w:p>
            <w:r>
              <w:t>FLOPs（单图）</w:t>
            </w:r>
          </w:p>
        </w:tc>
        <w:tc>
          <w:tcPr>
            <w:tcW w:type="dxa" w:w="2880"/>
          </w:tcPr>
          <w:p>
            <w:r>
              <w:t>1063.5M</w:t>
            </w:r>
          </w:p>
        </w:tc>
        <w:tc>
          <w:tcPr>
            <w:tcW w:type="dxa" w:w="2880"/>
          </w:tcPr>
          <w:p>
            <w:r>
              <w:t>323.3M（约1/3.3）</w:t>
            </w:r>
          </w:p>
        </w:tc>
      </w:tr>
      <w:tr>
        <w:tc>
          <w:tcPr>
            <w:tcW w:type="dxa" w:w="2880"/>
          </w:tcPr>
          <w:p>
            <w:r>
              <w:t>测试准确率</w:t>
            </w:r>
          </w:p>
        </w:tc>
        <w:tc>
          <w:tcPr>
            <w:tcW w:type="dxa" w:w="2880"/>
          </w:tcPr>
          <w:p>
            <w:r>
              <w:t>94.38%</w:t>
            </w:r>
          </w:p>
        </w:tc>
        <w:tc>
          <w:tcPr>
            <w:tcW w:type="dxa" w:w="2880"/>
          </w:tcPr>
          <w:p>
            <w:r>
              <w:t>94.92%</w:t>
            </w:r>
          </w:p>
        </w:tc>
      </w:tr>
      <w:tr>
        <w:tc>
          <w:tcPr>
            <w:tcW w:type="dxa" w:w="2880"/>
          </w:tcPr>
          <w:p>
            <w:r>
              <w:t>验证最高准确率</w:t>
            </w:r>
          </w:p>
        </w:tc>
        <w:tc>
          <w:tcPr>
            <w:tcW w:type="dxa" w:w="2880"/>
          </w:tcPr>
          <w:p>
            <w:r>
              <w:t>94.57%</w:t>
            </w:r>
          </w:p>
        </w:tc>
        <w:tc>
          <w:tcPr>
            <w:tcW w:type="dxa" w:w="2880"/>
          </w:tcPr>
          <w:p>
            <w:r>
              <w:t>95.15%</w:t>
            </w:r>
          </w:p>
        </w:tc>
      </w:tr>
      <w:tr>
        <w:tc>
          <w:tcPr>
            <w:tcW w:type="dxa" w:w="2880"/>
          </w:tcPr>
          <w:p>
            <w:r>
              <w:t>宏平均F1</w:t>
            </w:r>
          </w:p>
        </w:tc>
        <w:tc>
          <w:tcPr>
            <w:tcW w:type="dxa" w:w="2880"/>
          </w:tcPr>
          <w:p>
            <w:r>
              <w:t>0.9437</w:t>
            </w:r>
          </w:p>
        </w:tc>
        <w:tc>
          <w:tcPr>
            <w:tcW w:type="dxa" w:w="2880"/>
          </w:tcPr>
          <w:p>
            <w:r>
              <w:t>0.949</w:t>
            </w:r>
          </w:p>
        </w:tc>
      </w:tr>
      <w:tr>
        <w:tc>
          <w:tcPr>
            <w:tcW w:type="dxa" w:w="2880"/>
          </w:tcPr>
          <w:p>
            <w:r>
              <w:t>Cohen's Kappa / MCC</w:t>
            </w:r>
          </w:p>
        </w:tc>
        <w:tc>
          <w:tcPr>
            <w:tcW w:type="dxa" w:w="2880"/>
          </w:tcPr>
          <w:p>
            <w:r>
              <w:t>0.938</w:t>
            </w:r>
          </w:p>
        </w:tc>
        <w:tc>
          <w:tcPr>
            <w:tcW w:type="dxa" w:w="2880"/>
          </w:tcPr>
          <w:p>
            <w:r>
              <w:t>0.944</w:t>
            </w:r>
          </w:p>
        </w:tc>
      </w:tr>
      <w:tr>
        <w:tc>
          <w:tcPr>
            <w:tcW w:type="dxa" w:w="2880"/>
          </w:tcPr>
          <w:p>
            <w:r>
              <w:t>衬衫类F1（最难类）</w:t>
            </w:r>
          </w:p>
        </w:tc>
        <w:tc>
          <w:tcPr>
            <w:tcW w:type="dxa" w:w="2880"/>
          </w:tcPr>
          <w:p>
            <w:r>
              <w:t>0.83</w:t>
            </w:r>
          </w:p>
        </w:tc>
        <w:tc>
          <w:tcPr>
            <w:tcW w:type="dxa" w:w="2880"/>
          </w:tcPr>
          <w:p>
            <w:r>
              <w:t>0.846</w:t>
            </w:r>
          </w:p>
        </w:tc>
      </w:tr>
    </w:tbl>
    <w:p>
      <w:pPr>
        <w:jc w:val="center"/>
      </w:pPr>
      <w:r>
        <w:drawing>
          <wp:inline xmlns:a="http://schemas.openxmlformats.org/drawingml/2006/main" xmlns:pic="http://schemas.openxmlformats.org/drawingml/2006/picture">
            <wp:extent cx="4937760" cy="1975104"/>
            <wp:docPr id="14" name="Picture 14"/>
            <wp:cNvGraphicFramePr>
              <a:graphicFrameLocks noChangeAspect="1"/>
            </wp:cNvGraphicFramePr>
            <a:graphic>
              <a:graphicData uri="http://schemas.openxmlformats.org/drawingml/2006/picture">
                <pic:pic>
                  <pic:nvPicPr>
                    <pic:cNvPr id="0" name="arch_compare.png"/>
                    <pic:cNvPicPr/>
                  </pic:nvPicPr>
                  <pic:blipFill>
                    <a:blip r:embed="rId22"/>
                    <a:stretch>
                      <a:fillRect/>
                    </a:stretch>
                  </pic:blipFill>
                  <pic:spPr>
                    <a:xfrm>
                      <a:off x="0" y="0"/>
                      <a:ext cx="4937760" cy="1975104"/>
                    </a:xfrm>
                    <a:prstGeom prst="rect"/>
                  </pic:spPr>
                </pic:pic>
              </a:graphicData>
            </a:graphic>
          </wp:inline>
        </w:drawing>
      </w:r>
    </w:p>
    <w:p>
      <w:pPr>
        <w:jc w:val="center"/>
      </w:pPr>
      <w:r>
        <w:rPr>
          <w:sz w:val="21"/>
        </w:rPr>
        <w:t>图 4-7 架构对照：小型 ResNet 以约 1/21 参数反超 AlexNet</w:t>
      </w:r>
    </w:p>
    <w:p>
      <w:pPr>
        <w:ind w:firstLine="480"/>
      </w:pPr>
      <w:r>
        <w:t>结果显示：小型 ResNet 在每一项指标上均超过 AlexNet（测试准确率 94.38%→94.92%，测试误差相对降低约 10%；连最难的衬衫类 F1 也由 0.83 升至 0.846），而参数量仅为 AlexNet 的约 1/21、计算量约 1/3.3。这实证了前文判断：限制性能的主要因素是架构而非训练技巧或数据集天花板——残差连接、全局平均池化与原生分辨率输入，使一个小得多的网络反而又快又准。需强调的是，本拓展并非以 ResNet 取代 AlexNet：手写 AlexNet 仍是本项目的规定主体与分析对象，此处对照旨在从架构层面理解 AlexNet 的局限，体现“知其然亦知其所以然”的探究态度。</w:t>
      </w:r>
    </w:p>
    <w:p>
      <w:pPr>
        <w:pStyle w:val="Heading2"/>
      </w:pPr>
      <w:r>
        <w:t>4.10 本章小结</w:t>
      </w:r>
    </w:p>
    <w:p>
      <w:pPr>
        <w:ind w:firstLine="480"/>
      </w:pPr>
      <w:r>
        <w:t>手写 AlexNet 经 BatchNorm+余弦退火+数据增强充分训练后，在 Fashion-MNIST 上取得了 94.38% 的测试准确率，验证了所实现网络的正确性与有效性。从混淆矩阵与各类指标看，“裤子”“包”“凉鞋”“短靴”等形态独特的类别识别率接近完美（F1≥0.97），而“衬衫”类仍是最易混淆者（F1 约 0.83），主要与“T恤”“套衫”“外套”相互误判——这些上装在低分辨率灰度图下轮廓与纹理高度相似，是 Fashion-MNIST 公认的识别难点。各设计组件对该结果的具体贡献，将在第 5 章通过消融实验定量剖析。此外，4.9 节的架构对照表明，在穷尽训练技巧（最高 94.55%）后，改用手写小型 ResNet 即以约 1/21 参数反超至 94.92%，揭示限制 AlexNet 的根本在于其面向大图设计的架构与本任务不匹配。</w:t>
      </w:r>
    </w:p>
    <w:p>
      <w:r>
        <w:br w:type="page"/>
      </w:r>
    </w:p>
    <w:p>
      <w:pPr>
        <w:pStyle w:val="Heading1"/>
      </w:pPr>
      <w:r>
        <w:t>第5章 核心创新：误差驱动的针对性改进</w:t>
      </w:r>
    </w:p>
    <w:p>
      <w:pPr>
        <w:ind w:firstLine="480"/>
      </w:pPr>
      <w:r>
        <w:t>本章是本报告的核心创新点。不同于一般实训“跑通模型、报告精度”即止，本文提出并实践一套“诊断—改进—验证”闭环方法论：先借助混淆矩阵诊断系统性错误的根因，再针对根因提出改进方案，最后用实验量化验证改进是否有效。该方法论在两个项目上分别落地。</w:t>
      </w:r>
    </w:p>
    <w:p>
      <w:pPr>
        <w:pStyle w:val="Heading2"/>
      </w:pPr>
      <w:r>
        <w:t>5.1 项目一改进：从分类到有序回归</w:t>
      </w:r>
    </w:p>
    <w:p>
      <w:pPr>
        <w:ind w:firstLine="480"/>
      </w:pPr>
      <w:r>
        <w:t>诊断：红酒任务的误差几乎全部是“邻级混淆”——质量本质是有序变量，相邻等级难以区分，而“差↔好”这种跨级严重误判极少。改进：据此将任务由直接三分类改为有序回归→分级——用随机森林回归器预测连续质量分，再四舍五入归并到差/中/好三级，使模型显式利用等级的有序性。验证：除准确率、宏 F1 外，引入两个面向有序性的指标——“严重误判数”（真实与预测相差 2 级，即差↔好的个数）与“有序 MAE”（预测类与真实类之差的平均绝对值），结果见表 5-1 与图 5-1。</w:t>
      </w:r>
    </w:p>
    <w:p>
      <w:pPr>
        <w:jc w:val="center"/>
      </w:pPr>
      <w:r>
        <w:rPr>
          <w:sz w:val="21"/>
        </w:rPr>
        <w:t>表 5-1 有序回归改进与直接分类的对比</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方法</w:t>
            </w:r>
          </w:p>
        </w:tc>
        <w:tc>
          <w:tcPr>
            <w:tcW w:type="dxa" w:w="1440"/>
          </w:tcPr>
          <w:p>
            <w:r>
              <w:t>准确率</w:t>
            </w:r>
          </w:p>
        </w:tc>
        <w:tc>
          <w:tcPr>
            <w:tcW w:type="dxa" w:w="1440"/>
          </w:tcPr>
          <w:p>
            <w:r>
              <w:t>宏平均F1</w:t>
            </w:r>
          </w:p>
        </w:tc>
        <w:tc>
          <w:tcPr>
            <w:tcW w:type="dxa" w:w="1440"/>
          </w:tcPr>
          <w:p>
            <w:r>
              <w:t>二次加权Kappa</w:t>
            </w:r>
          </w:p>
        </w:tc>
        <w:tc>
          <w:tcPr>
            <w:tcW w:type="dxa" w:w="1440"/>
          </w:tcPr>
          <w:p>
            <w:r>
              <w:t>严重误判数</w:t>
            </w:r>
          </w:p>
        </w:tc>
        <w:tc>
          <w:tcPr>
            <w:tcW w:type="dxa" w:w="1440"/>
          </w:tcPr>
          <w:p>
            <w:r>
              <w:t>有序MAE</w:t>
            </w:r>
          </w:p>
        </w:tc>
      </w:tr>
      <w:tr>
        <w:tc>
          <w:tcPr>
            <w:tcW w:type="dxa" w:w="1440"/>
          </w:tcPr>
          <w:p>
            <w:r>
              <w:t>直接分类（随机森林）</w:t>
            </w:r>
          </w:p>
        </w:tc>
        <w:tc>
          <w:tcPr>
            <w:tcW w:type="dxa" w:w="1440"/>
          </w:tcPr>
          <w:p>
            <w:r>
              <w:t>0.7347</w:t>
            </w:r>
          </w:p>
        </w:tc>
        <w:tc>
          <w:tcPr>
            <w:tcW w:type="dxa" w:w="1440"/>
          </w:tcPr>
          <w:p>
            <w:r>
              <w:t>0.7336</w:t>
            </w:r>
          </w:p>
        </w:tc>
        <w:tc>
          <w:tcPr>
            <w:tcW w:type="dxa" w:w="1440"/>
          </w:tcPr>
          <w:p>
            <w:r>
              <w:t>0.7200</w:t>
            </w:r>
          </w:p>
        </w:tc>
        <w:tc>
          <w:tcPr>
            <w:tcW w:type="dxa" w:w="1440"/>
          </w:tcPr>
          <w:p>
            <w:r>
              <w:t>7</w:t>
            </w:r>
          </w:p>
        </w:tc>
        <w:tc>
          <w:tcPr>
            <w:tcW w:type="dxa" w:w="1440"/>
          </w:tcPr>
          <w:p>
            <w:r>
              <w:t>0.2724</w:t>
            </w:r>
          </w:p>
        </w:tc>
      </w:tr>
      <w:tr>
        <w:tc>
          <w:tcPr>
            <w:tcW w:type="dxa" w:w="1440"/>
          </w:tcPr>
          <w:p>
            <w:r>
              <w:t>有序回归→分级</w:t>
            </w:r>
          </w:p>
        </w:tc>
        <w:tc>
          <w:tcPr>
            <w:tcW w:type="dxa" w:w="1440"/>
          </w:tcPr>
          <w:p>
            <w:r>
              <w:t>0.7571</w:t>
            </w:r>
          </w:p>
        </w:tc>
        <w:tc>
          <w:tcPr>
            <w:tcW w:type="dxa" w:w="1440"/>
          </w:tcPr>
          <w:p>
            <w:r>
              <w:t>0.7533</w:t>
            </w:r>
          </w:p>
        </w:tc>
        <w:tc>
          <w:tcPr>
            <w:tcW w:type="dxa" w:w="1440"/>
          </w:tcPr>
          <w:p>
            <w:r>
              <w:t>0.7411</w:t>
            </w:r>
          </w:p>
        </w:tc>
        <w:tc>
          <w:tcPr>
            <w:tcW w:type="dxa" w:w="1440"/>
          </w:tcPr>
          <w:p>
            <w:r>
              <w:t>4</w:t>
            </w:r>
          </w:p>
        </w:tc>
        <w:tc>
          <w:tcPr>
            <w:tcW w:type="dxa" w:w="1440"/>
          </w:tcPr>
          <w:p>
            <w:r>
              <w:t>0.2469</w:t>
            </w:r>
          </w:p>
        </w:tc>
      </w:tr>
    </w:tbl>
    <w:p>
      <w:pPr>
        <w:jc w:val="center"/>
      </w:pPr>
      <w:r>
        <w:drawing>
          <wp:inline xmlns:a="http://schemas.openxmlformats.org/drawingml/2006/main" xmlns:pic="http://schemas.openxmlformats.org/drawingml/2006/picture">
            <wp:extent cx="3108960" cy="2487168"/>
            <wp:docPr id="15" name="Picture 15"/>
            <wp:cNvGraphicFramePr>
              <a:graphicFrameLocks noChangeAspect="1"/>
            </wp:cNvGraphicFramePr>
            <a:graphic>
              <a:graphicData uri="http://schemas.openxmlformats.org/drawingml/2006/picture">
                <pic:pic>
                  <pic:nvPicPr>
                    <pic:cNvPr id="0" name="ordinal_improvement.png"/>
                    <pic:cNvPicPr/>
                  </pic:nvPicPr>
                  <pic:blipFill>
                    <a:blip r:embed="rId23"/>
                    <a:stretch>
                      <a:fillRect/>
                    </a:stretch>
                  </pic:blipFill>
                  <pic:spPr>
                    <a:xfrm>
                      <a:off x="0" y="0"/>
                      <a:ext cx="3108960" cy="2487168"/>
                    </a:xfrm>
                    <a:prstGeom prst="rect"/>
                  </pic:spPr>
                </pic:pic>
              </a:graphicData>
            </a:graphic>
          </wp:inline>
        </w:drawing>
      </w:r>
    </w:p>
    <w:p>
      <w:pPr>
        <w:jc w:val="center"/>
      </w:pPr>
      <w:r>
        <w:rPr>
          <w:sz w:val="21"/>
        </w:rPr>
        <w:t>图 5-1 有序回归→分级显著减少严重误判（差↔好）</w:t>
      </w:r>
    </w:p>
    <w:p>
      <w:pPr>
        <w:ind w:firstLine="480"/>
      </w:pPr>
      <w:r>
        <w:t>改进取得全面提升：准确率 0.7347→0.7571，宏 F1 0.7336→0.7533，二次加权 Kappa 0.7200→0.7411，尤其严重误判数由 7 降至 4、有序 MAE 同步下降。这验证了“显式建模标签有序性”的有效性，体现了从误差分析出发指导建模的科学方法。</w:t>
      </w:r>
    </w:p>
    <w:p>
      <w:pPr>
        <w:pStyle w:val="Heading2"/>
      </w:pPr>
      <w:r>
        <w:t>5.2 项目二的组件贡献消融：拆解 94.38% 的来源</w:t>
      </w:r>
    </w:p>
    <w:p>
      <w:pPr>
        <w:ind w:firstLine="480"/>
      </w:pPr>
      <w:r>
        <w:t>第 4 章的主模型在测试集上达到 94.38%。一个自然的科学问题是：这一性能分别由哪些设计要素贡献？为此本节做一组受控消融——从一个刻意压缩的最小配置（15 轮、LRN、无增强）出发，逐一加入“更充分的训练”“BatchNorm”“数据增强”三个要素，观察每一步的边际贡献，结果见表 5-2 与图 5-2。需要说明的是，最小配置的 15 轮属于欠拟合的下界对照——网络在该预算下尚未收敛是预期之中、而非需要“发现”的现象；列出它只是为消融提供干净的参照起点，而非把它当作被刻意压低以衬托改进的“弱基线”。</w:t>
      </w:r>
    </w:p>
    <w:p>
      <w:pPr>
        <w:jc w:val="center"/>
      </w:pPr>
      <w:r>
        <w:rPr>
          <w:sz w:val="21"/>
        </w:rPr>
        <w:t>表 5-2 AlexNet 组件消融：逐项加入设计要素对测试性能的边际贡献</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配置</w:t>
            </w:r>
          </w:p>
        </w:tc>
        <w:tc>
          <w:tcPr>
            <w:tcW w:type="dxa" w:w="1728"/>
          </w:tcPr>
          <w:p>
            <w:r>
              <w:t>测试准确率</w:t>
            </w:r>
          </w:p>
        </w:tc>
        <w:tc>
          <w:tcPr>
            <w:tcW w:type="dxa" w:w="1728"/>
          </w:tcPr>
          <w:p>
            <w:r>
              <w:t>宏平均F1</w:t>
            </w:r>
          </w:p>
        </w:tc>
        <w:tc>
          <w:tcPr>
            <w:tcW w:type="dxa" w:w="1728"/>
          </w:tcPr>
          <w:p>
            <w:r>
              <w:t>衬衫类F1</w:t>
            </w:r>
          </w:p>
        </w:tc>
        <w:tc>
          <w:tcPr>
            <w:tcW w:type="dxa" w:w="1728"/>
          </w:tcPr>
          <w:p>
            <w:r>
              <w:t>较上一行</w:t>
            </w:r>
          </w:p>
        </w:tc>
      </w:tr>
      <w:tr>
        <w:tc>
          <w:tcPr>
            <w:tcW w:type="dxa" w:w="1728"/>
          </w:tcPr>
          <w:p>
            <w:r>
              <w:t>最小配置（15轮，LRN，欠拟合下界对照）</w:t>
            </w:r>
          </w:p>
        </w:tc>
        <w:tc>
          <w:tcPr>
            <w:tcW w:type="dxa" w:w="1728"/>
          </w:tcPr>
          <w:p>
            <w:r>
              <w:t>0.9155</w:t>
            </w:r>
          </w:p>
        </w:tc>
        <w:tc>
          <w:tcPr>
            <w:tcW w:type="dxa" w:w="1728"/>
          </w:tcPr>
          <w:p>
            <w:r>
              <w:t>0.9153</w:t>
            </w:r>
          </w:p>
        </w:tc>
        <w:tc>
          <w:tcPr>
            <w:tcW w:type="dxa" w:w="1728"/>
          </w:tcPr>
          <w:p>
            <w:r>
              <w:t>0.77</w:t>
            </w:r>
          </w:p>
        </w:tc>
        <w:tc>
          <w:tcPr>
            <w:tcW w:type="dxa" w:w="1728"/>
          </w:tcPr>
          <w:p>
            <w:r>
              <w:t>—</w:t>
            </w:r>
          </w:p>
        </w:tc>
      </w:tr>
      <w:tr>
        <w:tc>
          <w:tcPr>
            <w:tcW w:type="dxa" w:w="1728"/>
          </w:tcPr>
          <w:p>
            <w:r>
              <w:t>+ 充分训练（40轮，余弦退火）</w:t>
            </w:r>
          </w:p>
        </w:tc>
        <w:tc>
          <w:tcPr>
            <w:tcW w:type="dxa" w:w="1728"/>
          </w:tcPr>
          <w:p>
            <w:r>
              <w:t>0.9314</w:t>
            </w:r>
          </w:p>
        </w:tc>
        <w:tc>
          <w:tcPr>
            <w:tcW w:type="dxa" w:w="1728"/>
          </w:tcPr>
          <w:p>
            <w:r>
              <w:t>0.9311</w:t>
            </w:r>
          </w:p>
        </w:tc>
        <w:tc>
          <w:tcPr>
            <w:tcW w:type="dxa" w:w="1728"/>
          </w:tcPr>
          <w:p>
            <w:r>
              <w:t>0.79</w:t>
            </w:r>
          </w:p>
        </w:tc>
        <w:tc>
          <w:tcPr>
            <w:tcW w:type="dxa" w:w="1728"/>
          </w:tcPr>
          <w:p>
            <w:r>
              <w:t>+1.59</w:t>
            </w:r>
          </w:p>
        </w:tc>
      </w:tr>
      <w:tr>
        <w:tc>
          <w:tcPr>
            <w:tcW w:type="dxa" w:w="1728"/>
          </w:tcPr>
          <w:p>
            <w:r>
              <w:t>+ BatchNorm 替代 LRN</w:t>
            </w:r>
          </w:p>
        </w:tc>
        <w:tc>
          <w:tcPr>
            <w:tcW w:type="dxa" w:w="1728"/>
          </w:tcPr>
          <w:p>
            <w:r>
              <w:t>0.9432</w:t>
            </w:r>
          </w:p>
        </w:tc>
        <w:tc>
          <w:tcPr>
            <w:tcW w:type="dxa" w:w="1728"/>
          </w:tcPr>
          <w:p>
            <w:r>
              <w:t>0.9429</w:t>
            </w:r>
          </w:p>
        </w:tc>
        <w:tc>
          <w:tcPr>
            <w:tcW w:type="dxa" w:w="1728"/>
          </w:tcPr>
          <w:p>
            <w:r>
              <w:t>0.83</w:t>
            </w:r>
          </w:p>
        </w:tc>
        <w:tc>
          <w:tcPr>
            <w:tcW w:type="dxa" w:w="1728"/>
          </w:tcPr>
          <w:p>
            <w:r>
              <w:t>+1.18</w:t>
            </w:r>
          </w:p>
        </w:tc>
      </w:tr>
      <w:tr>
        <w:tc>
          <w:tcPr>
            <w:tcW w:type="dxa" w:w="1728"/>
          </w:tcPr>
          <w:p>
            <w:r>
              <w:t>+ 数据增强（即主模型）</w:t>
            </w:r>
          </w:p>
        </w:tc>
        <w:tc>
          <w:tcPr>
            <w:tcW w:type="dxa" w:w="1728"/>
          </w:tcPr>
          <w:p>
            <w:r>
              <w:t>0.9438</w:t>
            </w:r>
          </w:p>
        </w:tc>
        <w:tc>
          <w:tcPr>
            <w:tcW w:type="dxa" w:w="1728"/>
          </w:tcPr>
          <w:p>
            <w:r>
              <w:t>0.9437</w:t>
            </w:r>
          </w:p>
        </w:tc>
        <w:tc>
          <w:tcPr>
            <w:tcW w:type="dxa" w:w="1728"/>
          </w:tcPr>
          <w:p>
            <w:r>
              <w:t>0.83</w:t>
            </w:r>
          </w:p>
        </w:tc>
        <w:tc>
          <w:tcPr>
            <w:tcW w:type="dxa" w:w="1728"/>
          </w:tcPr>
          <w:p>
            <w:r>
              <w:t>+0.06</w:t>
            </w:r>
          </w:p>
        </w:tc>
      </w:tr>
    </w:tbl>
    <w:p>
      <w:pPr>
        <w:jc w:val="center"/>
      </w:pPr>
      <w:r>
        <w:drawing>
          <wp:inline xmlns:a="http://schemas.openxmlformats.org/drawingml/2006/main" xmlns:pic="http://schemas.openxmlformats.org/drawingml/2006/picture">
            <wp:extent cx="5120640" cy="2731825"/>
            <wp:docPr id="16" name="Picture 16"/>
            <wp:cNvGraphicFramePr>
              <a:graphicFrameLocks noChangeAspect="1"/>
            </wp:cNvGraphicFramePr>
            <a:graphic>
              <a:graphicData uri="http://schemas.openxmlformats.org/drawingml/2006/picture">
                <pic:pic>
                  <pic:nvPicPr>
                    <pic:cNvPr id="0" name="fig_contrib.png"/>
                    <pic:cNvPicPr/>
                  </pic:nvPicPr>
                  <pic:blipFill>
                    <a:blip r:embed="rId24"/>
                    <a:stretch>
                      <a:fillRect/>
                    </a:stretch>
                  </pic:blipFill>
                  <pic:spPr>
                    <a:xfrm>
                      <a:off x="0" y="0"/>
                      <a:ext cx="5120640" cy="2731825"/>
                    </a:xfrm>
                    <a:prstGeom prst="rect"/>
                  </pic:spPr>
                </pic:pic>
              </a:graphicData>
            </a:graphic>
          </wp:inline>
        </w:drawing>
      </w:r>
    </w:p>
    <w:p>
      <w:pPr>
        <w:jc w:val="center"/>
      </w:pPr>
      <w:r>
        <w:rPr>
          <w:sz w:val="21"/>
        </w:rPr>
        <w:t>图 5-2 组件消融：充分训练、BatchNorm、数据增强对测试准确率的逐项贡献</w:t>
      </w:r>
    </w:p>
    <w:p>
      <w:pPr>
        <w:ind w:firstLine="480"/>
      </w:pPr>
      <w:r>
        <w:t>消融结果给出清晰的贡献排序：BatchNorm 是单步贡献最大的要素（+1.18 个百分点），它通过稳定各层输入分布显著改善了对视觉相似上装的特征表达，使最难的“衬衫”类 F1 由 0.79 提升至 0.83；其次是充分训练（+1.59，但这只是把欠拟合补足到正常水平，属基本功而非创新）。数据增强在 40 轮下边际贡献虽小（+0.06），但其意义在于方向性的反转：4.6 节中它在 15 轮预算下还是负收益（0.9183→0.9106），充分训练后转为正收益——这一“增强×训练时长”的交互，正是不能脱离训练预算孤立评判某个技巧好坏的实证。综合来看，本任务的性能瓶颈在于特征表达能力（BN 收益最大），而非损失函数或样本加权。</w:t>
      </w:r>
    </w:p>
    <w:p>
      <w:pPr>
        <w:pStyle w:val="Heading2"/>
      </w:pPr>
      <w:r>
        <w:t>5.3 对照与可解释性：为什么是 BatchNorm 而非 Focal Loss</w:t>
      </w:r>
    </w:p>
    <w:p>
      <w:pPr>
        <w:ind w:firstLine="480"/>
      </w:pPr>
      <w:r>
        <w:t>作为对照，验证一个被否证的猜想：既然误差集中于上装，是否可用聚焦难分样本的 Focal Loss 解决？结果（表 5-3）显示其不升反降——说明困难并非源于样本难易不平衡（Fashion-MNIST 各类样本完全均衡），而是源于特征本身。</w:t>
      </w:r>
    </w:p>
    <w:p>
      <w:pPr>
        <w:jc w:val="center"/>
      </w:pPr>
      <w:r>
        <w:rPr>
          <w:sz w:val="21"/>
        </w:rPr>
        <w:t>表 5-3 被否证的对照：Focal Loss 与交叉熵（去 LRN，15 轮）</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损失函数</w:t>
            </w:r>
          </w:p>
        </w:tc>
        <w:tc>
          <w:tcPr>
            <w:tcW w:type="dxa" w:w="1728"/>
          </w:tcPr>
          <w:p>
            <w:r>
              <w:t>测试准确率</w:t>
            </w:r>
          </w:p>
        </w:tc>
        <w:tc>
          <w:tcPr>
            <w:tcW w:type="dxa" w:w="1728"/>
          </w:tcPr>
          <w:p>
            <w:r>
              <w:t>宏平均F1</w:t>
            </w:r>
          </w:p>
        </w:tc>
        <w:tc>
          <w:tcPr>
            <w:tcW w:type="dxa" w:w="1728"/>
          </w:tcPr>
          <w:p>
            <w:r>
              <w:t>衬衫类F1</w:t>
            </w:r>
          </w:p>
        </w:tc>
        <w:tc>
          <w:tcPr>
            <w:tcW w:type="dxa" w:w="1728"/>
          </w:tcPr>
          <w:p>
            <w:r>
              <w:t>外套类F1</w:t>
            </w:r>
          </w:p>
        </w:tc>
      </w:tr>
      <w:tr>
        <w:tc>
          <w:tcPr>
            <w:tcW w:type="dxa" w:w="1728"/>
          </w:tcPr>
          <w:p>
            <w:r>
              <w:t>交叉熵（CE）</w:t>
            </w:r>
          </w:p>
        </w:tc>
        <w:tc>
          <w:tcPr>
            <w:tcW w:type="dxa" w:w="1728"/>
          </w:tcPr>
          <w:p>
            <w:r>
              <w:t>0.9247</w:t>
            </w:r>
          </w:p>
        </w:tc>
        <w:tc>
          <w:tcPr>
            <w:tcW w:type="dxa" w:w="1728"/>
          </w:tcPr>
          <w:p>
            <w:r>
              <w:t>0.9245</w:t>
            </w:r>
          </w:p>
        </w:tc>
        <w:tc>
          <w:tcPr>
            <w:tcW w:type="dxa" w:w="1728"/>
          </w:tcPr>
          <w:p>
            <w:r>
              <w:t>0.77</w:t>
            </w:r>
          </w:p>
        </w:tc>
        <w:tc>
          <w:tcPr>
            <w:tcW w:type="dxa" w:w="1728"/>
          </w:tcPr>
          <w:p>
            <w:r>
              <w:t>0.88</w:t>
            </w:r>
          </w:p>
        </w:tc>
      </w:tr>
      <w:tr>
        <w:tc>
          <w:tcPr>
            <w:tcW w:type="dxa" w:w="1728"/>
          </w:tcPr>
          <w:p>
            <w:r>
              <w:t>Focal Loss</w:t>
            </w:r>
          </w:p>
        </w:tc>
        <w:tc>
          <w:tcPr>
            <w:tcW w:type="dxa" w:w="1728"/>
          </w:tcPr>
          <w:p>
            <w:r>
              <w:t>0.9167</w:t>
            </w:r>
          </w:p>
        </w:tc>
        <w:tc>
          <w:tcPr>
            <w:tcW w:type="dxa" w:w="1728"/>
          </w:tcPr>
          <w:p>
            <w:r>
              <w:t>0.9163</w:t>
            </w:r>
          </w:p>
        </w:tc>
        <w:tc>
          <w:tcPr>
            <w:tcW w:type="dxa" w:w="1728"/>
          </w:tcPr>
          <w:p>
            <w:r>
              <w:t>0.75</w:t>
            </w:r>
          </w:p>
        </w:tc>
        <w:tc>
          <w:tcPr>
            <w:tcW w:type="dxa" w:w="1728"/>
          </w:tcPr>
          <w:p>
            <w:r>
              <w:t>0.86</w:t>
            </w:r>
          </w:p>
        </w:tc>
      </w:tr>
    </w:tbl>
    <w:p>
      <w:pPr>
        <w:ind w:firstLine="480"/>
      </w:pPr>
      <w:r>
        <w:t>为佐证“瓶颈在特征”，用 Grad-CAM 可视化模型判别依据（图 5-3）：注意力主要落在服饰主体轮廓，对区分上装所需的细粒度局部缺乏聚焦。这恰好解释了为何增强特征表达的 BatchNorm 有效、而仅调整样本权重的 Focal Loss 无效——两条对照路径与可解释性证据相互印证，构成完整的因果闭环。</w:t>
      </w:r>
    </w:p>
    <w:p>
      <w:pPr>
        <w:jc w:val="center"/>
      </w:pPr>
      <w:r>
        <w:drawing>
          <wp:inline xmlns:a="http://schemas.openxmlformats.org/drawingml/2006/main" xmlns:pic="http://schemas.openxmlformats.org/drawingml/2006/picture">
            <wp:extent cx="5120640" cy="1862051"/>
            <wp:docPr id="17" name="Picture 17"/>
            <wp:cNvGraphicFramePr>
              <a:graphicFrameLocks noChangeAspect="1"/>
            </wp:cNvGraphicFramePr>
            <a:graphic>
              <a:graphicData uri="http://schemas.openxmlformats.org/drawingml/2006/picture">
                <pic:pic>
                  <pic:nvPicPr>
                    <pic:cNvPr id="0" name="gradcam.png"/>
                    <pic:cNvPicPr/>
                  </pic:nvPicPr>
                  <pic:blipFill>
                    <a:blip r:embed="rId25"/>
                    <a:stretch>
                      <a:fillRect/>
                    </a:stretch>
                  </pic:blipFill>
                  <pic:spPr>
                    <a:xfrm>
                      <a:off x="0" y="0"/>
                      <a:ext cx="5120640" cy="1862051"/>
                    </a:xfrm>
                    <a:prstGeom prst="rect"/>
                  </pic:spPr>
                </pic:pic>
              </a:graphicData>
            </a:graphic>
          </wp:inline>
        </w:drawing>
      </w:r>
    </w:p>
    <w:p>
      <w:pPr>
        <w:jc w:val="center"/>
      </w:pPr>
      <w:r>
        <w:rPr>
          <w:sz w:val="21"/>
        </w:rPr>
        <w:t>图 5-3 Grad-CAM：AlexNet 分类时关注的区域（上=原图，下=热力图叠加）</w:t>
      </w:r>
    </w:p>
    <w:p>
      <w:pPr>
        <w:pStyle w:val="Heading2"/>
      </w:pPr>
      <w:r>
        <w:t>5.4 本章小结</w:t>
      </w:r>
    </w:p>
    <w:p>
      <w:pPr>
        <w:ind w:firstLine="480"/>
      </w:pPr>
      <w:r>
        <w:t>本章通过“诊断—改进—验证”闭环在两个项目上均取得实质成果：项目一用有序回归将严重误判由 7 降至 4，是一处真正改变建模范式的创新；项目二则对 94.38% 的主模型做受控消融，定量拆解各设计要素的贡献（BatchNorm 单步贡献最大、+1.18 个百分点，衬衫类 F1 提升至 0.83），并借助 Focal Loss 的否证对照与 Grad-CAM 可解释性，论证了“瓶颈在特征表达”的因果结论。相比“仅报告精度”的常规做法，这种用消融与可解释性厘清“性能从何而来”的实证方法论，是本报告最具价值的创新点。</w:t>
      </w:r>
    </w:p>
    <w:p>
      <w:r>
        <w:br w:type="page"/>
      </w:r>
    </w:p>
    <w:p>
      <w:pPr>
        <w:pStyle w:val="Heading1"/>
      </w:pPr>
      <w:r>
        <w:t>第6章 实验复现说明</w:t>
      </w:r>
    </w:p>
    <w:p>
      <w:pPr>
        <w:pStyle w:val="Heading2"/>
      </w:pPr>
      <w:r>
        <w:t>6.1 代码文件说明</w:t>
      </w:r>
    </w:p>
    <w:p>
      <w:pPr>
        <w:ind w:firstLine="480"/>
      </w:pPr>
      <w:r>
        <w:t>项目源代码按任务组织，各文件职责如表 6-1 所示。</w:t>
      </w:r>
    </w:p>
    <w:p>
      <w:pPr>
        <w:jc w:val="center"/>
      </w:pPr>
      <w:r>
        <w:rPr>
          <w:sz w:val="21"/>
        </w:rPr>
        <w:t>表 6-1 源代码文件说明</w:t>
      </w:r>
    </w:p>
    <w:tbl>
      <w:tblPr>
        <w:tblStyle w:val="LightList-Accent1"/>
        <w:tblW w:type="auto" w:w="0"/>
        <w:jc w:val="center"/>
        <w:tblLook w:firstColumn="1" w:firstRow="1" w:lastColumn="0" w:lastRow="0" w:noHBand="0" w:noVBand="1" w:val="04A0"/>
      </w:tblPr>
      <w:tblGrid>
        <w:gridCol w:w="4320"/>
        <w:gridCol w:w="4320"/>
      </w:tblGrid>
      <w:tr>
        <w:tc>
          <w:tcPr>
            <w:tcW w:type="dxa" w:w="4320"/>
          </w:tcPr>
          <w:p>
            <w:r>
              <w:t>文件</w:t>
            </w:r>
          </w:p>
        </w:tc>
        <w:tc>
          <w:tcPr>
            <w:tcW w:type="dxa" w:w="4320"/>
          </w:tcPr>
          <w:p>
            <w:r>
              <w:t>功能</w:t>
            </w:r>
          </w:p>
        </w:tc>
      </w:tr>
      <w:tr>
        <w:tc>
          <w:tcPr>
            <w:tcW w:type="dxa" w:w="4320"/>
          </w:tcPr>
          <w:p>
            <w:r>
              <w:t>task1_ml_wine/wine_quality.py</w:t>
            </w:r>
          </w:p>
        </w:tc>
        <w:tc>
          <w:tcPr>
            <w:tcW w:type="dxa" w:w="4320"/>
          </w:tcPr>
          <w:p>
            <w:r>
              <w:t>任务一完整流程：下载/EDA/预处理/四模型训练/评估</w:t>
            </w:r>
          </w:p>
        </w:tc>
      </w:tr>
      <w:tr>
        <w:tc>
          <w:tcPr>
            <w:tcW w:type="dxa" w:w="4320"/>
          </w:tcPr>
          <w:p>
            <w:r>
              <w:t>task2_alexnet_fmnist/alexnet.py</w:t>
            </w:r>
          </w:p>
        </w:tc>
        <w:tc>
          <w:tcPr>
            <w:tcW w:type="dxa" w:w="4320"/>
          </w:tcPr>
          <w:p>
            <w:r>
              <w:t>逐层手写的 AlexNet 网络定义</w:t>
            </w:r>
          </w:p>
        </w:tc>
      </w:tr>
      <w:tr>
        <w:tc>
          <w:tcPr>
            <w:tcW w:type="dxa" w:w="4320"/>
          </w:tcPr>
          <w:p>
            <w:r>
              <w:t>task2_alexnet_fmnist/simplecnn.py</w:t>
            </w:r>
          </w:p>
        </w:tc>
        <w:tc>
          <w:tcPr>
            <w:tcW w:type="dxa" w:w="4320"/>
          </w:tcPr>
          <w:p>
            <w:r>
              <w:t>轻量基线网络 SimpleCNN</w:t>
            </w:r>
          </w:p>
        </w:tc>
      </w:tr>
      <w:tr>
        <w:tc>
          <w:tcPr>
            <w:tcW w:type="dxa" w:w="4320"/>
          </w:tcPr>
          <w:p>
            <w:r>
              <w:t>task2_alexnet_fmnist/data.py</w:t>
            </w:r>
          </w:p>
        </w:tc>
        <w:tc>
          <w:tcPr>
            <w:tcW w:type="dxa" w:w="4320"/>
          </w:tcPr>
          <w:p>
            <w:r>
              <w:t>Fashion-MNIST 加载、变换与三划分</w:t>
            </w:r>
          </w:p>
        </w:tc>
      </w:tr>
      <w:tr>
        <w:tc>
          <w:tcPr>
            <w:tcW w:type="dxa" w:w="4320"/>
          </w:tcPr>
          <w:p>
            <w:r>
              <w:t>task2_alexnet_fmnist/train.py</w:t>
            </w:r>
          </w:p>
        </w:tc>
        <w:tc>
          <w:tcPr>
            <w:tcW w:type="dxa" w:w="4320"/>
          </w:tcPr>
          <w:p>
            <w:r>
              <w:t>AlexNet 训练，保存最优 checkpoint</w:t>
            </w:r>
          </w:p>
        </w:tc>
      </w:tr>
      <w:tr>
        <w:tc>
          <w:tcPr>
            <w:tcW w:type="dxa" w:w="4320"/>
          </w:tcPr>
          <w:p>
            <w:r>
              <w:t>task2_alexnet_fmnist/evaluate.py</w:t>
            </w:r>
          </w:p>
        </w:tc>
        <w:tc>
          <w:tcPr>
            <w:tcW w:type="dxa" w:w="4320"/>
          </w:tcPr>
          <w:p>
            <w:r>
              <w:t>测试集评估与可视化</w:t>
            </w:r>
          </w:p>
        </w:tc>
      </w:tr>
      <w:tr>
        <w:tc>
          <w:tcPr>
            <w:tcW w:type="dxa" w:w="4320"/>
          </w:tcPr>
          <w:p>
            <w:r>
              <w:t>task2_alexnet_fmnist/experiments.py</w:t>
            </w:r>
          </w:p>
        </w:tc>
        <w:tc>
          <w:tcPr>
            <w:tcW w:type="dxa" w:w="4320"/>
          </w:tcPr>
          <w:p>
            <w:r>
              <w:t>对照实验统一运行器</w:t>
            </w:r>
          </w:p>
        </w:tc>
      </w:tr>
      <w:tr>
        <w:tc>
          <w:tcPr>
            <w:tcW w:type="dxa" w:w="4320"/>
          </w:tcPr>
          <w:p>
            <w:r>
              <w:t>task2_alexnet_fmnist/aggregate_experiments.py</w:t>
            </w:r>
          </w:p>
        </w:tc>
        <w:tc>
          <w:tcPr>
            <w:tcW w:type="dxa" w:w="4320"/>
          </w:tcPr>
          <w:p>
            <w:r>
              <w:t>对照实验结果聚合与绘图</w:t>
            </w:r>
          </w:p>
        </w:tc>
      </w:tr>
      <w:tr>
        <w:tc>
          <w:tcPr>
            <w:tcW w:type="dxa" w:w="4320"/>
          </w:tcPr>
          <w:p>
            <w:r>
              <w:t>task2_alexnet_fmnist/gradcam.py</w:t>
            </w:r>
          </w:p>
        </w:tc>
        <w:tc>
          <w:tcPr>
            <w:tcW w:type="dxa" w:w="4320"/>
          </w:tcPr>
          <w:p>
            <w:r>
              <w:t>Grad-CAM 可解释性可视化</w:t>
            </w:r>
          </w:p>
        </w:tc>
      </w:tr>
      <w:tr>
        <w:tc>
          <w:tcPr>
            <w:tcW w:type="dxa" w:w="4320"/>
          </w:tcPr>
          <w:p>
            <w:r>
              <w:t>common/zh_font.py</w:t>
            </w:r>
          </w:p>
        </w:tc>
        <w:tc>
          <w:tcPr>
            <w:tcW w:type="dxa" w:w="4320"/>
          </w:tcPr>
          <w:p>
            <w:r>
              <w:t>matplotlib 中文字体设置</w:t>
            </w:r>
          </w:p>
        </w:tc>
      </w:tr>
      <w:tr>
        <w:tc>
          <w:tcPr>
            <w:tcW w:type="dxa" w:w="4320"/>
          </w:tcPr>
          <w:p>
            <w:r>
              <w:t>report/generate_report.py</w:t>
            </w:r>
          </w:p>
        </w:tc>
        <w:tc>
          <w:tcPr>
            <w:tcW w:type="dxa" w:w="4320"/>
          </w:tcPr>
          <w:p>
            <w:r>
              <w:t>生成 Word 版报告</w:t>
            </w:r>
          </w:p>
        </w:tc>
      </w:tr>
    </w:tbl>
    <w:p>
      <w:pPr>
        <w:pStyle w:val="Heading2"/>
      </w:pPr>
      <w:r>
        <w:t>6.2 运行步骤与关键设置</w:t>
      </w:r>
    </w:p>
    <w:p>
      <w:pPr>
        <w:ind w:firstLine="480"/>
      </w:pPr>
      <w:r>
        <w:t>按以下顺序运行即可复现全部结果（解释器为 conda 环境 pytorch312）：</w:t>
      </w:r>
    </w:p>
    <w:p>
      <w:r>
        <w:t>（1）任务一：python task1_ml_wine/wine_quality.py；</w:t>
      </w:r>
    </w:p>
    <w:p>
      <w:r>
        <w:t>（2）任务二训练（主模型）：python task2_alexnet_fmnist/experiments.py --model alexnet --bn --augment --cosine --epochs 40 --seed 0 --tag main --save-ckpt outputs/alexnet_best.pt --save-history outputs/history.json；</w:t>
      </w:r>
    </w:p>
    <w:p>
      <w:r>
        <w:t>（3）任务二评估：python task2_alexnet_fmnist/evaluate.py（加载上一步保存的主模型权重）；</w:t>
      </w:r>
    </w:p>
    <w:p>
      <w:r>
        <w:t>（4）对照/消融实验：分别运行 experiments.py（不同 --model/--seed/--no-lrn/--bn/--augment/--epochs 组合）后，执行 python aggregate_experiments.py 汇总。</w:t>
      </w:r>
    </w:p>
    <w:p>
      <w:pPr>
        <w:ind w:firstLine="480"/>
      </w:pPr>
      <w:r>
        <w:t>关键设置：随机种子固定（任务一 train_test_split 与各模型 random_state=42；任务二 PyTorch 种子 0~2）；任务一采用 80/20 分层划分与 5 折交叉验证；任务二主模型使用 SGD（动量 0.9、权重衰减 5e-4）、初始学习率 0.01、余弦退火、批大小 128、训练 40 轮，卷积层接 BatchNorm 并对训练集施加数据增强（对照实验则按需关闭相应组件、并采用 15 轮短预算）。软硬件环境见表 2-1，全部图表与指标自动输出到各任务的 outputs/ 目录。</w:t>
      </w:r>
    </w:p>
    <w:p>
      <w:r>
        <w:br w:type="page"/>
      </w:r>
    </w:p>
    <w:p>
      <w:pPr>
        <w:pStyle w:val="Heading1"/>
      </w:pPr>
      <w:r>
        <w:t>第7章 结论与实验总结</w:t>
      </w:r>
    </w:p>
    <w:p>
      <w:pPr>
        <w:pStyle w:val="Heading2"/>
      </w:pPr>
      <w:r>
        <w:t>7.1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能够有效学习服饰图像的层次化特征，经充分训练后测试准确率达 94.38%，充分验证了深度卷积网络在视觉任务上的强大能力以及本次复现的正确性。</w:t>
      </w:r>
    </w:p>
    <w:p>
      <w:pPr>
        <w:pStyle w:val="Heading2"/>
      </w:pPr>
      <w:r>
        <w:t>7.2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7.3 改进方案</w:t>
      </w:r>
    </w:p>
    <w:p>
      <w:pPr>
        <w:ind w:firstLine="480"/>
      </w:pPr>
      <w:r>
        <w:t>项目一：尝试 XGBoost、LightGBM 等更强的梯度提升模型；采用 SMOTE(Chawla 等, 2002)等过采样方法更充分处理类别不平衡；引入特征工程（特征交互、分箱）与特征选择以提升判别力；也可将质量评分作为回归任务建模后再分级。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项目二：引入数据增强（随机裁剪、翻转、旋转）抑制过拟合并提升泛化；用批归一化（BatchNorm，Ioffe 和 Szegedy, 2015）替代 LRN 加速收敛、稳定训练；适当增加训练轮数并采用余弦退火等更精细的学习率策略；亦可对比 VGG(Simonyan 和 Zisserman, 2015)、ResNet(He 等, 2016)等更先进结构，分析深度对精度的影响。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pPr>
        <w:ind w:left="480" w:hanging="480"/>
      </w:pPr>
      <w:r>
        <w:t>周志华. 机器学习[M]. 北京: 清华大学出版社, 2016: 23-200.</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K, Zhang X, Ren S, et al. Deep residual learning for image recognition[C]//IEEE Conference on Computer Vision and Pattern Recognition. 2016: 770-778.</w:t>
      </w:r>
    </w:p>
    <w:p>
      <w:pPr>
        <w:ind w:left="480" w:hanging="480"/>
      </w:pPr>
      <w:r>
        <w:t>Ioffe S, Szegedy C. Batch normalization: accelerating deep network training by reducing internal covariate shift[C]//International Conference on Machine Learning. 2015: 448-456.</w:t>
      </w:r>
    </w:p>
    <w:p>
      <w:pPr>
        <w:ind w:left="480" w:hanging="480"/>
      </w:pPr>
      <w:r>
        <w:t>Krizhevsky A, Sutskever I, Hinton G E. ImageNet classification with deep convolutional neural networks[C]//Advances in Neural Information Processing Systems. 2012: 1097-1105.</w:t>
      </w:r>
    </w:p>
    <w:p>
      <w:pPr>
        <w:ind w:left="480" w:hanging="480"/>
      </w:pPr>
      <w:r>
        <w:t>Paszke A, Gross S, Massa F, et al. PyTorch: an imperative style, high-performance deep learning library[C]//Advances in Neural Information Processing Systems. 2019: 8024-8035.</w:t>
      </w:r>
    </w:p>
    <w:p>
      <w:pPr>
        <w:ind w:left="480" w:hanging="480"/>
      </w:pPr>
      <w:r>
        <w:t>Pedregosa F, Varoquaux G, Gramfort A, et al. Scikit-learn: machine learning in Python[J]. Journal of Machine Learning Research, 2011, 12: 2825-2830.</w:t>
      </w:r>
    </w:p>
    <w:p>
      <w:pPr>
        <w:ind w:left="480" w:hanging="480"/>
      </w:pPr>
      <w:r>
        <w:t>Simonyan K, Zisserman A. Very deep convolutional networks for large-scale image recognition[C]//International Conference on Learning Representations. 2015.</w:t>
      </w:r>
    </w:p>
    <w:p>
      <w:pPr>
        <w:ind w:left="480" w:hanging="480"/>
      </w:pPr>
      <w:r>
        <w:t>Srivastava N, Hinton G, Krizhevsky A, et al. Dropout: a simple way to prevent neural networks from overfitting[J]. Journal of Machine Learning Research, 2014, 15(1): 1929-1958.</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