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6"/>
        </w:rPr>
        <w:t>人工智能综合实训 II</w:t>
      </w:r>
    </w:p>
    <w:p>
      <w:pPr>
        <w:jc w:val="center"/>
      </w:pPr>
      <w:r>
        <w:rPr>
          <w:b/>
          <w:sz w:val="44"/>
        </w:rPr>
        <w:t>任务一实训论文</w:t>
      </w:r>
    </w:p>
    <w:p/>
    <w:p/>
    <w:p>
      <w:pPr>
        <w:jc w:val="center"/>
      </w:pPr>
      <w:r>
        <w:rPr>
          <w:b/>
          <w:sz w:val="36"/>
        </w:rPr>
        <w:t>传统机器学习模型对结构化数据分类性能的影响研究——以白葡萄酒质量分类为主线的多数据集实证</w:t>
      </w:r>
    </w:p>
    <w:p/>
    <w:p/>
    <w:p/>
    <w:p>
      <w:pPr>
        <w:jc w:val="center"/>
      </w:pPr>
      <w:r>
        <w:rPr>
          <w:sz w:val="28"/>
        </w:rPr>
        <w:t>学　　院：人工智能与低空技术学院</w:t>
      </w:r>
    </w:p>
    <w:p>
      <w:pPr>
        <w:jc w:val="center"/>
      </w:pPr>
      <w:r>
        <w:rPr>
          <w:sz w:val="28"/>
        </w:rPr>
        <w:t>专　　业：人工智能</w:t>
      </w:r>
    </w:p>
    <w:p>
      <w:pPr>
        <w:jc w:val="center"/>
      </w:pPr>
      <w:r>
        <w:rPr>
          <w:sz w:val="28"/>
        </w:rPr>
        <w:t>小组成员：雷正（202434610309）、蔡铭飞（202434610301）、冼嘉谦（202434610326）</w:t>
      </w:r>
    </w:p>
    <w:p>
      <w:pPr>
        <w:jc w:val="center"/>
      </w:pPr>
      <w:r>
        <w:rPr>
          <w:sz w:val="28"/>
        </w:rPr>
        <w:t>指导教师：赵静</w:t>
      </w:r>
    </w:p>
    <w:p>
      <w:pPr>
        <w:jc w:val="center"/>
      </w:pPr>
      <w:r>
        <w:rPr>
          <w:sz w:val="28"/>
        </w:rPr>
        <w:t>提交日期：2026 年 6 月</w:t>
      </w:r>
    </w:p>
    <w:p>
      <w:r>
        <w:br w:type="page"/>
      </w:r>
    </w:p>
    <w:p>
      <w:pPr>
        <w:jc w:val="center"/>
      </w:pPr>
      <w:r>
        <w:rPr>
          <w:b/>
          <w:sz w:val="28"/>
        </w:rPr>
        <w:t>华南农业大学本科毕业论文（设计）原创性声明</w:t>
      </w:r>
    </w:p>
    <w:p>
      <w:pPr>
        <w:ind w:firstLine="480"/>
      </w:pPr>
      <w: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
    <w:p>
      <w:pPr>
        <w:jc w:val="right"/>
      </w:pPr>
      <w:r>
        <w:t>作者签名：＿＿＿＿＿＿　　日期：　　年　　月　　日</w:t>
      </w:r>
    </w:p>
    <w:p/>
    <w:p/>
    <w:p>
      <w:pPr>
        <w:jc w:val="center"/>
      </w:pPr>
      <w:r>
        <w:rPr>
          <w:b/>
          <w:sz w:val="28"/>
        </w:rPr>
        <w:t>华南农业大学本科毕业论文（设计）使用授权声明</w:t>
      </w:r>
    </w:p>
    <w:p>
      <w:pPr>
        <w:ind w:firstLine="480"/>
      </w:pPr>
      <w:r>
        <w:t>本人完全了解学校有关保留、使用毕业论文（设计）的规定，同意学校保留并向国家有关部门或机构送交毕业论文（设计）的复印件和电子版，允许毕业论文（设计）被查阅和借阅。学校可以将本毕业论文（设计）的全部或部分内容编入有关数据库进行检索，可以采用影印、缩印或扫描等复制手段保存和汇编毕业论文（设计）。</w:t>
      </w:r>
    </w:p>
    <w:p/>
    <w:p/>
    <w:p>
      <w:pPr>
        <w:jc w:val="right"/>
      </w:pPr>
      <w:r>
        <w:t>作者签名：＿＿＿＿＿　指导教师签名：＿＿＿＿＿</w:t>
      </w:r>
    </w:p>
    <w:p>
      <w:pPr>
        <w:jc w:val="right"/>
      </w:pPr>
      <w:r>
        <w:t>日期：　　年　　月　　日　　日期：　　年　　月　　日</w:t>
      </w:r>
    </w:p>
    <w:p>
      <w:r>
        <w:br w:type="page"/>
      </w:r>
    </w:p>
    <w:p>
      <w:pPr>
        <w:jc w:val="center"/>
      </w:pPr>
      <w:r>
        <w:rPr>
          <w:b/>
          <w:sz w:val="32"/>
        </w:rPr>
        <w:t>摘　要</w:t>
      </w:r>
    </w:p>
    <w:p>
      <w:pPr>
        <w:ind w:firstLine="480"/>
      </w:pPr>
      <w:r>
        <w:t>结构化数据分类是机器学习的典型问题。本文以支持向量机、决策树、随机森林和逻辑回归四种代表性模型为研究对象，以 UCI Wine Quality 数据集中的白葡萄酒子集为主实验平台，将原始质量评分归并为“差”“中”“好”三类，围绕数据加载、探索性分析、预处理、模型构建、模型评估和结果分析完成完整机器学习流程，并采用标准化流水线、五折交叉验证和网格搜索进行超参数选择；在此基础上进一步把同一套模型推广到难度递增的五个结构化数据集上对照，并对其中表现欠佳者做针对性处理，考察数据特点与模型选择如何共同决定性能。</w:t>
      </w:r>
    </w:p>
    <w:p>
      <w:pPr>
        <w:ind w:firstLine="480"/>
      </w:pPr>
      <w:r>
        <w:t>实验结果表明，随机森林在白葡萄酒上取得较优表现，准确率 73.47%、宏平均 F1 为 0.7336；“回归预测再分级”的有序建模将宏平均 F1 提升至 0.7533、严重跨级误判由 7 降至 4。跨数据集对照进一步表明：不存在放之四海而皆准的最优模型，最优选择随数据集而变；类别数量并非主要难度来源；极端不平衡会使准确率严重失真。针对表现欠佳的贷款违约与臭氧数据，本文先以补充特征、SMOTE 过采样、更换更强模型等静态手段验证（宏 F1 停在约0.58—0.62），进而设计任务级创新——把臭氧还原为时间序列并注入时序特征、为贷款补全数十个真实征信特征并注入单调约束。值得强调的是，臭氧时序特征在单次划分下一度呈现 +0.058 的提升，但因该划分测试集仅含约 4 个少数类样本而高度不可靠；改用时序交叉验证汇集约 58 个样本后提升消失（Δ≈-0.003）；而为贷款补入数十个真实征信特征后宏 F1 仍仅由 0.585 变为 0.586，单调约束亦持平于约 0.57。这表明两者“效果不好”确属数据本质——即便补全真实信息也几乎无增益（利率已是征信信息的近似充分统计量）；同时给出评估教训：极端不平衡下须以交叉验证汇集足够少数类样本，方能避免单次划分的“假提升”。</w:t>
      </w:r>
    </w:p>
    <w:p>
      <w:pPr>
        <w:ind w:firstLine="480"/>
      </w:pPr>
      <w:r>
        <w:t>关键词：机器学习；结构化数据分类；模型对照；类别不平衡；时序交叉验证；单调约束；跨数据集</w:t>
      </w:r>
    </w:p>
    <w:p>
      <w:r>
        <w:br w:type="page"/>
      </w:r>
    </w:p>
    <w:p>
      <w:pPr>
        <w:jc w:val="center"/>
      </w:pPr>
      <w:r>
        <w:rPr>
          <w:b/>
          <w:sz w:val="32"/>
        </w:rPr>
        <w:t>Abstract</w:t>
      </w:r>
    </w:p>
    <w:p>
      <w:pPr>
        <w:ind w:firstLine="480"/>
      </w:pPr>
      <w:r>
        <w:t>Structured-data classification is a representative machine learning problem. This paper takes four representative models (SVM, decision tree, random forest, logistic regression) as its research object, with the white wine subset of the UCI Wine Quality dataset as the primary experimental platform; the original quality scores are merged into three classes (low, medium, high) and a complete workflow with standardization, 5-fold cross validation and grid search is implemented. The same models are then extended to five structured datasets of increasing difficulty, with targeted treatment applied to the under-performing ones.</w:t>
      </w:r>
    </w:p>
    <w:p>
      <w:pPr>
        <w:ind w:firstLine="480"/>
      </w:pPr>
      <w:r>
        <w:t>Random forest performs best on white wine (accuracy 73.47%, macro-F1 0.7336); a regression-then-discretization ordinal strategy raises macro-F1 to 0.7533. The cross-dataset comparison shows there is no universally best model, the number of classes is not the main difficulty driver, and extreme imbalance severely distorts accuracy. For the weak datasets (loan default, ozone), beyond static remedies (feature enrichment, SMOTE, stronger models) we further designed task-level innovations: recasting ozone as a time series with temporal features, and adding dozens of real application-time credit features plus monotonic constraints for loan default. Notably, the ozone temporal features showed a +0.058 macro-F1 gain under a single time split, but that split contained only about 4 minority samples and was unreliable; under time-series cross-validation pooling about 58 minority samples the gain vanished (delta about -0.003); adding dozens of real credit features moved loan-default macro-F1 only from 0.585 to 0.586, and the monotonic model stayed near 0.57. This confirms their poor results stem from intrinsic data difficulty (even adding real information barely helps, since the interest rate is already a near-sufficient statistic of credit signals), and yields a methodological lesson: under extreme imbalance, cross-validation pooling enough minority samples is required to avoid illusory gains from a single split.</w:t>
      </w:r>
    </w:p>
    <w:p>
      <w:pPr>
        <w:ind w:firstLine="480"/>
      </w:pPr>
      <w:r>
        <w:t>Keywords: machine learning; structured-data classification; model comparison; class imbalance; time-series cross-validation; monotonic constraints; cross-dataset</w:t>
      </w:r>
    </w:p>
    <w:p>
      <w:r>
        <w:br w:type="page"/>
      </w:r>
    </w:p>
    <w:p>
      <w:pPr>
        <w:jc w:val="center"/>
      </w:pPr>
      <w:r>
        <w:rPr>
          <w:b/>
          <w:sz w:val="32"/>
        </w:rPr>
        <w:t>目　录</w:t>
      </w:r>
    </w:p>
    <w:p>
      <w:r>
        <w:t>第1章 引言</w:t>
      </w:r>
    </w:p>
    <w:p>
      <w:r>
        <w:t>第2章 理论基础与实验设计</w:t>
      </w:r>
    </w:p>
    <w:p>
      <w:r>
        <w:t>第3章 数据集与预处理</w:t>
      </w:r>
    </w:p>
    <w:p>
      <w:r>
        <w:t>第4章 模型建立与实验结果</w:t>
      </w:r>
    </w:p>
    <w:p>
      <w:r>
        <w:t>第5章 误差分析与补充实验</w:t>
      </w:r>
    </w:p>
    <w:p>
      <w:r>
        <w:t>第6章 跨数据集模型对照研究</w:t>
      </w:r>
    </w:p>
    <w:p>
      <w:r>
        <w:t>第7章 实验复现说明</w:t>
      </w:r>
    </w:p>
    <w:p>
      <w:r>
        <w:t>第8章 结论与展望</w:t>
      </w:r>
    </w:p>
    <w:p>
      <w:r>
        <w:t>参考文献</w:t>
      </w:r>
    </w:p>
    <w:p>
      <w:r>
        <w:br w:type="page"/>
      </w:r>
    </w:p>
    <w:p>
      <w:pPr>
        <w:pStyle w:val="Heading1"/>
      </w:pPr>
      <w:r>
        <w:t>第1章 引言</w:t>
      </w:r>
    </w:p>
    <w:p>
      <w:pPr>
        <w:pStyle w:val="Heading2"/>
      </w:pPr>
      <w:r>
        <w:t>1.1 研究背景与意义</w:t>
      </w:r>
    </w:p>
    <w:p>
      <w:pPr>
        <w:ind w:firstLine="480"/>
      </w:pPr>
      <w:r>
        <w:t>结构化数据分类是机器学习应用中最常见的任务之一，广泛存在于食品质量评价、金融风险判断、医学辅助诊断和业务决策等场景。与图像、文本等非结构化数据不同，结构化数据通常由仪器测量、业务记录或人工标注得到，具有特征含义明确、维度相对有限、样本规模中等、噪声来源可解释等特点。对于这类数据，支持向量机、决策树、随机森林、逻辑回归等传统机器学习方法仍然具有训练成本低、调试方便、结果较易解释等优势。</w:t>
      </w:r>
    </w:p>
    <w:p>
      <w:pPr>
        <w:ind w:firstLine="480"/>
      </w:pPr>
      <w:r>
        <w:t>葡萄酒质量评价兼具实际应用价值和方法研究价值。在真实生产场景中，葡萄酒质量通常受到酸度、糖分、硫化物、密度、酒精度等多种理化因素影响，最终评分又带有一定主观性。若能够基于理化指标建立稳定的质量分级模型，可以辅助质量控制、产品筛选和生产工艺分析。Cortez 等整理的 Wine Quality 数据集将理化检测指标与质量评分对应起来，为研究化学属性与感官质量之间的统计关系提供了公开基准。</w:t>
      </w:r>
    </w:p>
    <w:p>
      <w:pPr>
        <w:ind w:firstLine="480"/>
      </w:pPr>
      <w:r>
        <w:t>该任务的难点在于，葡萄酒质量评分并不是完全离散、边界清晰的类别标签。一方面，数据集中样本主要集中在中间分值，极高和极低评分样本较少；另一方面，质量评分具有天然顺序，相邻等级之间的误判和跨等级误判在实际含义上并不相同。因此，本研究不仅比较多种传统分类模型的性能，还进一步引入宏平均 F1、二次加权 Kappa、有序 MAE 和严重跨级误判数等指标，从误差结构角度讨论质量分级模型的适用性。</w:t>
      </w:r>
    </w:p>
    <w:p>
      <w:pPr>
        <w:ind w:firstLine="480"/>
      </w:pPr>
      <w:r>
        <w:t>从实训和研究方法角度看，白葡萄酒质量分类任务能够覆盖结构化数据建模的完整流程，包括数据读取与查看、探索性分析、标签构造、标准化、交叉验证、模型选择、测试集评价和结果解释。通过该任务，可以较系统地理解传统机器学习在中小规模结构化数据上的建模思路，并分析不同模型在可解释性、泛化能力和错误类型上的差异。</w:t>
      </w:r>
    </w:p>
    <w:p>
      <w:pPr>
        <w:pStyle w:val="Heading2"/>
      </w:pPr>
      <w:r>
        <w:t>1.2 国内外研究现状</w:t>
      </w:r>
    </w:p>
    <w:p>
      <w:pPr>
        <w:ind w:firstLine="480"/>
      </w:pPr>
      <w:r>
        <w:t>围绕结构化分类任务，国内外研究已经形成了较成熟的方法体系。逻辑回归作为广义线性模型的代表，具有参数含义清晰、训练效率高等特点，常用于建立可解释的分类基线。支持向量机通过最大间隔原则提高分类器泛化能力，并可借助核函数刻画非线性边界，在中小规模数据集上具有较强竞争力。</w:t>
      </w:r>
    </w:p>
    <w:p>
      <w:pPr>
        <w:ind w:firstLine="480"/>
      </w:pPr>
      <w:r>
        <w:t>树模型及其集成方法是结构化数据建模中的重要方向。单棵决策树能够形成较直观的特征划分规则，但对训练样本扰动较敏感。随机森林通过 Bootstrap 采样、随机特征选择和多树投票降低方差，在表格数据任务中具有较好的稳定性。此后，XGBoost 和 LightGBM 等梯度提升树方法在工程效率和预测性能方面得到广泛应用。</w:t>
      </w:r>
    </w:p>
    <w:p>
      <w:pPr>
        <w:ind w:firstLine="480"/>
      </w:pPr>
      <w:r>
        <w:t>葡萄酒质量预测方面，Cortez 等以红葡萄酒和白葡萄酒理化检测数据为基础，研究了数据挖掘方法对感官偏好建模的可行性。该数据集被广泛用于分类、回归、特征重要性分析和模型比较。已有研究通常关注理化指标与质量评分之间的统计关联，其中酒精度、挥发性酸度、密度等变量常被认为与质量判断关系较密切。</w:t>
      </w:r>
    </w:p>
    <w:p>
      <w:pPr>
        <w:ind w:firstLine="480"/>
      </w:pPr>
      <w:r>
        <w:t>类别不平衡和有序标签是该任务中需要重点处理的两个问题。不平衡学习中总体准确率可能掩盖少数类别识别效果，因此需要结合平衡准确率、F1、MCC 等指标进行评价。另一方面，葡萄酒质量评分从低到高具有明确次序，将其完全视为无序类别会弱化相邻误判与严重跨级误判之间的差异。因此，本文在常规三分类实验之外补充有序回归分级对照，并引入二次加权 Kappa 和严重误判数，以更贴合质量分级任务的实际语义。</w:t>
      </w:r>
    </w:p>
    <w:p>
      <w:pPr>
        <w:pStyle w:val="Heading2"/>
      </w:pPr>
      <w:r>
        <w:t>1.3 研究内容与分工</w:t>
      </w:r>
    </w:p>
    <w:p>
      <w:pPr>
        <w:ind w:firstLine="480"/>
      </w:pPr>
      <w:r>
        <w:t>本文以四种传统机器学习模型为研究对象，以白葡萄酒质量三分类为主线，把数据集视为检验模型的试验台。主要工作包括两个层面：其一，在白葡萄酒数据上完成加载与查看、三分类标签构造、特征标准化与分层划分、四种模型训练与网格搜索、测试集指标评价、混淆矩阵与特征重要性分析，以及基于误差结构的有序建模补充实验；其二，将同一套建模管线推广到难度递增的五个结构化数据集上对照，并对其中表现欠佳的数据集做针对性处理（补充特征、不平衡重采样、更换更强模型），分析数据特点与模型选择如何共同决定性能。</w:t>
      </w:r>
    </w:p>
    <w:p>
      <w:pPr>
        <w:jc w:val="center"/>
      </w:pPr>
      <w:r>
        <w:rPr>
          <w:sz w:val="21"/>
        </w:rPr>
        <w:t>表 1-1 小组成员分工表</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学号</w:t>
            </w:r>
          </w:p>
        </w:tc>
        <w:tc>
          <w:tcPr>
            <w:tcW w:type="dxa" w:w="2880"/>
          </w:tcPr>
          <w:p>
            <w:r>
              <w:t>姓名</w:t>
            </w:r>
          </w:p>
        </w:tc>
        <w:tc>
          <w:tcPr>
            <w:tcW w:type="dxa" w:w="2880"/>
          </w:tcPr>
          <w:p>
            <w:r>
              <w:t>主要分工</w:t>
            </w:r>
          </w:p>
        </w:tc>
      </w:tr>
      <w:tr>
        <w:tc>
          <w:tcPr>
            <w:tcW w:type="dxa" w:w="2880"/>
          </w:tcPr>
          <w:p>
            <w:r>
              <w:t>202434610301</w:t>
            </w:r>
          </w:p>
        </w:tc>
        <w:tc>
          <w:tcPr>
            <w:tcW w:type="dxa" w:w="2880"/>
          </w:tcPr>
          <w:p>
            <w:r>
              <w:t>蔡铭飞</w:t>
            </w:r>
          </w:p>
        </w:tc>
        <w:tc>
          <w:tcPr>
            <w:tcW w:type="dxa" w:w="2880"/>
          </w:tcPr>
          <w:p>
            <w:r>
              <w:t>数据预处理、四种模型训练与网格搜索、跨数据集对照与不平衡/特征改进实验、结果评估</w:t>
            </w:r>
          </w:p>
        </w:tc>
      </w:tr>
      <w:tr>
        <w:tc>
          <w:tcPr>
            <w:tcW w:type="dxa" w:w="2880"/>
          </w:tcPr>
          <w:p>
            <w:r>
              <w:t>202434610309</w:t>
            </w:r>
          </w:p>
        </w:tc>
        <w:tc>
          <w:tcPr>
            <w:tcW w:type="dxa" w:w="2880"/>
          </w:tcPr>
          <w:p>
            <w:r>
              <w:t>雷正</w:t>
            </w:r>
          </w:p>
        </w:tc>
        <w:tc>
          <w:tcPr>
            <w:tcW w:type="dxa" w:w="2880"/>
          </w:tcPr>
          <w:p>
            <w:r>
              <w:t>总体方案设计、实验结果分析、论文主体撰写与复现说明整理</w:t>
            </w:r>
          </w:p>
        </w:tc>
      </w:tr>
      <w:tr>
        <w:tc>
          <w:tcPr>
            <w:tcW w:type="dxa" w:w="2880"/>
          </w:tcPr>
          <w:p>
            <w:r>
              <w:t>202434610326</w:t>
            </w:r>
          </w:p>
        </w:tc>
        <w:tc>
          <w:tcPr>
            <w:tcW w:type="dxa" w:w="2880"/>
          </w:tcPr>
          <w:p>
            <w:r>
              <w:t>冼嘉谦</w:t>
            </w:r>
          </w:p>
        </w:tc>
        <w:tc>
          <w:tcPr>
            <w:tcW w:type="dxa" w:w="2880"/>
          </w:tcPr>
          <w:p>
            <w:r>
              <w:t>数据可视化、图表绘制、论文排版、PPT 制作与汇报</w:t>
            </w:r>
          </w:p>
        </w:tc>
      </w:tr>
    </w:tbl>
    <w:p>
      <w:pPr>
        <w:pStyle w:val="Heading1"/>
      </w:pPr>
      <w:r>
        <w:t>第2章 理论基础与实验设计</w:t>
      </w:r>
    </w:p>
    <w:p>
      <w:pPr>
        <w:pStyle w:val="Heading2"/>
      </w:pPr>
      <w:r>
        <w:t>2.1 监督学习与多分类问题</w:t>
      </w:r>
    </w:p>
    <w:p>
      <w:pPr>
        <w:ind w:firstLine="480"/>
      </w:pPr>
      <w:r>
        <w:t>监督学习是在带标签样本上学习从输入特征到输出标签的映射。白葡萄酒质量分类中，输入为 11 个理化检测指标，输出为由原始质量评分合并得到的“差”“中”“好”三类标签。模型训练的目标是在训练样本上降低分类损失，同时在未参与训练的测试样本上保持较好的泛化能力。</w:t>
      </w:r>
    </w:p>
    <w:p>
      <w:pPr>
        <w:ind w:firstLine="480"/>
      </w:pPr>
      <w:r>
        <w:t>该任务的特殊性在于，三类标签虽然按照分类问题处理，但类别之间仍具有低、中、高的自然顺序。因此，评价模型时不能只看预测是否完全正确，还应关注错误是发生在相邻等级之间，还是出现“差”和“好”之间的严重跨级误判。另一方面，原始质量评分集中在中间等级，宏平均 F1、平衡准确率、MCC 和二次加权 Kappa 等指标比单纯准确率更能反映模型在不同类别上的平均表现。</w:t>
      </w:r>
    </w:p>
    <w:p>
      <w:pPr>
        <w:pStyle w:val="Heading2"/>
      </w:pPr>
      <w:r>
        <w:t>2.2 标准化、交叉验证与模型选择</w:t>
      </w:r>
    </w:p>
    <w:p>
      <w:pPr>
        <w:ind w:firstLine="480"/>
      </w:pPr>
      <w:r>
        <w:t>白葡萄酒各理化指标的量纲差异较大，例如残糖、二氧化硫、密度和酒精度的数值范围并不相同。对于 SVM 和逻辑回归等依赖距离或权重优化的模型，标准化能够避免尺度较大的特征在训练中占据不合理优势。本文将 StandardScaler 封装进 scikit-learn Pipeline，使标准化参数只在每个训练折内估计，避免交叉验证中的数据泄漏。</w:t>
      </w:r>
    </w:p>
    <w:p>
      <w:pPr>
        <w:ind w:firstLine="480"/>
      </w:pPr>
      <w:r>
        <w:t>四种模型均使用五折交叉验证和网格搜索选择超参数，优化目标为宏平均 F1。这样设置的原因是，宏平均 F1 先分别计算每个类别的识别效果，再对类别取平均，能够降低类别样本数差异对模型选择的影响。最终模型在训练集上完成调参和拟合，测试集只用于最后一次独立评价。</w:t>
      </w:r>
    </w:p>
    <w:p>
      <w:pPr>
        <w:pStyle w:val="Heading2"/>
      </w:pPr>
      <w:r>
        <w:t>2.3 模型方法</w:t>
      </w:r>
    </w:p>
    <w:p>
      <w:pPr>
        <w:ind w:firstLine="480"/>
      </w:pPr>
      <w:r>
        <w:t>本文选取支持向量机、决策树、随机森林和逻辑回归四种模型进行比较。支持向量机通过最大化分类间隔提高泛化能力，并借助 RBF 核函数表达非线性边界；决策树通过递归划分特征空间形成分类规则，可解释性较强，但单棵树容易受到训练样本扰动影响。</w:t>
      </w:r>
    </w:p>
    <w:p>
      <w:pPr>
        <w:ind w:firstLine="480"/>
      </w:pPr>
      <w:r>
        <w:t>随机森林在决策树基础上引入 Bootstrap 采样和随机特征子集，多棵树投票能够降低单棵树方差，因此在中小规模表格数据上通常具有较好的稳定性。逻辑回归作为线性分类基线，用于检验理化指标与质量等级之间是否主要存在简单线性关系。如果逻辑回归表现明显偏低，则说明任务更依赖非线性特征组合。四种模型的核心原理如图 2-1 所示。</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fig_ml_models.png"/>
                    <pic:cNvPicPr/>
                  </pic:nvPicPr>
                  <pic:blipFill>
                    <a:blip r:embed="rId9"/>
                    <a:stretch>
                      <a:fillRect/>
                    </a:stretch>
                  </pic:blipFill>
                  <pic:spPr>
                    <a:xfrm>
                      <a:off x="0" y="0"/>
                      <a:ext cx="5486400" cy="4114800"/>
                    </a:xfrm>
                    <a:prstGeom prst="rect"/>
                  </pic:spPr>
                </pic:pic>
              </a:graphicData>
            </a:graphic>
          </wp:inline>
        </w:drawing>
      </w:r>
    </w:p>
    <w:p>
      <w:pPr>
        <w:jc w:val="center"/>
      </w:pPr>
      <w:r>
        <w:rPr>
          <w:sz w:val="21"/>
        </w:rPr>
        <w:t>图 2-1 四种传统机器学习模型原理示意：间隔最大化、规则分裂、集成投票与概率输出</w:t>
      </w:r>
    </w:p>
    <w:p>
      <w:pPr>
        <w:pStyle w:val="Heading2"/>
      </w:pPr>
      <w:r>
        <w:t>2.4 评价指标</w:t>
      </w:r>
    </w:p>
    <w:p>
      <w:pPr>
        <w:ind w:firstLine="480"/>
      </w:pPr>
      <w:r>
        <w:t>基础指标包括准确率、宏平均精确率、宏平均召回率和宏平均 F1。准确率反映总体预测正确比例，宏平均指标则对每个类别等权计算，更适合观察类别不均衡场景下的平均识别质量。</w:t>
      </w:r>
    </w:p>
    <w:p>
      <w:pPr>
        <w:ind w:firstLine="480"/>
      </w:pPr>
      <w:r>
        <w:t>进阶指标包括平衡准确率、二次加权 Kappa、Cohen's Kappa、MCC 和宏平均 ROC-AUC。平衡准确率本质上是各类别召回率的平均值；MCC 能综合反映混淆矩阵结构；Kappa 衡量预测与真实标签的一致性，并扣除随机一致影响；二次加权 Kappa 对跨等级误判惩罚更高，更适合葡萄酒质量这种有序标签；宏平均 ROC-AUC 则从概率排序角度补充评价模型区分能力。</w:t>
      </w:r>
    </w:p>
    <w:p>
      <w:pPr>
        <w:pStyle w:val="Heading1"/>
      </w:pPr>
      <w:r>
        <w:t>第3章 数据集与预处理</w:t>
      </w:r>
    </w:p>
    <w:p>
      <w:pPr>
        <w:pStyle w:val="Heading2"/>
      </w:pPr>
      <w:r>
        <w:t>3.1 数据集来源与数据查看</w:t>
      </w:r>
    </w:p>
    <w:p>
      <w:pPr>
        <w:ind w:firstLine="480"/>
      </w:pPr>
      <w:r>
        <w:t>本文采用 UCI Wine Quality 数据集中的白葡萄酒子集，共 4898 个样本，每个样本包含 11 个理化指标和一个质量评分标签。主要特征包括固定酸度、挥发性酸度、柠檬酸、残糖、氯化物、游离二氧化硫、总二氧化硫、密度、pH 值、硫酸盐和酒精度。</w:t>
      </w:r>
    </w:p>
    <w:p>
      <w:pPr>
        <w:ind w:firstLine="480"/>
      </w:pPr>
      <w:r>
        <w:t>这些变量均来自理化检测结果，具有明确的物理或化学含义，适合作为质量分级模型的输入特征。但理化指标不能完全替代真实品鉴过程中的香气、口感和风格偏好，因此本文的建模目标是基于可观测理化指标对质量等级进行统计预测。</w:t>
      </w:r>
    </w:p>
    <w:p>
      <w:pPr>
        <w:jc w:val="center"/>
      </w:pPr>
      <w:r>
        <w:drawing>
          <wp:inline xmlns:a="http://schemas.openxmlformats.org/drawingml/2006/main" xmlns:pic="http://schemas.openxmlformats.org/drawingml/2006/picture">
            <wp:extent cx="3657600" cy="2438400"/>
            <wp:docPr id="2" name="Picture 2"/>
            <wp:cNvGraphicFramePr>
              <a:graphicFrameLocks noChangeAspect="1"/>
            </wp:cNvGraphicFramePr>
            <a:graphic>
              <a:graphicData uri="http://schemas.openxmlformats.org/drawingml/2006/picture">
                <pic:pic>
                  <pic:nvPicPr>
                    <pic:cNvPr id="0" name="eda_quality_dist.png"/>
                    <pic:cNvPicPr/>
                  </pic:nvPicPr>
                  <pic:blipFill>
                    <a:blip r:embed="rId10"/>
                    <a:stretch>
                      <a:fillRect/>
                    </a:stretch>
                  </pic:blipFill>
                  <pic:spPr>
                    <a:xfrm>
                      <a:off x="0" y="0"/>
                      <a:ext cx="3657600" cy="2438400"/>
                    </a:xfrm>
                    <a:prstGeom prst="rect"/>
                  </pic:spPr>
                </pic:pic>
              </a:graphicData>
            </a:graphic>
          </wp:inline>
        </w:drawing>
      </w:r>
    </w:p>
    <w:p>
      <w:pPr>
        <w:jc w:val="center"/>
      </w:pPr>
      <w:r>
        <w:rPr>
          <w:sz w:val="21"/>
        </w:rPr>
        <w:t>图 3-1 白葡萄酒质量评分分布</w:t>
      </w:r>
    </w:p>
    <w:p>
      <w:pPr>
        <w:jc w:val="center"/>
      </w:pPr>
      <w:r>
        <w:drawing>
          <wp:inline xmlns:a="http://schemas.openxmlformats.org/drawingml/2006/main" xmlns:pic="http://schemas.openxmlformats.org/drawingml/2006/picture">
            <wp:extent cx="4937760" cy="3950208"/>
            <wp:docPr id="3" name="Picture 3"/>
            <wp:cNvGraphicFramePr>
              <a:graphicFrameLocks noChangeAspect="1"/>
            </wp:cNvGraphicFramePr>
            <a:graphic>
              <a:graphicData uri="http://schemas.openxmlformats.org/drawingml/2006/picture">
                <pic:pic>
                  <pic:nvPicPr>
                    <pic:cNvPr id="0" name="eda_corr_heatmap.png"/>
                    <pic:cNvPicPr/>
                  </pic:nvPicPr>
                  <pic:blipFill>
                    <a:blip r:embed="rId11"/>
                    <a:stretch>
                      <a:fillRect/>
                    </a:stretch>
                  </pic:blipFill>
                  <pic:spPr>
                    <a:xfrm>
                      <a:off x="0" y="0"/>
                      <a:ext cx="4937760" cy="3950208"/>
                    </a:xfrm>
                    <a:prstGeom prst="rect"/>
                  </pic:spPr>
                </pic:pic>
              </a:graphicData>
            </a:graphic>
          </wp:inline>
        </w:drawing>
      </w:r>
    </w:p>
    <w:p>
      <w:pPr>
        <w:jc w:val="center"/>
      </w:pPr>
      <w:r>
        <w:rPr>
          <w:sz w:val="21"/>
        </w:rPr>
        <w:t>图 3-2 理化指标相关性热力图</w:t>
      </w:r>
    </w:p>
    <w:p>
      <w:pPr>
        <w:ind w:firstLine="480"/>
      </w:pPr>
      <w:r>
        <w:t>质量评分主要集中在 5、6、7 三档，极高或极低评分样本较少，说明直接预测原始整数评分会遇到少数类别样本不足的问题。相关性热力图显示，部分特征之间存在一定相关关系，例如密度与残糖、酒精度等变量存在关联，提示模型需要处理特征之间的联合影响。</w:t>
      </w:r>
    </w:p>
    <w:p>
      <w:pPr>
        <w:pStyle w:val="Heading2"/>
      </w:pPr>
      <w:r>
        <w:t>3.2 标签构造与数据划分</w:t>
      </w:r>
    </w:p>
    <w:p>
      <w:pPr>
        <w:ind w:firstLine="480"/>
      </w:pPr>
      <w:r>
        <w:t>实验将评分按 q≤5、q=6、q≥7 归并为“差”“中”“好”三类。该处理兼顾了类别可学习性和质量分级语义：q≤5 对应低于主流评分的样本，q=6 对应中等质量样本，q≥7 对应整体表现较好的样本。</w:t>
      </w:r>
    </w:p>
    <w:p>
      <w:pPr>
        <w:ind w:firstLine="480"/>
      </w:pPr>
      <w:r>
        <w:t>数据集按 80/20 进行分层划分，保证训练集和测试集中的类别比例基本一致。三分类标签虽然降低了原始评分的细粒度，但能够减少少数类别过稀带来的评估波动，也更符合实际质量筛选中“较差、一般、较好”的分级需求。</w:t>
      </w:r>
    </w:p>
    <w:p>
      <w:pPr>
        <w:pStyle w:val="Heading1"/>
      </w:pPr>
      <w:r>
        <w:t>第4章 模型建立与实验结果</w:t>
      </w:r>
    </w:p>
    <w:p>
      <w:pPr>
        <w:pStyle w:val="Heading2"/>
      </w:pPr>
      <w:r>
        <w:t>4.1 训练设置</w:t>
      </w:r>
    </w:p>
    <w:p>
      <w:pPr>
        <w:ind w:firstLine="480"/>
      </w:pPr>
      <w:r>
        <w:t>四种模型均采用五折交叉验证和网格搜索进行超参数选择。SVM 重点搜索惩罚系数 C 和 RBF 核参数 gamma；决策树和随机森林主要搜索树深度、叶子节点样本数和树数量；逻辑回归搜索正则化强度。参数范围保持相对克制，以便重点比较模型类型和误差结构，而不是单纯追求最高分。</w:t>
      </w:r>
    </w:p>
    <w:p>
      <w:pPr>
        <w:jc w:val="center"/>
      </w:pPr>
      <w:r>
        <w:drawing>
          <wp:inline xmlns:a="http://schemas.openxmlformats.org/drawingml/2006/main" xmlns:pic="http://schemas.openxmlformats.org/drawingml/2006/picture">
            <wp:extent cx="5303520" cy="2601009"/>
            <wp:docPr id="4" name="Picture 4"/>
            <wp:cNvGraphicFramePr>
              <a:graphicFrameLocks noChangeAspect="1"/>
            </wp:cNvGraphicFramePr>
            <a:graphic>
              <a:graphicData uri="http://schemas.openxmlformats.org/drawingml/2006/picture">
                <pic:pic>
                  <pic:nvPicPr>
                    <pic:cNvPr id="0" name="fig_ml_pipeline.png"/>
                    <pic:cNvPicPr/>
                  </pic:nvPicPr>
                  <pic:blipFill>
                    <a:blip r:embed="rId12"/>
                    <a:stretch>
                      <a:fillRect/>
                    </a:stretch>
                  </pic:blipFill>
                  <pic:spPr>
                    <a:xfrm>
                      <a:off x="0" y="0"/>
                      <a:ext cx="5303520" cy="2601009"/>
                    </a:xfrm>
                    <a:prstGeom prst="rect"/>
                  </pic:spPr>
                </pic:pic>
              </a:graphicData>
            </a:graphic>
          </wp:inline>
        </w:drawing>
      </w:r>
    </w:p>
    <w:p>
      <w:pPr>
        <w:jc w:val="center"/>
      </w:pPr>
      <w:r>
        <w:rPr>
          <w:sz w:val="21"/>
        </w:rPr>
        <w:t>图 4-1 任务一传统机器学习建模流程</w:t>
      </w:r>
    </w:p>
    <w:p>
      <w:pPr>
        <w:jc w:val="center"/>
      </w:pPr>
      <w:r>
        <w:rPr>
          <w:sz w:val="21"/>
        </w:rPr>
        <w:t>表 4-1 模型超参数搜索空间与最优结果</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模型</w:t>
            </w:r>
          </w:p>
        </w:tc>
        <w:tc>
          <w:tcPr>
            <w:tcW w:type="dxa" w:w="2880"/>
          </w:tcPr>
          <w:p>
            <w:r>
              <w:t>搜索空间</w:t>
            </w:r>
          </w:p>
        </w:tc>
        <w:tc>
          <w:tcPr>
            <w:tcW w:type="dxa" w:w="2880"/>
          </w:tcPr>
          <w:p>
            <w:r>
              <w:t>最优参数</w:t>
            </w:r>
          </w:p>
        </w:tc>
      </w:tr>
      <w:tr>
        <w:tc>
          <w:tcPr>
            <w:tcW w:type="dxa" w:w="2880"/>
          </w:tcPr>
          <w:p>
            <w:r>
              <w:t>SVM</w:t>
            </w:r>
          </w:p>
        </w:tc>
        <w:tc>
          <w:tcPr>
            <w:tcW w:type="dxa" w:w="2880"/>
          </w:tcPr>
          <w:p>
            <w:r>
              <w:t>C∈{1,10}，gamma∈{scale,0.1}</w:t>
            </w:r>
          </w:p>
        </w:tc>
        <w:tc>
          <w:tcPr>
            <w:tcW w:type="dxa" w:w="2880"/>
          </w:tcPr>
          <w:p>
            <w:r>
              <w:t>C=10，gamma=0.1</w:t>
            </w:r>
          </w:p>
        </w:tc>
      </w:tr>
      <w:tr>
        <w:tc>
          <w:tcPr>
            <w:tcW w:type="dxa" w:w="2880"/>
          </w:tcPr>
          <w:p>
            <w:r>
              <w:t>决策树</w:t>
            </w:r>
          </w:p>
        </w:tc>
        <w:tc>
          <w:tcPr>
            <w:tcW w:type="dxa" w:w="2880"/>
          </w:tcPr>
          <w:p>
            <w:r>
              <w:t>最大深度∈{None,10,20}，叶子样本∈{1,5}</w:t>
            </w:r>
          </w:p>
        </w:tc>
        <w:tc>
          <w:tcPr>
            <w:tcW w:type="dxa" w:w="2880"/>
          </w:tcPr>
          <w:p>
            <w:r>
              <w:t>深度 None，叶子样本 1</w:t>
            </w:r>
          </w:p>
        </w:tc>
      </w:tr>
      <w:tr>
        <w:tc>
          <w:tcPr>
            <w:tcW w:type="dxa" w:w="2880"/>
          </w:tcPr>
          <w:p>
            <w:r>
              <w:t>随机森林</w:t>
            </w:r>
          </w:p>
        </w:tc>
        <w:tc>
          <w:tcPr>
            <w:tcW w:type="dxa" w:w="2880"/>
          </w:tcPr>
          <w:p>
            <w:r>
              <w:t>树数∈{200,400}，最大深度∈{None,20}</w:t>
            </w:r>
          </w:p>
        </w:tc>
        <w:tc>
          <w:tcPr>
            <w:tcW w:type="dxa" w:w="2880"/>
          </w:tcPr>
          <w:p>
            <w:r>
              <w:t>树数 200，深度 20</w:t>
            </w:r>
          </w:p>
        </w:tc>
      </w:tr>
      <w:tr>
        <w:tc>
          <w:tcPr>
            <w:tcW w:type="dxa" w:w="2880"/>
          </w:tcPr>
          <w:p>
            <w:r>
              <w:t>逻辑回归</w:t>
            </w:r>
          </w:p>
        </w:tc>
        <w:tc>
          <w:tcPr>
            <w:tcW w:type="dxa" w:w="2880"/>
          </w:tcPr>
          <w:p>
            <w:r>
              <w:t>C∈{0.5,1,10}</w:t>
            </w:r>
          </w:p>
        </w:tc>
        <w:tc>
          <w:tcPr>
            <w:tcW w:type="dxa" w:w="2880"/>
          </w:tcPr>
          <w:p>
            <w:r>
              <w:t>C=0.5</w:t>
            </w:r>
          </w:p>
        </w:tc>
      </w:tr>
    </w:tbl>
    <w:p>
      <w:pPr>
        <w:jc w:val="center"/>
      </w:pPr>
      <w:r>
        <w:rPr>
          <w:sz w:val="21"/>
        </w:rPr>
        <w:t>表 4-2 四种模型基础评估指标</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模型</w:t>
            </w:r>
          </w:p>
        </w:tc>
        <w:tc>
          <w:tcPr>
            <w:tcW w:type="dxa" w:w="1728"/>
          </w:tcPr>
          <w:p>
            <w:r>
              <w:t>准确率</w:t>
            </w:r>
          </w:p>
        </w:tc>
        <w:tc>
          <w:tcPr>
            <w:tcW w:type="dxa" w:w="1728"/>
          </w:tcPr>
          <w:p>
            <w:r>
              <w:t>精确率</w:t>
            </w:r>
          </w:p>
        </w:tc>
        <w:tc>
          <w:tcPr>
            <w:tcW w:type="dxa" w:w="1728"/>
          </w:tcPr>
          <w:p>
            <w:r>
              <w:t>召回率</w:t>
            </w:r>
          </w:p>
        </w:tc>
        <w:tc>
          <w:tcPr>
            <w:tcW w:type="dxa" w:w="1728"/>
          </w:tcPr>
          <w:p>
            <w:r>
              <w:t>宏平均 F1</w:t>
            </w:r>
          </w:p>
        </w:tc>
      </w:tr>
      <w:tr>
        <w:tc>
          <w:tcPr>
            <w:tcW w:type="dxa" w:w="1728"/>
          </w:tcPr>
          <w:p>
            <w:r>
              <w:t>SVM</w:t>
            </w:r>
          </w:p>
        </w:tc>
        <w:tc>
          <w:tcPr>
            <w:tcW w:type="dxa" w:w="1728"/>
          </w:tcPr>
          <w:p>
            <w:r>
              <w:t>0.617</w:t>
            </w:r>
          </w:p>
        </w:tc>
        <w:tc>
          <w:tcPr>
            <w:tcW w:type="dxa" w:w="1728"/>
          </w:tcPr>
          <w:p>
            <w:r>
              <w:t>0.616</w:t>
            </w:r>
          </w:p>
        </w:tc>
        <w:tc>
          <w:tcPr>
            <w:tcW w:type="dxa" w:w="1728"/>
          </w:tcPr>
          <w:p>
            <w:r>
              <w:t>0.660</w:t>
            </w:r>
          </w:p>
        </w:tc>
        <w:tc>
          <w:tcPr>
            <w:tcW w:type="dxa" w:w="1728"/>
          </w:tcPr>
          <w:p>
            <w:r>
              <w:t>0.622</w:t>
            </w:r>
          </w:p>
        </w:tc>
      </w:tr>
      <w:tr>
        <w:tc>
          <w:tcPr>
            <w:tcW w:type="dxa" w:w="1728"/>
          </w:tcPr>
          <w:p>
            <w:r>
              <w:t>决策树</w:t>
            </w:r>
          </w:p>
        </w:tc>
        <w:tc>
          <w:tcPr>
            <w:tcW w:type="dxa" w:w="1728"/>
          </w:tcPr>
          <w:p>
            <w:r>
              <w:t>0.650</w:t>
            </w:r>
          </w:p>
        </w:tc>
        <w:tc>
          <w:tcPr>
            <w:tcW w:type="dxa" w:w="1728"/>
          </w:tcPr>
          <w:p>
            <w:r>
              <w:t>0.647</w:t>
            </w:r>
          </w:p>
        </w:tc>
        <w:tc>
          <w:tcPr>
            <w:tcW w:type="dxa" w:w="1728"/>
          </w:tcPr>
          <w:p>
            <w:r>
              <w:t>0.644</w:t>
            </w:r>
          </w:p>
        </w:tc>
        <w:tc>
          <w:tcPr>
            <w:tcW w:type="dxa" w:w="1728"/>
          </w:tcPr>
          <w:p>
            <w:r>
              <w:t>0.645</w:t>
            </w:r>
          </w:p>
        </w:tc>
      </w:tr>
      <w:tr>
        <w:tc>
          <w:tcPr>
            <w:tcW w:type="dxa" w:w="1728"/>
          </w:tcPr>
          <w:p>
            <w:r>
              <w:t>随机森林</w:t>
            </w:r>
          </w:p>
        </w:tc>
        <w:tc>
          <w:tcPr>
            <w:tcW w:type="dxa" w:w="1728"/>
          </w:tcPr>
          <w:p>
            <w:r>
              <w:t>0.735</w:t>
            </w:r>
          </w:p>
        </w:tc>
        <w:tc>
          <w:tcPr>
            <w:tcW w:type="dxa" w:w="1728"/>
          </w:tcPr>
          <w:p>
            <w:r>
              <w:t>0.748</w:t>
            </w:r>
          </w:p>
        </w:tc>
        <w:tc>
          <w:tcPr>
            <w:tcW w:type="dxa" w:w="1728"/>
          </w:tcPr>
          <w:p>
            <w:r>
              <w:t>0.723</w:t>
            </w:r>
          </w:p>
        </w:tc>
        <w:tc>
          <w:tcPr>
            <w:tcW w:type="dxa" w:w="1728"/>
          </w:tcPr>
          <w:p>
            <w:r>
              <w:t>0.734</w:t>
            </w:r>
          </w:p>
        </w:tc>
      </w:tr>
      <w:tr>
        <w:tc>
          <w:tcPr>
            <w:tcW w:type="dxa" w:w="1728"/>
          </w:tcPr>
          <w:p>
            <w:r>
              <w:t>逻辑回归</w:t>
            </w:r>
          </w:p>
        </w:tc>
        <w:tc>
          <w:tcPr>
            <w:tcW w:type="dxa" w:w="1728"/>
          </w:tcPr>
          <w:p>
            <w:r>
              <w:t>0.522</w:t>
            </w:r>
          </w:p>
        </w:tc>
        <w:tc>
          <w:tcPr>
            <w:tcW w:type="dxa" w:w="1728"/>
          </w:tcPr>
          <w:p>
            <w:r>
              <w:t>0.524</w:t>
            </w:r>
          </w:p>
        </w:tc>
        <w:tc>
          <w:tcPr>
            <w:tcW w:type="dxa" w:w="1728"/>
          </w:tcPr>
          <w:p>
            <w:r>
              <w:t>0.567</w:t>
            </w:r>
          </w:p>
        </w:tc>
        <w:tc>
          <w:tcPr>
            <w:tcW w:type="dxa" w:w="1728"/>
          </w:tcPr>
          <w:p>
            <w:r>
              <w:t>0.520</w:t>
            </w:r>
          </w:p>
        </w:tc>
      </w:tr>
    </w:tbl>
    <w:p>
      <w:pPr>
        <w:ind w:firstLine="480"/>
      </w:pPr>
      <w:r>
        <w:t>随机森林在准确率、精确率、召回率和宏平均 F1 上均取得最高结果。逻辑回归表现最低，说明理化指标与三类质量标签之间并非简单线性可分；SVM 能表达非线性边界，但在当前参数范围和数据条件下仍低于树模型；单棵决策树相比线性基线有所提升，但泛化稳定性有限。随机森林通过多树集成降低方差，更适合处理理化指标之间的非线性组合关系。</w:t>
      </w:r>
    </w:p>
    <w:p>
      <w:pPr>
        <w:jc w:val="center"/>
      </w:pPr>
      <w:r>
        <w:rPr>
          <w:sz w:val="21"/>
        </w:rPr>
        <w:t>表 4-3 四种模型进阶评估指标</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模型</w:t>
            </w:r>
          </w:p>
        </w:tc>
        <w:tc>
          <w:tcPr>
            <w:tcW w:type="dxa" w:w="1728"/>
          </w:tcPr>
          <w:p>
            <w:r>
              <w:t>平衡准确率</w:t>
            </w:r>
          </w:p>
        </w:tc>
        <w:tc>
          <w:tcPr>
            <w:tcW w:type="dxa" w:w="1728"/>
          </w:tcPr>
          <w:p>
            <w:r>
              <w:t>二次加权 Kappa</w:t>
            </w:r>
          </w:p>
        </w:tc>
        <w:tc>
          <w:tcPr>
            <w:tcW w:type="dxa" w:w="1728"/>
          </w:tcPr>
          <w:p>
            <w:r>
              <w:t>MCC</w:t>
            </w:r>
          </w:p>
        </w:tc>
        <w:tc>
          <w:tcPr>
            <w:tcW w:type="dxa" w:w="1728"/>
          </w:tcPr>
          <w:p>
            <w:r>
              <w:t>宏 ROC-AUC</w:t>
            </w:r>
          </w:p>
        </w:tc>
      </w:tr>
      <w:tr>
        <w:tc>
          <w:tcPr>
            <w:tcW w:type="dxa" w:w="1728"/>
          </w:tcPr>
          <w:p>
            <w:r>
              <w:t>SVM</w:t>
            </w:r>
          </w:p>
        </w:tc>
        <w:tc>
          <w:tcPr>
            <w:tcW w:type="dxa" w:w="1728"/>
          </w:tcPr>
          <w:p>
            <w:r>
              <w:t>0.660</w:t>
            </w:r>
          </w:p>
        </w:tc>
        <w:tc>
          <w:tcPr>
            <w:tcW w:type="dxa" w:w="1728"/>
          </w:tcPr>
          <w:p>
            <w:r>
              <w:t>0.626</w:t>
            </w:r>
          </w:p>
        </w:tc>
        <w:tc>
          <w:tcPr>
            <w:tcW w:type="dxa" w:w="1728"/>
          </w:tcPr>
          <w:p>
            <w:r>
              <w:t>0.439</w:t>
            </w:r>
          </w:p>
        </w:tc>
        <w:tc>
          <w:tcPr>
            <w:tcW w:type="dxa" w:w="1728"/>
          </w:tcPr>
          <w:p>
            <w:r>
              <w:t>0.819</w:t>
            </w:r>
          </w:p>
        </w:tc>
      </w:tr>
      <w:tr>
        <w:tc>
          <w:tcPr>
            <w:tcW w:type="dxa" w:w="1728"/>
          </w:tcPr>
          <w:p>
            <w:r>
              <w:t>决策树</w:t>
            </w:r>
          </w:p>
        </w:tc>
        <w:tc>
          <w:tcPr>
            <w:tcW w:type="dxa" w:w="1728"/>
          </w:tcPr>
          <w:p>
            <w:r>
              <w:t>0.644</w:t>
            </w:r>
          </w:p>
        </w:tc>
        <w:tc>
          <w:tcPr>
            <w:tcW w:type="dxa" w:w="1728"/>
          </w:tcPr>
          <w:p>
            <w:r>
              <w:t>0.566</w:t>
            </w:r>
          </w:p>
        </w:tc>
        <w:tc>
          <w:tcPr>
            <w:tcW w:type="dxa" w:w="1728"/>
          </w:tcPr>
          <w:p>
            <w:r>
              <w:t>0.452</w:t>
            </w:r>
          </w:p>
        </w:tc>
        <w:tc>
          <w:tcPr>
            <w:tcW w:type="dxa" w:w="1728"/>
          </w:tcPr>
          <w:p>
            <w:r>
              <w:t>0.729</w:t>
            </w:r>
          </w:p>
        </w:tc>
      </w:tr>
      <w:tr>
        <w:tc>
          <w:tcPr>
            <w:tcW w:type="dxa" w:w="1728"/>
          </w:tcPr>
          <w:p>
            <w:r>
              <w:t>随机森林</w:t>
            </w:r>
          </w:p>
        </w:tc>
        <w:tc>
          <w:tcPr>
            <w:tcW w:type="dxa" w:w="1728"/>
          </w:tcPr>
          <w:p>
            <w:r>
              <w:t>0.723</w:t>
            </w:r>
          </w:p>
        </w:tc>
        <w:tc>
          <w:tcPr>
            <w:tcW w:type="dxa" w:w="1728"/>
          </w:tcPr>
          <w:p>
            <w:r>
              <w:t>0.720</w:t>
            </w:r>
          </w:p>
        </w:tc>
        <w:tc>
          <w:tcPr>
            <w:tcW w:type="dxa" w:w="1728"/>
          </w:tcPr>
          <w:p>
            <w:r>
              <w:t>0.581</w:t>
            </w:r>
          </w:p>
        </w:tc>
        <w:tc>
          <w:tcPr>
            <w:tcW w:type="dxa" w:w="1728"/>
          </w:tcPr>
          <w:p>
            <w:r>
              <w:t>0.899</w:t>
            </w:r>
          </w:p>
        </w:tc>
      </w:tr>
      <w:tr>
        <w:tc>
          <w:tcPr>
            <w:tcW w:type="dxa" w:w="1728"/>
          </w:tcPr>
          <w:p>
            <w:r>
              <w:t>逻辑回归</w:t>
            </w:r>
          </w:p>
        </w:tc>
        <w:tc>
          <w:tcPr>
            <w:tcW w:type="dxa" w:w="1728"/>
          </w:tcPr>
          <w:p>
            <w:r>
              <w:t>0.567</w:t>
            </w:r>
          </w:p>
        </w:tc>
        <w:tc>
          <w:tcPr>
            <w:tcW w:type="dxa" w:w="1728"/>
          </w:tcPr>
          <w:p>
            <w:r>
              <w:t>0.491</w:t>
            </w:r>
          </w:p>
        </w:tc>
        <w:tc>
          <w:tcPr>
            <w:tcW w:type="dxa" w:w="1728"/>
          </w:tcPr>
          <w:p>
            <w:r>
              <w:t>0.311</w:t>
            </w:r>
          </w:p>
        </w:tc>
        <w:tc>
          <w:tcPr>
            <w:tcW w:type="dxa" w:w="1728"/>
          </w:tcPr>
          <w:p>
            <w:r>
              <w:t>0.740</w:t>
            </w:r>
          </w:p>
        </w:tc>
      </w:tr>
    </w:tbl>
    <w:p>
      <w:pPr>
        <w:ind w:firstLine="480"/>
      </w:pPr>
      <w:r>
        <w:t>随机森林在平衡准确率、二次加权 Kappa、MCC 和宏平均 ROC-AUC 上也取得最高结果，说明其优势不只体现在总体准确率上。二次加权 Kappa 为 0.720，表示预测结果与真实等级具有较好有序一致性；宏 ROC-AUC 为 0.899，说明模型概率输出具有较好的类别排序能力。</w:t>
      </w:r>
    </w:p>
    <w:p>
      <w:pPr>
        <w:jc w:val="center"/>
      </w:pPr>
      <w:r>
        <w:drawing>
          <wp:inline xmlns:a="http://schemas.openxmlformats.org/drawingml/2006/main" xmlns:pic="http://schemas.openxmlformats.org/drawingml/2006/picture">
            <wp:extent cx="4846320" cy="3028950"/>
            <wp:docPr id="5" name="Picture 5"/>
            <wp:cNvGraphicFramePr>
              <a:graphicFrameLocks noChangeAspect="1"/>
            </wp:cNvGraphicFramePr>
            <a:graphic>
              <a:graphicData uri="http://schemas.openxmlformats.org/drawingml/2006/picture">
                <pic:pic>
                  <pic:nvPicPr>
                    <pic:cNvPr id="0" name="model_compare.png"/>
                    <pic:cNvPicPr/>
                  </pic:nvPicPr>
                  <pic:blipFill>
                    <a:blip r:embed="rId13"/>
                    <a:stretch>
                      <a:fillRect/>
                    </a:stretch>
                  </pic:blipFill>
                  <pic:spPr>
                    <a:xfrm>
                      <a:off x="0" y="0"/>
                      <a:ext cx="4846320" cy="3028950"/>
                    </a:xfrm>
                    <a:prstGeom prst="rect"/>
                  </pic:spPr>
                </pic:pic>
              </a:graphicData>
            </a:graphic>
          </wp:inline>
        </w:drawing>
      </w:r>
    </w:p>
    <w:p>
      <w:pPr>
        <w:jc w:val="center"/>
      </w:pPr>
      <w:r>
        <w:rPr>
          <w:sz w:val="21"/>
        </w:rPr>
        <w:t>图 4-2 四种模型指标对比</w:t>
      </w:r>
    </w:p>
    <w:p>
      <w:pPr>
        <w:jc w:val="center"/>
      </w:pPr>
      <w:r>
        <w:drawing>
          <wp:inline xmlns:a="http://schemas.openxmlformats.org/drawingml/2006/main" xmlns:pic="http://schemas.openxmlformats.org/drawingml/2006/picture">
            <wp:extent cx="3840480" cy="3072384"/>
            <wp:docPr id="6" name="Picture 6"/>
            <wp:cNvGraphicFramePr>
              <a:graphicFrameLocks noChangeAspect="1"/>
            </wp:cNvGraphicFramePr>
            <a:graphic>
              <a:graphicData uri="http://schemas.openxmlformats.org/drawingml/2006/picture">
                <pic:pic>
                  <pic:nvPicPr>
                    <pic:cNvPr id="0" name="cm_random_forest.png"/>
                    <pic:cNvPicPr/>
                  </pic:nvPicPr>
                  <pic:blipFill>
                    <a:blip r:embed="rId14"/>
                    <a:stretch>
                      <a:fillRect/>
                    </a:stretch>
                  </pic:blipFill>
                  <pic:spPr>
                    <a:xfrm>
                      <a:off x="0" y="0"/>
                      <a:ext cx="3840480" cy="3072384"/>
                    </a:xfrm>
                    <a:prstGeom prst="rect"/>
                  </pic:spPr>
                </pic:pic>
              </a:graphicData>
            </a:graphic>
          </wp:inline>
        </w:drawing>
      </w:r>
    </w:p>
    <w:p>
      <w:pPr>
        <w:jc w:val="center"/>
      </w:pPr>
      <w:r>
        <w:rPr>
          <w:sz w:val="21"/>
        </w:rPr>
        <w:t>图 4-3 随机森林混淆矩阵</w:t>
      </w:r>
    </w:p>
    <w:p>
      <w:pPr>
        <w:jc w:val="center"/>
      </w:pPr>
      <w:r>
        <w:drawing>
          <wp:inline xmlns:a="http://schemas.openxmlformats.org/drawingml/2006/main" xmlns:pic="http://schemas.openxmlformats.org/drawingml/2006/picture">
            <wp:extent cx="4389120" cy="3135086"/>
            <wp:docPr id="7" name="Picture 7"/>
            <wp:cNvGraphicFramePr>
              <a:graphicFrameLocks noChangeAspect="1"/>
            </wp:cNvGraphicFramePr>
            <a:graphic>
              <a:graphicData uri="http://schemas.openxmlformats.org/drawingml/2006/picture">
                <pic:pic>
                  <pic:nvPicPr>
                    <pic:cNvPr id="0" name="rf_feature_importance.png"/>
                    <pic:cNvPicPr/>
                  </pic:nvPicPr>
                  <pic:blipFill>
                    <a:blip r:embed="rId15"/>
                    <a:stretch>
                      <a:fillRect/>
                    </a:stretch>
                  </pic:blipFill>
                  <pic:spPr>
                    <a:xfrm>
                      <a:off x="0" y="0"/>
                      <a:ext cx="4389120" cy="3135086"/>
                    </a:xfrm>
                    <a:prstGeom prst="rect"/>
                  </pic:spPr>
                </pic:pic>
              </a:graphicData>
            </a:graphic>
          </wp:inline>
        </w:drawing>
      </w:r>
    </w:p>
    <w:p>
      <w:pPr>
        <w:jc w:val="center"/>
      </w:pPr>
      <w:r>
        <w:rPr>
          <w:sz w:val="21"/>
        </w:rPr>
        <w:t>图 4-4 随机森林特征重要性</w:t>
      </w:r>
    </w:p>
    <w:p>
      <w:pPr>
        <w:ind w:firstLine="480"/>
      </w:pPr>
      <w:r>
        <w:t>随机森林对“差”和“好”两端类别的精确率较高，但“中”类样本与相邻等级边界较模糊。特征重要性显示，酒精度、密度和挥发性酸度对质量等级判别贡献较大。这一结果与葡萄酒质量判断常识基本一致，但特征重要性只能作为模型解释参考，不能直接理解为严格因果关系。</w:t>
      </w:r>
    </w:p>
    <w:p>
      <w:pPr>
        <w:pStyle w:val="Heading1"/>
      </w:pPr>
      <w:r>
        <w:t>第5章 误差分析与补充实验</w:t>
      </w:r>
    </w:p>
    <w:p>
      <w:pPr>
        <w:pStyle w:val="Heading2"/>
      </w:pPr>
      <w:r>
        <w:t>5.1 邻级混淆现象</w:t>
      </w:r>
    </w:p>
    <w:p>
      <w:pPr>
        <w:ind w:firstLine="480"/>
      </w:pPr>
      <w:r>
        <w:t>随机森林的主要误差集中在“差”和“中”、“中”和“好”之间，而“差”和“好”之间的严重跨级误判较少。这说明模型较难完全区分相邻等级，但整体上能够保持质量等级的排序方向。对于葡萄酒评分而言，相邻分值往往对应若干理化指标和感官因素的综合变化，边界样本在特征空间中可能存在重叠。</w:t>
      </w:r>
    </w:p>
    <w:p>
      <w:pPr>
        <w:pStyle w:val="Heading2"/>
      </w:pPr>
      <w:r>
        <w:t>5.2 有序回归分级对照</w:t>
      </w:r>
    </w:p>
    <w:p>
      <w:pPr>
        <w:ind w:firstLine="480"/>
      </w:pPr>
      <w:r>
        <w:t>由于葡萄酒质量评分具有天然顺序，本文补充采用“回归预测连续质量分，再按阈值分级”的方式进行对照。该方法先预测连续质量分，再映射到三类标签，因此能够保留评分从低到高的顺序结构。</w:t>
      </w:r>
    </w:p>
    <w:p>
      <w:pPr>
        <w:jc w:val="center"/>
      </w:pPr>
      <w:r>
        <w:rPr>
          <w:sz w:val="21"/>
        </w:rPr>
        <w:t>表 5-1 直接分类与有序回归分级对比</w:t>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方法</w:t>
            </w:r>
          </w:p>
        </w:tc>
        <w:tc>
          <w:tcPr>
            <w:tcW w:type="dxa" w:w="1440"/>
          </w:tcPr>
          <w:p>
            <w:r>
              <w:t>准确率</w:t>
            </w:r>
          </w:p>
        </w:tc>
        <w:tc>
          <w:tcPr>
            <w:tcW w:type="dxa" w:w="1440"/>
          </w:tcPr>
          <w:p>
            <w:r>
              <w:t>宏平均 F1</w:t>
            </w:r>
          </w:p>
        </w:tc>
        <w:tc>
          <w:tcPr>
            <w:tcW w:type="dxa" w:w="1440"/>
          </w:tcPr>
          <w:p>
            <w:r>
              <w:t>二次加权 Kappa</w:t>
            </w:r>
          </w:p>
        </w:tc>
        <w:tc>
          <w:tcPr>
            <w:tcW w:type="dxa" w:w="1440"/>
          </w:tcPr>
          <w:p>
            <w:r>
              <w:t>严重误判数</w:t>
            </w:r>
          </w:p>
        </w:tc>
        <w:tc>
          <w:tcPr>
            <w:tcW w:type="dxa" w:w="1440"/>
          </w:tcPr>
          <w:p>
            <w:r>
              <w:t>有序 MAE</w:t>
            </w:r>
          </w:p>
        </w:tc>
      </w:tr>
      <w:tr>
        <w:tc>
          <w:tcPr>
            <w:tcW w:type="dxa" w:w="1440"/>
          </w:tcPr>
          <w:p>
            <w:r>
              <w:t>直接分类（随机森林）</w:t>
            </w:r>
          </w:p>
        </w:tc>
        <w:tc>
          <w:tcPr>
            <w:tcW w:type="dxa" w:w="1440"/>
          </w:tcPr>
          <w:p>
            <w:r>
              <w:t>0.7347</w:t>
            </w:r>
          </w:p>
        </w:tc>
        <w:tc>
          <w:tcPr>
            <w:tcW w:type="dxa" w:w="1440"/>
          </w:tcPr>
          <w:p>
            <w:r>
              <w:t>0.7336</w:t>
            </w:r>
          </w:p>
        </w:tc>
        <w:tc>
          <w:tcPr>
            <w:tcW w:type="dxa" w:w="1440"/>
          </w:tcPr>
          <w:p>
            <w:r>
              <w:t>0.7200</w:t>
            </w:r>
          </w:p>
        </w:tc>
        <w:tc>
          <w:tcPr>
            <w:tcW w:type="dxa" w:w="1440"/>
          </w:tcPr>
          <w:p>
            <w:r>
              <w:t>7</w:t>
            </w:r>
          </w:p>
        </w:tc>
        <w:tc>
          <w:tcPr>
            <w:tcW w:type="dxa" w:w="1440"/>
          </w:tcPr>
          <w:p>
            <w:r>
              <w:t>0.2724</w:t>
            </w:r>
          </w:p>
        </w:tc>
      </w:tr>
      <w:tr>
        <w:tc>
          <w:tcPr>
            <w:tcW w:type="dxa" w:w="1440"/>
          </w:tcPr>
          <w:p>
            <w:r>
              <w:t>有序回归→分级</w:t>
            </w:r>
          </w:p>
        </w:tc>
        <w:tc>
          <w:tcPr>
            <w:tcW w:type="dxa" w:w="1440"/>
          </w:tcPr>
          <w:p>
            <w:r>
              <w:t>0.7571</w:t>
            </w:r>
          </w:p>
        </w:tc>
        <w:tc>
          <w:tcPr>
            <w:tcW w:type="dxa" w:w="1440"/>
          </w:tcPr>
          <w:p>
            <w:r>
              <w:t>0.7533</w:t>
            </w:r>
          </w:p>
        </w:tc>
        <w:tc>
          <w:tcPr>
            <w:tcW w:type="dxa" w:w="1440"/>
          </w:tcPr>
          <w:p>
            <w:r>
              <w:t>0.7411</w:t>
            </w:r>
          </w:p>
        </w:tc>
        <w:tc>
          <w:tcPr>
            <w:tcW w:type="dxa" w:w="1440"/>
          </w:tcPr>
          <w:p>
            <w:r>
              <w:t>4</w:t>
            </w:r>
          </w:p>
        </w:tc>
        <w:tc>
          <w:tcPr>
            <w:tcW w:type="dxa" w:w="1440"/>
          </w:tcPr>
          <w:p>
            <w:r>
              <w:t>0.2469</w:t>
            </w:r>
          </w:p>
        </w:tc>
      </w:tr>
    </w:tbl>
    <w:p>
      <w:pPr>
        <w:jc w:val="center"/>
      </w:pPr>
      <w:r>
        <w:drawing>
          <wp:inline xmlns:a="http://schemas.openxmlformats.org/drawingml/2006/main" xmlns:pic="http://schemas.openxmlformats.org/drawingml/2006/picture">
            <wp:extent cx="3657600" cy="2926080"/>
            <wp:docPr id="8" name="Picture 8"/>
            <wp:cNvGraphicFramePr>
              <a:graphicFrameLocks noChangeAspect="1"/>
            </wp:cNvGraphicFramePr>
            <a:graphic>
              <a:graphicData uri="http://schemas.openxmlformats.org/drawingml/2006/picture">
                <pic:pic>
                  <pic:nvPicPr>
                    <pic:cNvPr id="0" name="ordinal_improvement.png"/>
                    <pic:cNvPicPr/>
                  </pic:nvPicPr>
                  <pic:blipFill>
                    <a:blip r:embed="rId16"/>
                    <a:stretch>
                      <a:fillRect/>
                    </a:stretch>
                  </pic:blipFill>
                  <pic:spPr>
                    <a:xfrm>
                      <a:off x="0" y="0"/>
                      <a:ext cx="3657600" cy="2926080"/>
                    </a:xfrm>
                    <a:prstGeom prst="rect"/>
                  </pic:spPr>
                </pic:pic>
              </a:graphicData>
            </a:graphic>
          </wp:inline>
        </w:drawing>
      </w:r>
    </w:p>
    <w:p>
      <w:pPr>
        <w:jc w:val="center"/>
      </w:pPr>
      <w:r>
        <w:rPr>
          <w:sz w:val="21"/>
        </w:rPr>
        <w:t>图 5-1 有序回归分级减少严重误判</w:t>
      </w:r>
    </w:p>
    <w:p>
      <w:pPr>
        <w:ind w:firstLine="480"/>
      </w:pPr>
      <w:r>
        <w:t>有序回归分级使准确率由 0.7347 提升至 0.7571，宏平均 F1 由 0.7336 提升至 0.7533，严重跨级误判数由 7 降至 4。这说明在质量等级具有自然顺序的场景中，将标签有序性纳入建模和评价过程具有实际意义。该对照仍属于基础尝试，后续需要多随机种子和专门有序分类模型进一步验证稳定性。</w:t>
      </w:r>
    </w:p>
    <w:p>
      <w:pPr>
        <w:pStyle w:val="Heading1"/>
      </w:pPr>
      <w:r>
        <w:t>第6章 跨数据集模型对照研究</w:t>
      </w:r>
    </w:p>
    <w:p>
      <w:pPr>
        <w:ind w:firstLine="480"/>
      </w:pPr>
      <w:r>
        <w:t>前述各章均围绕白葡萄酒一个数据集展开。为进一步回答“究竟是什么决定了传统机器学习模型的分类性能”，本章以四种模型本身为研究对象，把同一套建模管线推广到难度递增的五个结构化数据集上对照，考察模型表现如何随数据特点变化。本章核心结论是：不存在放之四海而皆准的“最优模型”，性能由数据特点与“模型—数据匹配”共同决定。</w:t>
      </w:r>
    </w:p>
    <w:p>
      <w:pPr>
        <w:pStyle w:val="Heading2"/>
      </w:pPr>
      <w:r>
        <w:t>6.1 实验设置：难度阶梯与统一模型管线</w:t>
      </w:r>
    </w:p>
    <w:p>
      <w:pPr>
        <w:ind w:firstLine="480"/>
      </w:pPr>
      <w:r>
        <w:t>本章在白葡萄酒之外，另选取电离层雷达回波（ionosphere）、贷款违约预测（Lending Club）、干豆形态分类（Dry Bean）和臭氧层超标检测（Ozone）四个公开数据集。五个数据集在样本量、特征维度、类别数和类别平衡程度上差异明显，构成由易到难的难度阶梯，如表 6-1 所示。其中 Lending Club 原始数据约 1.19GB，本文仅取已结清贷款、剔除回款额等会泄露标签的事后特征，并按类别分层抽样 3 万条以保证可计算性。</w:t>
      </w:r>
    </w:p>
    <w:p>
      <w:pPr>
        <w:jc w:val="center"/>
      </w:pPr>
      <w:r>
        <w:rPr>
          <w:sz w:val="21"/>
        </w:rPr>
        <w:t>表 6-1 五个结构化数据集的基本特征</w:t>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数据集</w:t>
            </w:r>
          </w:p>
        </w:tc>
        <w:tc>
          <w:tcPr>
            <w:tcW w:type="dxa" w:w="1440"/>
          </w:tcPr>
          <w:p>
            <w:r>
              <w:t>样本数</w:t>
            </w:r>
          </w:p>
        </w:tc>
        <w:tc>
          <w:tcPr>
            <w:tcW w:type="dxa" w:w="1440"/>
          </w:tcPr>
          <w:p>
            <w:r>
              <w:t>特征维度</w:t>
            </w:r>
          </w:p>
        </w:tc>
        <w:tc>
          <w:tcPr>
            <w:tcW w:type="dxa" w:w="1440"/>
          </w:tcPr>
          <w:p>
            <w:r>
              <w:t>类别数</w:t>
            </w:r>
          </w:p>
        </w:tc>
        <w:tc>
          <w:tcPr>
            <w:tcW w:type="dxa" w:w="1440"/>
          </w:tcPr>
          <w:p>
            <w:r>
              <w:t>不平衡比</w:t>
            </w:r>
          </w:p>
        </w:tc>
        <w:tc>
          <w:tcPr>
            <w:tcW w:type="dxa" w:w="1440"/>
          </w:tcPr>
          <w:p>
            <w:r>
              <w:t>特点</w:t>
            </w:r>
          </w:p>
        </w:tc>
      </w:tr>
      <w:tr>
        <w:tc>
          <w:tcPr>
            <w:tcW w:type="dxa" w:w="1440"/>
          </w:tcPr>
          <w:p>
            <w:r>
              <w:t>电离层 ionosphere</w:t>
            </w:r>
          </w:p>
        </w:tc>
        <w:tc>
          <w:tcPr>
            <w:tcW w:type="dxa" w:w="1440"/>
          </w:tcPr>
          <w:p>
            <w:r>
              <w:t>351</w:t>
            </w:r>
          </w:p>
        </w:tc>
        <w:tc>
          <w:tcPr>
            <w:tcW w:type="dxa" w:w="1440"/>
          </w:tcPr>
          <w:p>
            <w:r>
              <w:t>34</w:t>
            </w:r>
          </w:p>
        </w:tc>
        <w:tc>
          <w:tcPr>
            <w:tcW w:type="dxa" w:w="1440"/>
          </w:tcPr>
          <w:p>
            <w:r>
              <w:t>2</w:t>
            </w:r>
          </w:p>
        </w:tc>
        <w:tc>
          <w:tcPr>
            <w:tcW w:type="dxa" w:w="1440"/>
          </w:tcPr>
          <w:p>
            <w:r>
              <w:t>1.8</w:t>
            </w:r>
          </w:p>
        </w:tc>
        <w:tc>
          <w:tcPr>
            <w:tcW w:type="dxa" w:w="1440"/>
          </w:tcPr>
          <w:p>
            <w:r>
              <w:t>小样本、近线性可分</w:t>
            </w:r>
          </w:p>
        </w:tc>
      </w:tr>
      <w:tr>
        <w:tc>
          <w:tcPr>
            <w:tcW w:type="dxa" w:w="1440"/>
          </w:tcPr>
          <w:p>
            <w:r>
              <w:t>白葡萄酒 wine</w:t>
            </w:r>
          </w:p>
        </w:tc>
        <w:tc>
          <w:tcPr>
            <w:tcW w:type="dxa" w:w="1440"/>
          </w:tcPr>
          <w:p>
            <w:r>
              <w:t>4898</w:t>
            </w:r>
          </w:p>
        </w:tc>
        <w:tc>
          <w:tcPr>
            <w:tcW w:type="dxa" w:w="1440"/>
          </w:tcPr>
          <w:p>
            <w:r>
              <w:t>11</w:t>
            </w:r>
          </w:p>
        </w:tc>
        <w:tc>
          <w:tcPr>
            <w:tcW w:type="dxa" w:w="1440"/>
          </w:tcPr>
          <w:p>
            <w:r>
              <w:t>3</w:t>
            </w:r>
          </w:p>
        </w:tc>
        <w:tc>
          <w:tcPr>
            <w:tcW w:type="dxa" w:w="1440"/>
          </w:tcPr>
          <w:p>
            <w:r>
              <w:t>2.1</w:t>
            </w:r>
          </w:p>
        </w:tc>
        <w:tc>
          <w:tcPr>
            <w:tcW w:type="dxa" w:w="1440"/>
          </w:tcPr>
          <w:p>
            <w:r>
              <w:t>有序、轻度不平衡</w:t>
            </w:r>
          </w:p>
        </w:tc>
      </w:tr>
      <w:tr>
        <w:tc>
          <w:tcPr>
            <w:tcW w:type="dxa" w:w="1440"/>
          </w:tcPr>
          <w:p>
            <w:r>
              <w:t>贷款违约 Lending Club</w:t>
            </w:r>
          </w:p>
        </w:tc>
        <w:tc>
          <w:tcPr>
            <w:tcW w:type="dxa" w:w="1440"/>
          </w:tcPr>
          <w:p>
            <w:r>
              <w:t>30000</w:t>
            </w:r>
          </w:p>
        </w:tc>
        <w:tc>
          <w:tcPr>
            <w:tcW w:type="dxa" w:w="1440"/>
          </w:tcPr>
          <w:p>
            <w:r>
              <w:t>12</w:t>
            </w:r>
          </w:p>
        </w:tc>
        <w:tc>
          <w:tcPr>
            <w:tcW w:type="dxa" w:w="1440"/>
          </w:tcPr>
          <w:p>
            <w:r>
              <w:t>2</w:t>
            </w:r>
          </w:p>
        </w:tc>
        <w:tc>
          <w:tcPr>
            <w:tcW w:type="dxa" w:w="1440"/>
          </w:tcPr>
          <w:p>
            <w:r>
              <w:t>4.0</w:t>
            </w:r>
          </w:p>
        </w:tc>
        <w:tc>
          <w:tcPr>
            <w:tcW w:type="dxa" w:w="1440"/>
          </w:tcPr>
          <w:p>
            <w:r>
              <w:t>大规模、弱信号</w:t>
            </w:r>
          </w:p>
        </w:tc>
      </w:tr>
      <w:tr>
        <w:tc>
          <w:tcPr>
            <w:tcW w:type="dxa" w:w="1440"/>
          </w:tcPr>
          <w:p>
            <w:r>
              <w:t>干豆 Dry Bean</w:t>
            </w:r>
          </w:p>
        </w:tc>
        <w:tc>
          <w:tcPr>
            <w:tcW w:type="dxa" w:w="1440"/>
          </w:tcPr>
          <w:p>
            <w:r>
              <w:t>13611</w:t>
            </w:r>
          </w:p>
        </w:tc>
        <w:tc>
          <w:tcPr>
            <w:tcW w:type="dxa" w:w="1440"/>
          </w:tcPr>
          <w:p>
            <w:r>
              <w:t>16</w:t>
            </w:r>
          </w:p>
        </w:tc>
        <w:tc>
          <w:tcPr>
            <w:tcW w:type="dxa" w:w="1440"/>
          </w:tcPr>
          <w:p>
            <w:r>
              <w:t>7</w:t>
            </w:r>
          </w:p>
        </w:tc>
        <w:tc>
          <w:tcPr>
            <w:tcW w:type="dxa" w:w="1440"/>
          </w:tcPr>
          <w:p>
            <w:r>
              <w:t>6.8</w:t>
            </w:r>
          </w:p>
        </w:tc>
        <w:tc>
          <w:tcPr>
            <w:tcW w:type="dxa" w:w="1440"/>
          </w:tcPr>
          <w:p>
            <w:r>
              <w:t>多分类、形态可分</w:t>
            </w:r>
          </w:p>
        </w:tc>
      </w:tr>
      <w:tr>
        <w:tc>
          <w:tcPr>
            <w:tcW w:type="dxa" w:w="1440"/>
          </w:tcPr>
          <w:p>
            <w:r>
              <w:t>臭氧 Ozone</w:t>
            </w:r>
          </w:p>
        </w:tc>
        <w:tc>
          <w:tcPr>
            <w:tcW w:type="dxa" w:w="1440"/>
          </w:tcPr>
          <w:p>
            <w:r>
              <w:t>2536</w:t>
            </w:r>
          </w:p>
        </w:tc>
        <w:tc>
          <w:tcPr>
            <w:tcW w:type="dxa" w:w="1440"/>
          </w:tcPr>
          <w:p>
            <w:r>
              <w:t>72</w:t>
            </w:r>
          </w:p>
        </w:tc>
        <w:tc>
          <w:tcPr>
            <w:tcW w:type="dxa" w:w="1440"/>
          </w:tcPr>
          <w:p>
            <w:r>
              <w:t>2</w:t>
            </w:r>
          </w:p>
        </w:tc>
        <w:tc>
          <w:tcPr>
            <w:tcW w:type="dxa" w:w="1440"/>
          </w:tcPr>
          <w:p>
            <w:r>
              <w:t>33.7</w:t>
            </w:r>
          </w:p>
        </w:tc>
        <w:tc>
          <w:tcPr>
            <w:tcW w:type="dxa" w:w="1440"/>
          </w:tcPr>
          <w:p>
            <w:r>
              <w:t>高维、极度不平衡</w:t>
            </w:r>
          </w:p>
        </w:tc>
      </w:tr>
    </w:tbl>
    <w:p>
      <w:pPr>
        <w:jc w:val="center"/>
      </w:pPr>
      <w:r>
        <w:drawing>
          <wp:inline xmlns:a="http://schemas.openxmlformats.org/drawingml/2006/main" xmlns:pic="http://schemas.openxmlformats.org/drawingml/2006/picture">
            <wp:extent cx="5486400" cy="3087741"/>
            <wp:docPr id="9" name="Picture 9"/>
            <wp:cNvGraphicFramePr>
              <a:graphicFrameLocks noChangeAspect="1"/>
            </wp:cNvGraphicFramePr>
            <a:graphic>
              <a:graphicData uri="http://schemas.openxmlformats.org/drawingml/2006/picture">
                <pic:pic>
                  <pic:nvPicPr>
                    <pic:cNvPr id="0" name="fig_tab_datasets.png"/>
                    <pic:cNvPicPr/>
                  </pic:nvPicPr>
                  <pic:blipFill>
                    <a:blip r:embed="rId17"/>
                    <a:stretch>
                      <a:fillRect/>
                    </a:stretch>
                  </pic:blipFill>
                  <pic:spPr>
                    <a:xfrm>
                      <a:off x="0" y="0"/>
                      <a:ext cx="5486400" cy="3087741"/>
                    </a:xfrm>
                    <a:prstGeom prst="rect"/>
                  </pic:spPr>
                </pic:pic>
              </a:graphicData>
            </a:graphic>
          </wp:inline>
        </w:drawing>
      </w:r>
    </w:p>
    <w:p>
      <w:pPr>
        <w:jc w:val="center"/>
      </w:pPr>
      <w:r>
        <w:rPr>
          <w:sz w:val="21"/>
        </w:rPr>
        <w:t>图 6-1 五个结构化数据集的难度阶梯：从小样本近线性可分到大规模弱信号、多分类与极端不平衡</w:t>
      </w:r>
    </w:p>
    <w:p>
      <w:pPr>
        <w:ind w:firstLine="480"/>
      </w:pPr>
      <w:r>
        <w:t>五个数据集统一采用相同的建模管线：标准化、五折交叉验证和网格搜索，并对每个数据集使用完全相同的四种模型（SVM、决策树、随机森林、逻辑回归）及超参数搜索空间，主指标为宏平均 F1，辅以准确率与平衡准确率，所有模型均开启类别权重平衡。</w:t>
      </w:r>
    </w:p>
    <w:p>
      <w:pPr>
        <w:pStyle w:val="Heading2"/>
      </w:pPr>
      <w:r>
        <w:t>6.2 跨数据集对照结果</w:t>
      </w:r>
    </w:p>
    <w:p>
      <w:pPr>
        <w:ind w:firstLine="480"/>
      </w:pPr>
      <w:r>
        <w:t>四种模型在五个数据集上的测试集宏平均 F1 如表 6-2 和图 6-2 所示。最优模型随数据集而改变：随机森林在电离层和白葡萄酒上最好，支持向量机在干豆上最好，逻辑回归在贷款违约上最好，而在极不平衡的臭氧上各模型表现都很差。这直观印证了“没有免费午餐”——没有任何单一模型在所有任务上占优。</w:t>
      </w:r>
    </w:p>
    <w:p>
      <w:pPr>
        <w:jc w:val="center"/>
      </w:pPr>
      <w:r>
        <w:rPr>
          <w:sz w:val="21"/>
        </w:rPr>
        <w:t>表 6-2 四种模型在五个数据集上的测试集宏平均 F1</w:t>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数据集</w:t>
            </w:r>
          </w:p>
        </w:tc>
        <w:tc>
          <w:tcPr>
            <w:tcW w:type="dxa" w:w="1440"/>
          </w:tcPr>
          <w:p>
            <w:r>
              <w:t>SVM</w:t>
            </w:r>
          </w:p>
        </w:tc>
        <w:tc>
          <w:tcPr>
            <w:tcW w:type="dxa" w:w="1440"/>
          </w:tcPr>
          <w:p>
            <w:r>
              <w:t>决策树</w:t>
            </w:r>
          </w:p>
        </w:tc>
        <w:tc>
          <w:tcPr>
            <w:tcW w:type="dxa" w:w="1440"/>
          </w:tcPr>
          <w:p>
            <w:r>
              <w:t>随机森林</w:t>
            </w:r>
          </w:p>
        </w:tc>
        <w:tc>
          <w:tcPr>
            <w:tcW w:type="dxa" w:w="1440"/>
          </w:tcPr>
          <w:p>
            <w:r>
              <w:t>逻辑回归</w:t>
            </w:r>
          </w:p>
        </w:tc>
        <w:tc>
          <w:tcPr>
            <w:tcW w:type="dxa" w:w="1440"/>
          </w:tcPr>
          <w:p>
            <w:r>
              <w:t>最优模型</w:t>
            </w:r>
          </w:p>
        </w:tc>
      </w:tr>
      <w:tr>
        <w:tc>
          <w:tcPr>
            <w:tcW w:type="dxa" w:w="1440"/>
          </w:tcPr>
          <w:p>
            <w:r>
              <w:t>电离层 ionosphere</w:t>
            </w:r>
          </w:p>
        </w:tc>
        <w:tc>
          <w:tcPr>
            <w:tcW w:type="dxa" w:w="1440"/>
          </w:tcPr>
          <w:p>
            <w:r>
              <w:t>0.9393</w:t>
            </w:r>
          </w:p>
        </w:tc>
        <w:tc>
          <w:tcPr>
            <w:tcW w:type="dxa" w:w="1440"/>
          </w:tcPr>
          <w:p>
            <w:r>
              <w:t>0.9235</w:t>
            </w:r>
          </w:p>
        </w:tc>
        <w:tc>
          <w:tcPr>
            <w:tcW w:type="dxa" w:w="1440"/>
          </w:tcPr>
          <w:p>
            <w:r>
              <w:t>0.9541</w:t>
            </w:r>
          </w:p>
        </w:tc>
        <w:tc>
          <w:tcPr>
            <w:tcW w:type="dxa" w:w="1440"/>
          </w:tcPr>
          <w:p>
            <w:r>
              <w:t>0.8598</w:t>
            </w:r>
          </w:p>
        </w:tc>
        <w:tc>
          <w:tcPr>
            <w:tcW w:type="dxa" w:w="1440"/>
          </w:tcPr>
          <w:p>
            <w:r>
              <w:t>随机森林</w:t>
            </w:r>
          </w:p>
        </w:tc>
      </w:tr>
      <w:tr>
        <w:tc>
          <w:tcPr>
            <w:tcW w:type="dxa" w:w="1440"/>
          </w:tcPr>
          <w:p>
            <w:r>
              <w:t>白葡萄酒 wine</w:t>
            </w:r>
          </w:p>
        </w:tc>
        <w:tc>
          <w:tcPr>
            <w:tcW w:type="dxa" w:w="1440"/>
          </w:tcPr>
          <w:p>
            <w:r>
              <w:t>0.6219</w:t>
            </w:r>
          </w:p>
        </w:tc>
        <w:tc>
          <w:tcPr>
            <w:tcW w:type="dxa" w:w="1440"/>
          </w:tcPr>
          <w:p>
            <w:r>
              <w:t>0.6449</w:t>
            </w:r>
          </w:p>
        </w:tc>
        <w:tc>
          <w:tcPr>
            <w:tcW w:type="dxa" w:w="1440"/>
          </w:tcPr>
          <w:p>
            <w:r>
              <w:t>0.7336</w:t>
            </w:r>
          </w:p>
        </w:tc>
        <w:tc>
          <w:tcPr>
            <w:tcW w:type="dxa" w:w="1440"/>
          </w:tcPr>
          <w:p>
            <w:r>
              <w:t>0.5204</w:t>
            </w:r>
          </w:p>
        </w:tc>
        <w:tc>
          <w:tcPr>
            <w:tcW w:type="dxa" w:w="1440"/>
          </w:tcPr>
          <w:p>
            <w:r>
              <w:t>随机森林</w:t>
            </w:r>
          </w:p>
        </w:tc>
      </w:tr>
      <w:tr>
        <w:tc>
          <w:tcPr>
            <w:tcW w:type="dxa" w:w="1440"/>
          </w:tcPr>
          <w:p>
            <w:r>
              <w:t>贷款违约 Lending Club</w:t>
            </w:r>
          </w:p>
        </w:tc>
        <w:tc>
          <w:tcPr>
            <w:tcW w:type="dxa" w:w="1440"/>
          </w:tcPr>
          <w:p>
            <w:r>
              <w:t>0.5698</w:t>
            </w:r>
          </w:p>
        </w:tc>
        <w:tc>
          <w:tcPr>
            <w:tcW w:type="dxa" w:w="1440"/>
          </w:tcPr>
          <w:p>
            <w:r>
              <w:t>0.5379</w:t>
            </w:r>
          </w:p>
        </w:tc>
        <w:tc>
          <w:tcPr>
            <w:tcW w:type="dxa" w:w="1440"/>
          </w:tcPr>
          <w:p>
            <w:r>
              <w:t>0.5275</w:t>
            </w:r>
          </w:p>
        </w:tc>
        <w:tc>
          <w:tcPr>
            <w:tcW w:type="dxa" w:w="1440"/>
          </w:tcPr>
          <w:p>
            <w:r>
              <w:t>0.5843</w:t>
            </w:r>
          </w:p>
        </w:tc>
        <w:tc>
          <w:tcPr>
            <w:tcW w:type="dxa" w:w="1440"/>
          </w:tcPr>
          <w:p>
            <w:r>
              <w:t>逻辑回归</w:t>
            </w:r>
          </w:p>
        </w:tc>
      </w:tr>
      <w:tr>
        <w:tc>
          <w:tcPr>
            <w:tcW w:type="dxa" w:w="1440"/>
          </w:tcPr>
          <w:p>
            <w:r>
              <w:t>干豆 Dry Bean</w:t>
            </w:r>
          </w:p>
        </w:tc>
        <w:tc>
          <w:tcPr>
            <w:tcW w:type="dxa" w:w="1440"/>
          </w:tcPr>
          <w:p>
            <w:r>
              <w:t>0.9375</w:t>
            </w:r>
          </w:p>
        </w:tc>
        <w:tc>
          <w:tcPr>
            <w:tcW w:type="dxa" w:w="1440"/>
          </w:tcPr>
          <w:p>
            <w:r>
              <w:t>0.9104</w:t>
            </w:r>
          </w:p>
        </w:tc>
        <w:tc>
          <w:tcPr>
            <w:tcW w:type="dxa" w:w="1440"/>
          </w:tcPr>
          <w:p>
            <w:r>
              <w:t>0.9333</w:t>
            </w:r>
          </w:p>
        </w:tc>
        <w:tc>
          <w:tcPr>
            <w:tcW w:type="dxa" w:w="1440"/>
          </w:tcPr>
          <w:p>
            <w:r>
              <w:t>0.9300</w:t>
            </w:r>
          </w:p>
        </w:tc>
        <w:tc>
          <w:tcPr>
            <w:tcW w:type="dxa" w:w="1440"/>
          </w:tcPr>
          <w:p>
            <w:r>
              <w:t>SVM</w:t>
            </w:r>
          </w:p>
        </w:tc>
      </w:tr>
      <w:tr>
        <w:tc>
          <w:tcPr>
            <w:tcW w:type="dxa" w:w="1440"/>
          </w:tcPr>
          <w:p>
            <w:r>
              <w:t>臭氧 Ozone</w:t>
            </w:r>
          </w:p>
        </w:tc>
        <w:tc>
          <w:tcPr>
            <w:tcW w:type="dxa" w:w="1440"/>
          </w:tcPr>
          <w:p>
            <w:r>
              <w:t>0.5805</w:t>
            </w:r>
          </w:p>
        </w:tc>
        <w:tc>
          <w:tcPr>
            <w:tcW w:type="dxa" w:w="1440"/>
          </w:tcPr>
          <w:p>
            <w:r>
              <w:t>0.5653</w:t>
            </w:r>
          </w:p>
        </w:tc>
        <w:tc>
          <w:tcPr>
            <w:tcW w:type="dxa" w:w="1440"/>
          </w:tcPr>
          <w:p>
            <w:r>
              <w:t>0.4920</w:t>
            </w:r>
          </w:p>
        </w:tc>
        <w:tc>
          <w:tcPr>
            <w:tcW w:type="dxa" w:w="1440"/>
          </w:tcPr>
          <w:p>
            <w:r>
              <w:t>0.5704</w:t>
            </w:r>
          </w:p>
        </w:tc>
        <w:tc>
          <w:tcPr>
            <w:tcW w:type="dxa" w:w="1440"/>
          </w:tcPr>
          <w:p>
            <w:r>
              <w:t>SVM</w:t>
            </w:r>
          </w:p>
        </w:tc>
      </w:tr>
    </w:tbl>
    <w:p>
      <w:pPr>
        <w:jc w:val="center"/>
      </w:pPr>
      <w:r>
        <w:drawing>
          <wp:inline xmlns:a="http://schemas.openxmlformats.org/drawingml/2006/main" xmlns:pic="http://schemas.openxmlformats.org/drawingml/2006/picture">
            <wp:extent cx="5486400" cy="2693324"/>
            <wp:docPr id="10" name="Picture 10"/>
            <wp:cNvGraphicFramePr>
              <a:graphicFrameLocks noChangeAspect="1"/>
            </wp:cNvGraphicFramePr>
            <a:graphic>
              <a:graphicData uri="http://schemas.openxmlformats.org/drawingml/2006/picture">
                <pic:pic>
                  <pic:nvPicPr>
                    <pic:cNvPr id="0" name="cross_tab_f1.png"/>
                    <pic:cNvPicPr/>
                  </pic:nvPicPr>
                  <pic:blipFill>
                    <a:blip r:embed="rId18"/>
                    <a:stretch>
                      <a:fillRect/>
                    </a:stretch>
                  </pic:blipFill>
                  <pic:spPr>
                    <a:xfrm>
                      <a:off x="0" y="0"/>
                      <a:ext cx="5486400" cy="2693324"/>
                    </a:xfrm>
                    <a:prstGeom prst="rect"/>
                  </pic:spPr>
                </pic:pic>
              </a:graphicData>
            </a:graphic>
          </wp:inline>
        </w:drawing>
      </w:r>
    </w:p>
    <w:p>
      <w:pPr>
        <w:jc w:val="center"/>
      </w:pPr>
      <w:r>
        <w:rPr>
          <w:sz w:val="21"/>
        </w:rPr>
        <w:t>图 6-2 同一套模型在五个数据集上的宏平均 F1 对照</w:t>
      </w:r>
    </w:p>
    <w:p>
      <w:pPr>
        <w:ind w:firstLine="480"/>
      </w:pPr>
      <w:r>
        <w:t>在特征干净、类别较可分的数据集上（电离层、干豆），四种模型差距不大、整体都较高，说明此时数据可分性决定上限、模型选择影响有限；干豆虽有 7 个类别，各模型宏平均 F1 仍达 0.91 以上，说明类别数量并非主要难度来源，与项目二结论一致。随机森林在中低维、非线性、较平衡数据上通常是稳健默认（白葡萄酒上以 0.7336 显著领先）；逻辑回归在近线性可分或弱信号数据上反而更稳（贷款违约最优）。</w:t>
      </w:r>
    </w:p>
    <w:p>
      <w:pPr>
        <w:pStyle w:val="Heading2"/>
      </w:pPr>
      <w:r>
        <w:t>6.3 不平衡与“本质困难”：准确率的陷阱</w:t>
      </w:r>
    </w:p>
    <w:p>
      <w:pPr>
        <w:ind w:firstLine="480"/>
      </w:pPr>
      <w:r>
        <w:t>跨数据集对照还暴露了两类被准确率掩盖的问题，如图 6-3 所示。第一类是极端类别不平衡：臭氧阳性样本仅占 2.9%，不平衡比高达 33.7。此时“全部预测为多数类”即可得到 97.05% 的准确率；随机森林测试准确率 96.85%，看似很高，却反而低于这一多数类基线，其宏平均 F1 仅 0.492、平衡准确率仅 0.499（约等于随机猜测）。这说明在极端不平衡下准确率几乎没有意义，必须以宏平均 F1 或平衡准确率衡量。</w:t>
      </w:r>
    </w:p>
    <w:p>
      <w:pPr>
        <w:jc w:val="center"/>
      </w:pPr>
      <w:r>
        <w:drawing>
          <wp:inline xmlns:a="http://schemas.openxmlformats.org/drawingml/2006/main" xmlns:pic="http://schemas.openxmlformats.org/drawingml/2006/picture">
            <wp:extent cx="5486400" cy="2493818"/>
            <wp:docPr id="11" name="Picture 11"/>
            <wp:cNvGraphicFramePr>
              <a:graphicFrameLocks noChangeAspect="1"/>
            </wp:cNvGraphicFramePr>
            <a:graphic>
              <a:graphicData uri="http://schemas.openxmlformats.org/drawingml/2006/picture">
                <pic:pic>
                  <pic:nvPicPr>
                    <pic:cNvPr id="0" name="cross_tab_imbalance.png"/>
                    <pic:cNvPicPr/>
                  </pic:nvPicPr>
                  <pic:blipFill>
                    <a:blip r:embed="rId19"/>
                    <a:stretch>
                      <a:fillRect/>
                    </a:stretch>
                  </pic:blipFill>
                  <pic:spPr>
                    <a:xfrm>
                      <a:off x="0" y="0"/>
                      <a:ext cx="5486400" cy="2493818"/>
                    </a:xfrm>
                    <a:prstGeom prst="rect"/>
                  </pic:spPr>
                </pic:pic>
              </a:graphicData>
            </a:graphic>
          </wp:inline>
        </w:drawing>
      </w:r>
    </w:p>
    <w:p>
      <w:pPr>
        <w:jc w:val="center"/>
      </w:pPr>
      <w:r>
        <w:rPr>
          <w:sz w:val="21"/>
        </w:rPr>
        <w:t>图 6-3 不平衡的代价：随机森林的准确率、宏F1与平衡准确率对照</w:t>
      </w:r>
    </w:p>
    <w:p>
      <w:pPr>
        <w:jc w:val="center"/>
      </w:pPr>
      <w:r>
        <w:drawing>
          <wp:inline xmlns:a="http://schemas.openxmlformats.org/drawingml/2006/main" xmlns:pic="http://schemas.openxmlformats.org/drawingml/2006/picture">
            <wp:extent cx="5486400" cy="3087741"/>
            <wp:docPr id="12" name="Picture 12"/>
            <wp:cNvGraphicFramePr>
              <a:graphicFrameLocks noChangeAspect="1"/>
            </wp:cNvGraphicFramePr>
            <a:graphic>
              <a:graphicData uri="http://schemas.openxmlformats.org/drawingml/2006/picture">
                <pic:pic>
                  <pic:nvPicPr>
                    <pic:cNvPr id="0" name="fig_imbalance_trap.png"/>
                    <pic:cNvPicPr/>
                  </pic:nvPicPr>
                  <pic:blipFill>
                    <a:blip r:embed="rId20"/>
                    <a:stretch>
                      <a:fillRect/>
                    </a:stretch>
                  </pic:blipFill>
                  <pic:spPr>
                    <a:xfrm>
                      <a:off x="0" y="0"/>
                      <a:ext cx="5486400" cy="3087741"/>
                    </a:xfrm>
                    <a:prstGeom prst="rect"/>
                  </pic:spPr>
                </pic:pic>
              </a:graphicData>
            </a:graphic>
          </wp:inline>
        </w:drawing>
      </w:r>
    </w:p>
    <w:p>
      <w:pPr>
        <w:jc w:val="center"/>
      </w:pPr>
      <w:r>
        <w:rPr>
          <w:sz w:val="21"/>
        </w:rPr>
        <w:t>图 6-4 类别不平衡下的准确率陷阱：33:1 时全预测多数类即得 97% 准确率，但宏 F1 仅约 0.5</w:t>
      </w:r>
    </w:p>
    <w:p>
      <w:pPr>
        <w:ind w:firstLine="480"/>
      </w:pPr>
      <w:r>
        <w:t>第二类是数据本身的“本质困难”：贷款违约预测中四种模型的宏平均 F1 全部落在 0.53～0.58 的狭窄区间，无论选用何种模型都无法显著突破。这是因为可在申请时获得的特征对“是否违约”的判别信号本就较弱，性能瓶颈在数据而非模型——与项目二“当模型足够强时瓶颈转向数据”的结论相互呼应。</w:t>
      </w:r>
    </w:p>
    <w:p>
      <w:pPr>
        <w:pStyle w:val="Heading2"/>
      </w:pPr>
      <w:r>
        <w:t>6.4 针对欠佳数据集的改进尝试与归因</w:t>
      </w:r>
    </w:p>
    <w:p>
      <w:pPr>
        <w:ind w:firstLine="480"/>
      </w:pPr>
      <w:r>
        <w:t>对表现欠佳的贷款违约和臭氧，本文进一步尝试有针对性的处理，以判断其“效果不好”究竟源于处理不充分还是数据本质，结果如表 6-3 所示。</w:t>
      </w:r>
    </w:p>
    <w:p>
      <w:pPr>
        <w:jc w:val="center"/>
      </w:pPr>
      <w:r>
        <w:rPr>
          <w:sz w:val="21"/>
        </w:rPr>
        <w:t>表 6-3 两个欠佳数据集的改进尝试（测试集宏平均 F1）</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数据集</w:t>
            </w:r>
          </w:p>
        </w:tc>
        <w:tc>
          <w:tcPr>
            <w:tcW w:type="dxa" w:w="2160"/>
          </w:tcPr>
          <w:p>
            <w:r>
              <w:t>处理手段</w:t>
            </w:r>
          </w:p>
        </w:tc>
        <w:tc>
          <w:tcPr>
            <w:tcW w:type="dxa" w:w="2160"/>
          </w:tcPr>
          <w:p>
            <w:r>
              <w:t>最优宏F1</w:t>
            </w:r>
          </w:p>
        </w:tc>
        <w:tc>
          <w:tcPr>
            <w:tcW w:type="dxa" w:w="2160"/>
          </w:tcPr>
          <w:p>
            <w:r>
              <w:t>结果与归因</w:t>
            </w:r>
          </w:p>
        </w:tc>
      </w:tr>
      <w:tr>
        <w:tc>
          <w:tcPr>
            <w:tcW w:type="dxa" w:w="2160"/>
          </w:tcPr>
          <w:p>
            <w:r>
              <w:t>贷款违约</w:t>
            </w:r>
          </w:p>
        </w:tc>
        <w:tc>
          <w:tcPr>
            <w:tcW w:type="dxa" w:w="2160"/>
          </w:tcPr>
          <w:p>
            <w:r>
              <w:t>基线（12 维数值）</w:t>
            </w:r>
          </w:p>
        </w:tc>
        <w:tc>
          <w:tcPr>
            <w:tcW w:type="dxa" w:w="2160"/>
          </w:tcPr>
          <w:p>
            <w:r>
              <w:t>0.5843</w:t>
            </w:r>
          </w:p>
        </w:tc>
        <w:tc>
          <w:tcPr>
            <w:tcW w:type="dxa" w:w="2160"/>
          </w:tcPr>
          <w:p>
            <w:r>
              <w:t>—</w:t>
            </w:r>
          </w:p>
        </w:tc>
      </w:tr>
      <w:tr>
        <w:tc>
          <w:tcPr>
            <w:tcW w:type="dxa" w:w="2160"/>
          </w:tcPr>
          <w:p>
            <w:r>
              <w:t>贷款违约</w:t>
            </w:r>
          </w:p>
        </w:tc>
        <w:tc>
          <w:tcPr>
            <w:tcW w:type="dxa" w:w="2160"/>
          </w:tcPr>
          <w:p>
            <w:r>
              <w:t>补充申请时类别特征（37 维）</w:t>
            </w:r>
          </w:p>
        </w:tc>
        <w:tc>
          <w:tcPr>
            <w:tcW w:type="dxa" w:w="2160"/>
          </w:tcPr>
          <w:p>
            <w:r>
              <w:t>0.5902</w:t>
            </w:r>
          </w:p>
        </w:tc>
        <w:tc>
          <w:tcPr>
            <w:tcW w:type="dxa" w:w="2160"/>
          </w:tcPr>
          <w:p>
            <w:r>
              <w:t>几乎无提升：int_rate 已编码 grade，信息冗余</w:t>
            </w:r>
          </w:p>
        </w:tc>
      </w:tr>
      <w:tr>
        <w:tc>
          <w:tcPr>
            <w:tcW w:type="dxa" w:w="2160"/>
          </w:tcPr>
          <w:p>
            <w:r>
              <w:t>贷款违约</w:t>
            </w:r>
          </w:p>
        </w:tc>
        <w:tc>
          <w:tcPr>
            <w:tcW w:type="dxa" w:w="2160"/>
          </w:tcPr>
          <w:p>
            <w:r>
              <w:t>梯度提升 GBDT（37 维）</w:t>
            </w:r>
          </w:p>
        </w:tc>
        <w:tc>
          <w:tcPr>
            <w:tcW w:type="dxa" w:w="2160"/>
          </w:tcPr>
          <w:p>
            <w:r>
              <w:t>0.5759</w:t>
            </w:r>
          </w:p>
        </w:tc>
        <w:tc>
          <w:tcPr>
            <w:tcW w:type="dxa" w:w="2160"/>
          </w:tcPr>
          <w:p>
            <w:r>
              <w:t>更强模型亦无突破</w:t>
            </w:r>
          </w:p>
        </w:tc>
      </w:tr>
      <w:tr>
        <w:tc>
          <w:tcPr>
            <w:tcW w:type="dxa" w:w="2160"/>
          </w:tcPr>
          <w:p>
            <w:r>
              <w:t>臭氧</w:t>
            </w:r>
          </w:p>
        </w:tc>
        <w:tc>
          <w:tcPr>
            <w:tcW w:type="dxa" w:w="2160"/>
          </w:tcPr>
          <w:p>
            <w:r>
              <w:t>基线（class_weight 平衡）</w:t>
            </w:r>
          </w:p>
        </w:tc>
        <w:tc>
          <w:tcPr>
            <w:tcW w:type="dxa" w:w="2160"/>
          </w:tcPr>
          <w:p>
            <w:r>
              <w:t>0.5805</w:t>
            </w:r>
          </w:p>
        </w:tc>
        <w:tc>
          <w:tcPr>
            <w:tcW w:type="dxa" w:w="2160"/>
          </w:tcPr>
          <w:p>
            <w:r>
              <w:t>—</w:t>
            </w:r>
          </w:p>
        </w:tc>
      </w:tr>
      <w:tr>
        <w:tc>
          <w:tcPr>
            <w:tcW w:type="dxa" w:w="2160"/>
          </w:tcPr>
          <w:p>
            <w:r>
              <w:t>臭氧</w:t>
            </w:r>
          </w:p>
        </w:tc>
        <w:tc>
          <w:tcPr>
            <w:tcW w:type="dxa" w:w="2160"/>
          </w:tcPr>
          <w:p>
            <w:r>
              <w:t>SMOTE 过采样</w:t>
            </w:r>
          </w:p>
        </w:tc>
        <w:tc>
          <w:tcPr>
            <w:tcW w:type="dxa" w:w="2160"/>
          </w:tcPr>
          <w:p>
            <w:r>
              <w:t>0.5644</w:t>
            </w:r>
          </w:p>
        </w:tc>
        <w:tc>
          <w:tcPr>
            <w:tcW w:type="dxa" w:w="2160"/>
          </w:tcPr>
          <w:p>
            <w:r>
              <w:t>不升反降：高维且少数类过少，插值成噪声</w:t>
            </w:r>
          </w:p>
        </w:tc>
      </w:tr>
      <w:tr>
        <w:tc>
          <w:tcPr>
            <w:tcW w:type="dxa" w:w="2160"/>
          </w:tcPr>
          <w:p>
            <w:r>
              <w:t>臭氧</w:t>
            </w:r>
          </w:p>
        </w:tc>
        <w:tc>
          <w:tcPr>
            <w:tcW w:type="dxa" w:w="2160"/>
          </w:tcPr>
          <w:p>
            <w:r>
              <w:t>梯度提升 GBDT</w:t>
            </w:r>
          </w:p>
        </w:tc>
        <w:tc>
          <w:tcPr>
            <w:tcW w:type="dxa" w:w="2160"/>
          </w:tcPr>
          <w:p>
            <w:r>
              <w:t>0.5836</w:t>
            </w:r>
          </w:p>
        </w:tc>
        <w:tc>
          <w:tcPr>
            <w:tcW w:type="dxa" w:w="2160"/>
          </w:tcPr>
          <w:p>
            <w:r>
              <w:t>仅与基线持平，未突破</w:t>
            </w:r>
          </w:p>
        </w:tc>
      </w:tr>
    </w:tbl>
    <w:p>
      <w:pPr>
        <w:jc w:val="center"/>
      </w:pPr>
      <w:r>
        <w:drawing>
          <wp:inline xmlns:a="http://schemas.openxmlformats.org/drawingml/2006/main" xmlns:pic="http://schemas.openxmlformats.org/drawingml/2006/picture">
            <wp:extent cx="4754880" cy="2734056"/>
            <wp:docPr id="13" name="Picture 13"/>
            <wp:cNvGraphicFramePr>
              <a:graphicFrameLocks noChangeAspect="1"/>
            </wp:cNvGraphicFramePr>
            <a:graphic>
              <a:graphicData uri="http://schemas.openxmlformats.org/drawingml/2006/picture">
                <pic:pic>
                  <pic:nvPicPr>
                    <pic:cNvPr id="0" name="improve_lendingclub.png"/>
                    <pic:cNvPicPr/>
                  </pic:nvPicPr>
                  <pic:blipFill>
                    <a:blip r:embed="rId21"/>
                    <a:stretch>
                      <a:fillRect/>
                    </a:stretch>
                  </pic:blipFill>
                  <pic:spPr>
                    <a:xfrm>
                      <a:off x="0" y="0"/>
                      <a:ext cx="4754880" cy="2734056"/>
                    </a:xfrm>
                    <a:prstGeom prst="rect"/>
                  </pic:spPr>
                </pic:pic>
              </a:graphicData>
            </a:graphic>
          </wp:inline>
        </w:drawing>
      </w:r>
    </w:p>
    <w:p>
      <w:pPr>
        <w:jc w:val="center"/>
      </w:pPr>
      <w:r>
        <w:rPr>
          <w:sz w:val="21"/>
        </w:rPr>
        <w:t>图 6-5 贷款违约：补充类别特征前后的宏平均 F1（几乎持平）</w:t>
      </w:r>
    </w:p>
    <w:p>
      <w:pPr>
        <w:jc w:val="center"/>
      </w:pPr>
      <w:r>
        <w:drawing>
          <wp:inline xmlns:a="http://schemas.openxmlformats.org/drawingml/2006/main" xmlns:pic="http://schemas.openxmlformats.org/drawingml/2006/picture">
            <wp:extent cx="4937760" cy="2672200"/>
            <wp:docPr id="14" name="Picture 14"/>
            <wp:cNvGraphicFramePr>
              <a:graphicFrameLocks noChangeAspect="1"/>
            </wp:cNvGraphicFramePr>
            <a:graphic>
              <a:graphicData uri="http://schemas.openxmlformats.org/drawingml/2006/picture">
                <pic:pic>
                  <pic:nvPicPr>
                    <pic:cNvPr id="0" name="improve_ozone.png"/>
                    <pic:cNvPicPr/>
                  </pic:nvPicPr>
                  <pic:blipFill>
                    <a:blip r:embed="rId22"/>
                    <a:stretch>
                      <a:fillRect/>
                    </a:stretch>
                  </pic:blipFill>
                  <pic:spPr>
                    <a:xfrm>
                      <a:off x="0" y="0"/>
                      <a:ext cx="4937760" cy="2672200"/>
                    </a:xfrm>
                    <a:prstGeom prst="rect"/>
                  </pic:spPr>
                </pic:pic>
              </a:graphicData>
            </a:graphic>
          </wp:inline>
        </w:drawing>
      </w:r>
    </w:p>
    <w:p>
      <w:pPr>
        <w:jc w:val="center"/>
      </w:pPr>
      <w:r>
        <w:rPr>
          <w:sz w:val="21"/>
        </w:rPr>
        <w:t>图 6-6 臭氧：SMOTE 过采样与类别权重对照（SMOTE 未带来改进）</w:t>
      </w:r>
    </w:p>
    <w:p>
      <w:pPr>
        <w:ind w:firstLine="480"/>
      </w:pPr>
      <w:r>
        <w:t>三种手段给出一致结论。其一，为贷款违约补充 grade、期限、工龄等类别特征后宏平均 F1 几乎不变，因为基线已含的利率 int_rate 实际上已编码贷款等级（经核验 A 至 G 级平均利率由 7.3% 单调升至 30.8%，高度共线），而最强的FICO 信用分在本数据集版本中并不提供。其二，对极端不平衡的臭氧采用 SMOTE 后宏平均 F1 反而下降，因为特征高达 72 维而少数类训练样本仅数十个，SMOTE 在高维空间靠极少邻居插值，合成的多为噪声。其三，换用更强的梯度提升模型后，两个数据集宏平均 F1 仍停在约 0.58，未能突破四个基础模型的上限。</w:t>
      </w:r>
    </w:p>
    <w:p>
      <w:pPr>
        <w:ind w:firstLine="480"/>
      </w:pPr>
      <w:r>
        <w:t>由此判断：在当前特征、划分与参数范围内，补特征、重采样、换更强模型三类手段均未给这两个数据集带来稳定提升，表明其“效果不好”更可能源于弱判别信号或极端不平衡叠加高维小样本等数据本质，而非单一处理手段缺失（需多随机种子进一步确认）。相对更有效的是“模型与数据的匹配”：在臭氧上避开会崩溃的随机森林、改用决策树或支持向量机并配合类别权重已是较优选择。这一“诊断—多手段尝试—归因”过程，与项目二中“激进数据增强反而有害”的结论相互呼应，都说明改进必须先判断瓶颈来源、再对症下药。</w:t>
      </w:r>
    </w:p>
    <w:p>
      <w:pPr>
        <w:pStyle w:val="Heading2"/>
      </w:pPr>
      <w:r>
        <w:t>6.5 任务级方法创新尝试与严谨评估的教训</w:t>
      </w:r>
    </w:p>
    <w:p>
      <w:pPr>
        <w:ind w:firstLine="480"/>
      </w:pPr>
      <w:r>
        <w:t>为进一步逼问“效果不好”究竟是建模方式没贴合任务结构、还是数据信息已到上限，本节针对两个欠佳数据集各设计一项任务级方法创新。其中臭氧实验还意外给出一条关于评估严谨性的重要教训。</w:t>
      </w:r>
    </w:p>
    <w:p>
      <w:pPr>
        <w:ind w:firstLine="480"/>
      </w:pPr>
      <w:r>
        <w:t>（一）臭氧：把“无序表格”还原为“时间序列”。经核查，臭氧数据集首列即为采集日期，覆盖 1998—2004 年逐日观测，而基线直接丢弃日期列、随机划分，等于抛弃了地面臭氧的日间自相关与季节性信息。为此构造 9 维时序特征（标签滞后1/2/3 日、近 3/7 日超标率、月份与年内日的正弦/余弦季节编码，全部仅取“过去”信息以避免泄漏），并改用按时间前80%/后 20% 划分。在该单次时序划分下，加时序特征后最优宏平均 F1 由 0.6005 升至 0.6586（+0.058）、SVM 平衡准确率由 0.855 跃升至 0.984，看似是一次漂亮的突破。</w:t>
      </w:r>
    </w:p>
    <w:p>
      <w:pPr>
        <w:ind w:firstLine="480"/>
      </w:pPr>
      <w:r>
        <w:t>然而核查暴露该结论不可靠：按时间切分后测试窗口（2003—2004）恰好只落入约 4 个超标日，在 4 个正例上算 F1 噪声极大，足以凭运气制造“假突破”。改用时序滚动交叉验证（TimeSeriesSplit 6 折，每折在过去训练、在后续时间块测试），把各折测试预测汇集起来评估，使评估覆盖全部约 58 个超标日，结果如表 6-4 所示。</w:t>
      </w:r>
    </w:p>
    <w:p>
      <w:pPr>
        <w:jc w:val="center"/>
      </w:pPr>
      <w:r>
        <w:rPr>
          <w:sz w:val="21"/>
        </w:rPr>
        <w:t>表 6-4 臭氧：单次时序划分 vs 时序CV汇集评估（最优宏平均 F1）</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评估方式</w:t>
            </w:r>
          </w:p>
        </w:tc>
        <w:tc>
          <w:tcPr>
            <w:tcW w:type="dxa" w:w="2160"/>
          </w:tcPr>
          <w:p>
            <w:r>
              <w:t>原始 72 维</w:t>
            </w:r>
          </w:p>
        </w:tc>
        <w:tc>
          <w:tcPr>
            <w:tcW w:type="dxa" w:w="2160"/>
          </w:tcPr>
          <w:p>
            <w:r>
              <w:t>加 9 维时序特征</w:t>
            </w:r>
          </w:p>
        </w:tc>
        <w:tc>
          <w:tcPr>
            <w:tcW w:type="dxa" w:w="2160"/>
          </w:tcPr>
          <w:p>
            <w:r>
              <w:t>结论</w:t>
            </w:r>
          </w:p>
        </w:tc>
      </w:tr>
      <w:tr>
        <w:tc>
          <w:tcPr>
            <w:tcW w:type="dxa" w:w="2160"/>
          </w:tcPr>
          <w:p>
            <w:r>
              <w:t>单次时序划分（测试正例仅约 4 个）</w:t>
            </w:r>
          </w:p>
        </w:tc>
        <w:tc>
          <w:tcPr>
            <w:tcW w:type="dxa" w:w="2160"/>
          </w:tcPr>
          <w:p>
            <w:r>
              <w:t>0.6005</w:t>
            </w:r>
          </w:p>
        </w:tc>
        <w:tc>
          <w:tcPr>
            <w:tcW w:type="dxa" w:w="2160"/>
          </w:tcPr>
          <w:p>
            <w:r>
              <w:t>0.6586（+0.058）</w:t>
            </w:r>
          </w:p>
        </w:tc>
        <w:tc>
          <w:tcPr>
            <w:tcW w:type="dxa" w:w="2160"/>
          </w:tcPr>
          <w:p>
            <w:r>
              <w:t>表面提升，但正例过少、噪声极大</w:t>
            </w:r>
          </w:p>
        </w:tc>
      </w:tr>
      <w:tr>
        <w:tc>
          <w:tcPr>
            <w:tcW w:type="dxa" w:w="2160"/>
          </w:tcPr>
          <w:p>
            <w:r>
              <w:t>时序CV滚动汇集（覆盖约 58 个正例）</w:t>
            </w:r>
          </w:p>
        </w:tc>
        <w:tc>
          <w:tcPr>
            <w:tcW w:type="dxa" w:w="2160"/>
          </w:tcPr>
          <w:p>
            <w:r>
              <w:t>0.6177</w:t>
            </w:r>
          </w:p>
        </w:tc>
        <w:tc>
          <w:tcPr>
            <w:tcW w:type="dxa" w:w="2160"/>
          </w:tcPr>
          <w:p>
            <w:r>
              <w:t>0.6149（-0.003）</w:t>
            </w:r>
          </w:p>
        </w:tc>
        <w:tc>
          <w:tcPr>
            <w:tcW w:type="dxa" w:w="2160"/>
          </w:tcPr>
          <w:p>
            <w:r>
              <w:t>严谨评估下提升消失</w:t>
            </w:r>
          </w:p>
        </w:tc>
      </w:tr>
    </w:tbl>
    <w:p>
      <w:pPr>
        <w:jc w:val="center"/>
      </w:pPr>
      <w:r>
        <w:drawing>
          <wp:inline xmlns:a="http://schemas.openxmlformats.org/drawingml/2006/main" xmlns:pic="http://schemas.openxmlformats.org/drawingml/2006/picture">
            <wp:extent cx="5303520" cy="2828544"/>
            <wp:docPr id="15" name="Picture 15"/>
            <wp:cNvGraphicFramePr>
              <a:graphicFrameLocks noChangeAspect="1"/>
            </wp:cNvGraphicFramePr>
            <a:graphic>
              <a:graphicData uri="http://schemas.openxmlformats.org/drawingml/2006/picture">
                <pic:pic>
                  <pic:nvPicPr>
                    <pic:cNvPr id="0" name="ozone_temporal.png"/>
                    <pic:cNvPicPr/>
                  </pic:nvPicPr>
                  <pic:blipFill>
                    <a:blip r:embed="rId23"/>
                    <a:stretch>
                      <a:fillRect/>
                    </a:stretch>
                  </pic:blipFill>
                  <pic:spPr>
                    <a:xfrm>
                      <a:off x="0" y="0"/>
                      <a:ext cx="5303520" cy="2828544"/>
                    </a:xfrm>
                    <a:prstGeom prst="rect"/>
                  </pic:spPr>
                </pic:pic>
              </a:graphicData>
            </a:graphic>
          </wp:inline>
        </w:drawing>
      </w:r>
    </w:p>
    <w:p>
      <w:pPr>
        <w:jc w:val="center"/>
      </w:pPr>
      <w:r>
        <w:rPr>
          <w:sz w:val="21"/>
        </w:rPr>
        <w:t>图 6-7 臭氧：单次时序划分下各模型宏 F1（正例极少，仅作过程展示）</w:t>
      </w:r>
    </w:p>
    <w:p>
      <w:pPr>
        <w:ind w:firstLine="480"/>
      </w:pPr>
      <w:r>
        <w:t>在覆盖 58 个正例的稳健评估下，时序特征带来的“提升”彻底消失（Δ≈-0.003）。这说明此前 +0.058 是单次少正例划分造成的评估假象。由此得到两点结论：其一，方法学上，在极端类别不平衡下单次划分的评估高度不可靠，必须用交叉验证汇集足够多的少数类样本才能得到可信结论；其二，即便把臭氧正确建模为时间序列，宏平均 F1 仍停在约 0.61，未能突破约 0.58—0.62 平台，表明瓶颈确在数据本身的弱判别信号。</w:t>
      </w:r>
    </w:p>
    <w:p>
      <w:pPr>
        <w:ind w:firstLine="480"/>
      </w:pPr>
      <w:r>
        <w:t>（二）贷款违约：补全真实征信特征，再注入领域先验。突破信息天花板最根本的手段是给模型更多真实信息，而非更换模型。经核查，原始 loan.csv 多达 145 列，基线却只用了 12 个数值特征——大量申请时即可获得的真实征信行为特征（距上次逾期月数、信用卡使用率、最老账户年龄、近两年严重逾期账户数、破产记录、从未逾期账户占比等数十项）被丢弃。在严格排除放款后/结果泄漏列的前提下，将其补全为 56 维并派生“信用历史长度”，以分层 5 折交叉验证对照，结果如表 6-5 所示。</w:t>
      </w:r>
    </w:p>
    <w:p>
      <w:pPr>
        <w:jc w:val="center"/>
      </w:pPr>
      <w:r>
        <w:rPr>
          <w:sz w:val="21"/>
        </w:rPr>
        <w:t>表 6-5 贷款违约：补全真实征信特征前后（分层 5 折 CV 宏平均 F1）</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特征集</w:t>
            </w:r>
          </w:p>
        </w:tc>
        <w:tc>
          <w:tcPr>
            <w:tcW w:type="dxa" w:w="2880"/>
          </w:tcPr>
          <w:p>
            <w:r>
              <w:t>最优模型</w:t>
            </w:r>
          </w:p>
        </w:tc>
        <w:tc>
          <w:tcPr>
            <w:tcW w:type="dxa" w:w="2880"/>
          </w:tcPr>
          <w:p>
            <w:r>
              <w:t>CV 宏平均 F1</w:t>
            </w:r>
          </w:p>
        </w:tc>
      </w:tr>
      <w:tr>
        <w:tc>
          <w:tcPr>
            <w:tcW w:type="dxa" w:w="2880"/>
          </w:tcPr>
          <w:p>
            <w:r>
              <w:t>基线 12 维数值特征</w:t>
            </w:r>
          </w:p>
        </w:tc>
        <w:tc>
          <w:tcPr>
            <w:tcW w:type="dxa" w:w="2880"/>
          </w:tcPr>
          <w:p>
            <w:r>
              <w:t>逻辑回归</w:t>
            </w:r>
          </w:p>
        </w:tc>
        <w:tc>
          <w:tcPr>
            <w:tcW w:type="dxa" w:w="2880"/>
          </w:tcPr>
          <w:p>
            <w:r>
              <w:t>0.5850 ± 0.006</w:t>
            </w:r>
          </w:p>
        </w:tc>
      </w:tr>
      <w:tr>
        <w:tc>
          <w:tcPr>
            <w:tcW w:type="dxa" w:w="2880"/>
          </w:tcPr>
          <w:p>
            <w:r>
              <w:t>+ 44 项真实征信特征（共 56 维）</w:t>
            </w:r>
          </w:p>
        </w:tc>
        <w:tc>
          <w:tcPr>
            <w:tcW w:type="dxa" w:w="2880"/>
          </w:tcPr>
          <w:p>
            <w:r>
              <w:t>逻辑回归</w:t>
            </w:r>
          </w:p>
        </w:tc>
        <w:tc>
          <w:tcPr>
            <w:tcW w:type="dxa" w:w="2880"/>
          </w:tcPr>
          <w:p>
            <w:r>
              <w:t>0.5862 ± 0.007</w:t>
            </w:r>
          </w:p>
        </w:tc>
      </w:tr>
    </w:tbl>
    <w:p>
      <w:pPr>
        <w:ind w:firstLine="480"/>
      </w:pPr>
      <w:r>
        <w:t>补入数十个真实征信特征后宏平均 F1 仅由 0.5850 变为 0.5862（Δ=+0.001），几乎没有变化。这给出一个根本而清晰的解释：利率 int_rate 本身就是放贷方用这些征信特征算出的风险定价，已是它们的近似“充分统计量”，把原始特征再加回去只是重复已被利率浓缩的信息，自然无增益。这排除了“只是没用够特征”的可能，把贷款违约的瓶颈牢牢钉在数据信息本身——唯一能突破的，是连放贷方放款时都不掌握的信息，那是任何方法都无法凭空创造的。</w:t>
      </w:r>
    </w:p>
    <w:p>
      <w:pPr>
        <w:ind w:firstLine="480"/>
      </w:pPr>
      <w:r>
        <w:t>在确认信息侧已无余量后，再从模型先验角度注入信用评分领域知识。信用评分受监管，业界要求模型满足单调性：利率、负债收入比、历史逾期/查询/坏账越高，违约概率不得下降；年收入越高，违约概率不得上升。将这些先验作为硬约束注入GBDT（HistGradientBoosting 的 monotonic_cst），与无约束对照如表 6-6 所示。</w:t>
      </w:r>
    </w:p>
    <w:p>
      <w:pPr>
        <w:jc w:val="center"/>
      </w:pPr>
      <w:r>
        <w:rPr>
          <w:sz w:val="21"/>
        </w:rPr>
        <w:t>表 6-6 贷款违约：单调约束 GBDT 与无约束对照（测试集，base 12 维）</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模型</w:t>
            </w:r>
          </w:p>
        </w:tc>
        <w:tc>
          <w:tcPr>
            <w:tcW w:type="dxa" w:w="2160"/>
          </w:tcPr>
          <w:p>
            <w:r>
              <w:t>准确率</w:t>
            </w:r>
          </w:p>
        </w:tc>
        <w:tc>
          <w:tcPr>
            <w:tcW w:type="dxa" w:w="2160"/>
          </w:tcPr>
          <w:p>
            <w:r>
              <w:t>宏平均 F1</w:t>
            </w:r>
          </w:p>
        </w:tc>
        <w:tc>
          <w:tcPr>
            <w:tcW w:type="dxa" w:w="2160"/>
          </w:tcPr>
          <w:p>
            <w:r>
              <w:t>平衡准确率</w:t>
            </w:r>
          </w:p>
        </w:tc>
      </w:tr>
      <w:tr>
        <w:tc>
          <w:tcPr>
            <w:tcW w:type="dxa" w:w="2160"/>
          </w:tcPr>
          <w:p>
            <w:r>
              <w:t>无约束 GBDT</w:t>
            </w:r>
          </w:p>
        </w:tc>
        <w:tc>
          <w:tcPr>
            <w:tcW w:type="dxa" w:w="2160"/>
          </w:tcPr>
          <w:p>
            <w:r>
              <w:t>0.6395</w:t>
            </w:r>
          </w:p>
        </w:tc>
        <w:tc>
          <w:tcPr>
            <w:tcW w:type="dxa" w:w="2160"/>
          </w:tcPr>
          <w:p>
            <w:r>
              <w:t>0.5712</w:t>
            </w:r>
          </w:p>
        </w:tc>
        <w:tc>
          <w:tcPr>
            <w:tcW w:type="dxa" w:w="2160"/>
          </w:tcPr>
          <w:p>
            <w:r>
              <w:t>0.6243</w:t>
            </w:r>
          </w:p>
        </w:tc>
      </w:tr>
      <w:tr>
        <w:tc>
          <w:tcPr>
            <w:tcW w:type="dxa" w:w="2160"/>
          </w:tcPr>
          <w:p>
            <w:r>
              <w:t>单调约束 GBDT（领域先验）</w:t>
            </w:r>
          </w:p>
        </w:tc>
        <w:tc>
          <w:tcPr>
            <w:tcW w:type="dxa" w:w="2160"/>
          </w:tcPr>
          <w:p>
            <w:r>
              <w:t>0.6268</w:t>
            </w:r>
          </w:p>
        </w:tc>
        <w:tc>
          <w:tcPr>
            <w:tcW w:type="dxa" w:w="2160"/>
          </w:tcPr>
          <w:p>
            <w:r>
              <w:t>0.5692</w:t>
            </w:r>
          </w:p>
        </w:tc>
        <w:tc>
          <w:tcPr>
            <w:tcW w:type="dxa" w:w="2160"/>
          </w:tcPr>
          <w:p>
            <w:r>
              <w:t>0.6356</w:t>
            </w:r>
          </w:p>
        </w:tc>
      </w:tr>
    </w:tbl>
    <w:p>
      <w:pPr>
        <w:ind w:firstLine="480"/>
      </w:pPr>
      <w:r>
        <w:t>注入领域先验后宏平均 F1 基本持平（0.5712→0.5692，Δ=-0.002），同样未突破约 0.57，印证贷款违约的“困难”确属数据本质：可用特征（利率本身已是放贷方风控定价、缺乏 FICO 强特征）判别信号有限，正确的领域约束也无法凭空创造信息——单调约束的价值在于泛化稳定性与监管可解释性，而非精度。</w:t>
      </w:r>
    </w:p>
    <w:p>
      <w:pPr>
        <w:ind w:firstLine="480"/>
      </w:pPr>
      <w:r>
        <w:t>小结：两项任务级创新——臭氧时序建模、贷款单调约束——在严谨评估下均未突破原有平台，强一致地表明这两个数据集的瓶颈在数据信息量本身，而非模型或建模方式的缺失。这比一次“看似成功的提升”更有价值：既用对照证据支撑“数据决定上限”，也留下一条工程教训——极端不平衡下须先用交叉验证坐实结论，警惕单次划分的评估假象。</w:t>
      </w:r>
    </w:p>
    <w:p>
      <w:pPr>
        <w:pStyle w:val="Heading2"/>
      </w:pPr>
      <w:r>
        <w:t>6.6 本章小结</w:t>
      </w:r>
    </w:p>
    <w:p>
      <w:pPr>
        <w:ind w:firstLine="480"/>
      </w:pPr>
      <w:r>
        <w:t>本章通过五个数据集、四种模型的同条件对照得到五点结论。第一，不存在放之四海而皆准的最优模型，最优选择随数据集而变。第二，数据可分性与特征质量决定性能上限，类别数量并非主要难度来源。第三，极端类别不平衡会使准确率严重失真，必须改用宏平均 F1 或平衡准确率评价。第四，当数据信号本身较弱时性能瓶颈更可能在数据而非模型——补特征、重采样、更换更强模型乃至任务级的时序建模与单调约束创新，在严谨评估下均未带来稳定提升。第五，极端不平衡下评估方式本身至关重要：单次划分可能因少数类样本过少而产生“假提升”，须以交叉验证汇集足够样本加以坐实。综合而言，传统机器学习的性能由“数据特点”与“模型—数据匹配”共同决定，改进前须先诊断瓶颈来源。</w:t>
      </w:r>
    </w:p>
    <w:p>
      <w:pPr>
        <w:pStyle w:val="Heading1"/>
      </w:pPr>
      <w:r>
        <w:t>第7章 实验复现说明</w:t>
      </w:r>
    </w:p>
    <w:p>
      <w:pPr>
        <w:ind w:firstLine="480"/>
      </w:pPr>
      <w:r>
        <w:t>在项目根目录执行 python task1_ml_wine/wine_quality.py 即可复现白葡萄酒主实验；执行 python task1_ml_wine/cross_dataset_tabular.py 复现五数据集对照，python task1_ml_wine/cross_dataset_improve.py 复现改进尝试；python task1_ml_wine/ozone_temporal.py 与 python task1_ml_wine/credit_monotonic.py 复现臭氧时序特征与贷款单调约束两项任务级创新。脚本会完成数据加载、标签构造、模型训练、网格搜索、评估与图表输出，结果保存至 task1_ml_wine/outputs/。五个数据集中白葡萄酒会自动下载，其余四个需预先放入 task1_ml_wine/data/。</w:t>
      </w:r>
    </w:p>
    <w:p>
      <w:pPr>
        <w:pStyle w:val="Heading1"/>
      </w:pPr>
      <w:r>
        <w:t>第8章 结论与展望</w:t>
      </w:r>
    </w:p>
    <w:p>
      <w:pPr>
        <w:ind w:firstLine="480"/>
      </w:pPr>
      <w:r>
        <w:t>本文完成了白葡萄酒质量三分类任务的传统机器学习建模与误差分析。随机森林在四种模型中表现较优，测试集准确率为 0.7347，宏平均 F1 为 0.7336，并在进阶指标上保持较好表现。模型主要错误集中在相邻质量等级之间，说明质量等级边界具有一定模糊性。</w:t>
      </w:r>
    </w:p>
    <w:p>
      <w:pPr>
        <w:ind w:firstLine="480"/>
      </w:pPr>
      <w:r>
        <w:t>从方法层面看，标准化、分层划分和交叉验证是保证评价可靠性的基础；面对类别分布不均衡和标签有序性，仅报告准确率会遗漏重要误差信息；随机森林等集成模型在中小规模表格数据上具有较好的稳定性和解释辅助能力。本文已扩展到五数据集对照并比较了 GBDT 与 SMOTE；后续可进一步进行多随机种子重复(报告均值±标准差)、引入 ADASYN/欠采样/代价敏感学习与专门的有序分类模型，以更稳健地验证结论。</w:t>
      </w:r>
    </w:p>
    <w:p>
      <w:pPr>
        <w:pStyle w:val="Heading1"/>
      </w:pPr>
      <w:r>
        <w:t>参考文献</w:t>
      </w:r>
    </w:p>
    <w:p>
      <w:pPr>
        <w:ind w:left="480" w:hanging="480"/>
      </w:pPr>
      <w:r>
        <w:t>周志华. 机器学习[M]. 北京: 清华大学出版社, 2016.</w:t>
      </w:r>
    </w:p>
    <w:p>
      <w:pPr>
        <w:ind w:left="480" w:hanging="480"/>
      </w:pPr>
      <w:r>
        <w:t>Breiman L. Random forests[J]. Machine Learning, 2001, 45(1): 5-32.</w:t>
      </w:r>
    </w:p>
    <w:p>
      <w:pPr>
        <w:ind w:left="480" w:hanging="480"/>
      </w:pPr>
      <w:r>
        <w:t>Chawla N V, Bowyer K W, Hall L O, et al. SMOTE: synthetic minority over-sampling technique[J]. Journal of Artificial Intelligence Research, 2002, 16: 321-357.</w:t>
      </w:r>
    </w:p>
    <w:p>
      <w:pPr>
        <w:ind w:left="480" w:hanging="480"/>
      </w:pPr>
      <w:r>
        <w:t>Chen T, Guestrin C. XGBoost: a scalable tree boosting system[C]//ACM SIGKDD International Conference on Knowledge Discovery and Data Mining. 2016: 785-794.</w:t>
      </w:r>
    </w:p>
    <w:p>
      <w:pPr>
        <w:ind w:left="480" w:hanging="480"/>
      </w:pPr>
      <w:r>
        <w:t>Cortes C, Vapnik V. Support-vector networks[J]. Machine Learning, 1995, 20(3): 273-297.</w:t>
      </w:r>
    </w:p>
    <w:p>
      <w:pPr>
        <w:ind w:left="480" w:hanging="480"/>
      </w:pPr>
      <w:r>
        <w:t>Cortez P, Cerdeira A, Almeida F, et al. Modeling wine preferences by data mining from physicochemical properties[J]. Decision Support Systems, 2009, 47(4): 547-553.</w:t>
      </w:r>
    </w:p>
    <w:p>
      <w:pPr>
        <w:ind w:left="480" w:hanging="480"/>
      </w:pPr>
      <w:r>
        <w:t>He H, Garcia E A. Learning from imbalanced data[J]. IEEE Transactions on Knowledge and Data Engineering, 2009, 21(9): 1263-1284.</w:t>
      </w:r>
    </w:p>
    <w:p>
      <w:pPr>
        <w:ind w:left="480" w:hanging="480"/>
      </w:pPr>
      <w:r>
        <w:t>Ke G, Meng Q, Finley T, et al. LightGBM: a highly efficient gradient boosting decision tree[C]//Advances in Neural Information Processing Systems. 2017: 3146-3154.</w:t>
      </w:r>
    </w:p>
    <w:p>
      <w:pPr>
        <w:ind w:left="480" w:hanging="480"/>
      </w:pPr>
      <w:r>
        <w:t>McCullagh P. Regression models for ordinal data[J]. Journal of the Royal Statistical Society: Series B, 1980, 42(2): 109-142.</w:t>
      </w:r>
    </w:p>
    <w:p>
      <w:pPr>
        <w:ind w:left="480" w:hanging="480"/>
      </w:pPr>
      <w:r>
        <w:t>Pedregosa F, Varoquaux G, Gramfort A, et al. Scikit-learn: machine learning in Python[J]. Journal of Machine Learning Research, 2011, 12: 2825-2830.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