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任务一实训论文</w:t>
      </w:r>
    </w:p>
    <w:p/>
    <w:p/>
    <w:p>
      <w:pPr>
        <w:jc w:val="center"/>
      </w:pPr>
      <w:r>
        <w:rPr>
          <w:b/>
          <w:sz w:val="36"/>
        </w:rPr>
        <w:t>传统机器学习模型对结构化数据分类性能的影响研究——以白葡萄酒质量分类为主线的多数据集实证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结构化数据分类是机器学习的典型问题。本文以支持向量机、决策树、随机森林和逻辑回归四种代表性模型为研究对象，以 UCI Wine Quality 数据集中的白葡萄酒子集为主实验平台，将原始质量评分归并为“差”“中”“好”三类，围绕数据加载、探索性分析、预处理、模型构建、模型评估和结果分析完成完整机器学习流程，并采用标准化流水线、五折交叉验证和网格搜索进行超参数选择；在此基础上进一步把同一套模型推广到难度递增的五个结构化数据集上对照，并对其中表现欠佳者做针对性处理，考察数据特点与模型选择如何共同决定性能。</w:t>
      </w:r>
    </w:p>
    <w:p>
      <w:pPr>
        <w:ind w:firstLine="480"/>
      </w:pPr>
      <w:r>
        <w:t>实验结果表明，随机森林在白葡萄酒上取得较优表现，准确率 73.47%、宏平均 F1 为 0.7336；“回归预测再分级”的有序建模将宏平均 F1 提升至 0.7533、严重跨级误判由 7 降至 4。跨数据集对照进一步表明：不存在放之四海而皆准的最优模型，最优选择随数据集而变；类别数量并非主要难度来源；极端不平衡会使准确率严重失真。针对表现欠佳的贷款违约与臭氧数据，经补充特征、SMOTE 过采样、更换更强模型三类手段验证，性能上限均无法突破，说明其“效果不好”源于数据本质（弱信号/极端不平衡）而非处理不充分。</w:t>
      </w:r>
    </w:p>
    <w:p>
      <w:pPr>
        <w:ind w:firstLine="480"/>
      </w:pPr>
      <w:r>
        <w:t>关键词：机器学习；结构化数据分类；模型对照；类别不平衡；SMOTE；跨数据集</w:t>
      </w:r>
    </w:p>
    <w:p>
      <w:r>
        <w:br w:type="page"/>
      </w:r>
    </w:p>
    <w:p>
      <w:pPr>
        <w:jc w:val="center"/>
      </w:pPr>
      <w:r>
        <w:rPr>
          <w:b/>
          <w:sz w:val="32"/>
        </w:rPr>
        <w:t>Abstract</w:t>
      </w:r>
    </w:p>
    <w:p>
      <w:pPr>
        <w:ind w:firstLine="480"/>
      </w:pPr>
      <w:r>
        <w:t>Structured-data classification is a representative machine learning problem. This paper takes four representative models (SVM, decision tree, random forest, logistic regression) as its research object, with the white wine subset of the UCI Wine Quality dataset as the primary experimental platform; the original quality scores are merged into three classes (low, medium, high) and a complete workflow with standardization, 5-fold cross validation and grid search is implemented. The same models are then extended to five structured datasets of increasing difficulty, with targeted treatment applied to the under-performing ones.</w:t>
      </w:r>
    </w:p>
    <w:p>
      <w:pPr>
        <w:ind w:firstLine="480"/>
      </w:pPr>
      <w:r>
        <w:t>Random forest performs best on white wine (accuracy 73.47%, macro-F1 0.7336); a regression-then-discretization ordinal strategy raises macro-F1 to 0.7533. The cross-dataset comparison shows there is no universally best model, the number of classes is not the main difficulty driver, and extreme imbalance severely distorts accuracy. For the weak datasets (loan default, ozone), feature enrichment, SMOTE oversampling and stronger models all fail to break the performance ceiling, indicating that their poor results stem from intrinsic data difficulty rather than insufficient processing.</w:t>
      </w:r>
    </w:p>
    <w:p>
      <w:pPr>
        <w:ind w:firstLine="480"/>
      </w:pPr>
      <w:r>
        <w:t>Keywords: machine learning; structured-data classification; model comparison; class imbalance; SMOTE; cross-dataset</w:t>
      </w:r>
    </w:p>
    <w:p>
      <w:r>
        <w:br w:type="page"/>
      </w:r>
    </w:p>
    <w:p>
      <w:pPr>
        <w:jc w:val="center"/>
      </w:pPr>
      <w:r>
        <w:rPr>
          <w:b/>
          <w:sz w:val="32"/>
        </w:rPr>
        <w:t>目　录</w:t>
      </w:r>
    </w:p>
    <w:p>
      <w:r>
        <w:t>第1章 引言</w:t>
      </w:r>
    </w:p>
    <w:p>
      <w:r>
        <w:t>第2章 理论基础与实验设计</w:t>
      </w:r>
    </w:p>
    <w:p>
      <w:r>
        <w:t>第3章 数据集与预处理</w:t>
      </w:r>
    </w:p>
    <w:p>
      <w:r>
        <w:t>第4章 模型建立与实验结果</w:t>
      </w:r>
    </w:p>
    <w:p>
      <w:r>
        <w:t>第5章 误差分析与补充实验</w:t>
      </w:r>
    </w:p>
    <w:p>
      <w:r>
        <w:t>第6章 跨数据集模型对照研究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结构化数据分类是机器学习应用中最常见的任务之一，广泛存在于食品质量评价、金融风险判断、医学辅助诊断和业务决策等场景。与图像、文本等非结构化数据不同，结构化数据通常由仪器测量、业务记录或人工标注得到，具有特征含义明确、维度相对有限、样本规模中等、噪声来源可解释等特点。对于这类数据，支持向量机、决策树、随机森林、逻辑回归等传统机器学习方法仍然具有训练成本低、调试方便、结果较易解释等优势。</w:t>
      </w:r>
    </w:p>
    <w:p>
      <w:pPr>
        <w:ind w:firstLine="480"/>
      </w:pPr>
      <w:r>
        <w:t>葡萄酒质量评价兼具实际应用价值和方法研究价值。在真实生产场景中，葡萄酒质量通常受到酸度、糖分、硫化物、密度、酒精度等多种理化因素影响，最终评分又带有一定主观性。若能够基于理化指标建立稳定的质量分级模型，可以辅助质量控制、产品筛选和生产工艺分析。Cortez 等整理的 Wine Quality 数据集将理化检测指标与质量评分对应起来，为研究化学属性与感官质量之间的统计关系提供了公开基准。</w:t>
      </w:r>
    </w:p>
    <w:p>
      <w:pPr>
        <w:ind w:firstLine="480"/>
      </w:pPr>
      <w:r>
        <w:t>该任务的难点在于，葡萄酒质量评分并不是完全离散、边界清晰的类别标签。一方面，数据集中样本主要集中在中间分值，极高和极低评分样本较少；另一方面，质量评分具有天然顺序，相邻等级之间的误判和跨等级误判在实际含义上并不相同。因此，本研究不仅比较多种传统分类模型的性能，还进一步引入宏平均 F1、二次加权 Kappa、有序 MAE 和严重跨级误判数等指标，从误差结构角度讨论质量分级模型的适用性。</w:t>
      </w:r>
    </w:p>
    <w:p>
      <w:pPr>
        <w:ind w:firstLine="480"/>
      </w:pPr>
      <w:r>
        <w:t>从实训和研究方法角度看，白葡萄酒质量分类任务能够覆盖结构化数据建模的完整流程，包括数据读取与查看、探索性分析、标签构造、标准化、交叉验证、模型选择、测试集评价和结果解释。通过该任务，可以较系统地理解传统机器学习在中小规模结构化数据上的建模思路，并分析不同模型在可解释性、泛化能力和错误类型上的差异。</w:t>
      </w:r>
    </w:p>
    <w:p>
      <w:pPr>
        <w:pStyle w:val="Heading2"/>
      </w:pPr>
      <w:r>
        <w:t>1.2 国内外研究现状</w:t>
      </w:r>
    </w:p>
    <w:p>
      <w:pPr>
        <w:ind w:firstLine="480"/>
      </w:pPr>
      <w:r>
        <w:t>围绕结构化分类任务，国内外研究已经形成了较成熟的方法体系。逻辑回归作为广义线性模型的代表，具有参数含义清晰、训练效率高等特点，常用于建立可解释的分类基线。支持向量机通过最大间隔原则提高分类器泛化能力，并可借助核函数刻画非线性边界，在中小规模数据集上具有较强竞争力。</w:t>
      </w:r>
    </w:p>
    <w:p>
      <w:pPr>
        <w:ind w:firstLine="480"/>
      </w:pPr>
      <w:r>
        <w:t>树模型及其集成方法是结构化数据建模中的重要方向。单棵决策树能够形成较直观的特征划分规则，但对训练样本扰动较敏感。随机森林通过 Bootstrap 采样、随机特征选择和多树投票降低方差，在表格数据任务中具有较好的稳定性。此后，XGBoost 和 LightGBM 等梯度提升树方法在工程效率和预测性能方面得到广泛应用。</w:t>
      </w:r>
    </w:p>
    <w:p>
      <w:pPr>
        <w:ind w:firstLine="480"/>
      </w:pPr>
      <w:r>
        <w:t>葡萄酒质量预测方面，Cortez 等以红葡萄酒和白葡萄酒理化检测数据为基础，研究了数据挖掘方法对感官偏好建模的可行性。该数据集被广泛用于分类、回归、特征重要性分析和模型比较。已有研究通常关注理化指标与质量评分之间的统计关联，其中酒精度、挥发性酸度、密度等变量常被认为与质量判断关系较密切。</w:t>
      </w:r>
    </w:p>
    <w:p>
      <w:pPr>
        <w:ind w:firstLine="480"/>
      </w:pPr>
      <w:r>
        <w:t>类别不平衡和有序标签是该任务中需要重点处理的两个问题。不平衡学习中总体准确率可能掩盖少数类别识别效果，因此需要结合平衡准确率、F1、MCC 等指标进行评价。另一方面，葡萄酒质量评分从低到高具有明确次序，将其完全视为无序类别会弱化相邻误判与严重跨级误判之间的差异。因此，本文在常规三分类实验之外补充有序回归分级对照，并引入二次加权 Kappa 和严重误判数，以更贴合质量分级任务的实际语义。</w:t>
      </w:r>
    </w:p>
    <w:p>
      <w:pPr>
        <w:pStyle w:val="Heading2"/>
      </w:pPr>
      <w:r>
        <w:t>1.3 研究内容与分工</w:t>
      </w:r>
    </w:p>
    <w:p>
      <w:pPr>
        <w:ind w:firstLine="480"/>
      </w:pPr>
      <w:r>
        <w:t>本文以四种传统机器学习模型为研究对象，以白葡萄酒质量三分类为主线，把数据集视为检验模型的试验台。主要工作包括两个层面：其一，在白葡萄酒数据上完成加载与查看、三分类标签构造、特征标准化与分层划分、四种模型训练与网格搜索、测试集指标评价、混淆矩阵与特征重要性分析，以及基于误差结构的有序建模补充实验；其二，将同一套建模管线推广到难度递增的五个结构化数据集上对照，并对其中表现欠佳的数据集做针对性处理（补充特征、不平衡重采样、更换更强模型），分析数据特点与模型选择如何共同决定性能。</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202434610301</w:t>
            </w:r>
          </w:p>
        </w:tc>
        <w:tc>
          <w:tcPr>
            <w:tcW w:type="dxa" w:w="2880"/>
          </w:tcPr>
          <w:p>
            <w:r>
              <w:t>蔡铭飞</w:t>
            </w:r>
          </w:p>
        </w:tc>
        <w:tc>
          <w:tcPr>
            <w:tcW w:type="dxa" w:w="2880"/>
          </w:tcPr>
          <w:p>
            <w:r>
              <w:t>数据预处理、四种模型训练与网格搜索、跨数据集对照与不平衡/特征改进实验、结果评估</w:t>
            </w:r>
          </w:p>
        </w:tc>
      </w:tr>
      <w:tr>
        <w:tc>
          <w:tcPr>
            <w:tcW w:type="dxa" w:w="2880"/>
          </w:tcPr>
          <w:p>
            <w:r>
              <w:t>202434610309</w:t>
            </w:r>
          </w:p>
        </w:tc>
        <w:tc>
          <w:tcPr>
            <w:tcW w:type="dxa" w:w="2880"/>
          </w:tcPr>
          <w:p>
            <w:r>
              <w:t>雷正</w:t>
            </w:r>
          </w:p>
        </w:tc>
        <w:tc>
          <w:tcPr>
            <w:tcW w:type="dxa" w:w="2880"/>
          </w:tcPr>
          <w:p>
            <w:r>
              <w:t>总体方案设计、实验结果分析、论文主体撰写与复现说明整理</w:t>
            </w:r>
          </w:p>
        </w:tc>
      </w:tr>
      <w:tr>
        <w:tc>
          <w:tcPr>
            <w:tcW w:type="dxa" w:w="2880"/>
          </w:tcPr>
          <w:p>
            <w:r>
              <w:t>202434610326</w:t>
            </w:r>
          </w:p>
        </w:tc>
        <w:tc>
          <w:tcPr>
            <w:tcW w:type="dxa" w:w="2880"/>
          </w:tcPr>
          <w:p>
            <w:r>
              <w:t>冼嘉谦</w:t>
            </w:r>
          </w:p>
        </w:tc>
        <w:tc>
          <w:tcPr>
            <w:tcW w:type="dxa" w:w="2880"/>
          </w:tcPr>
          <w:p>
            <w:r>
              <w:t>数据可视化、图表绘制、论文排版、PPT 制作与汇报</w:t>
            </w:r>
          </w:p>
        </w:tc>
      </w:tr>
    </w:tbl>
    <w:p>
      <w:pPr>
        <w:pStyle w:val="Heading1"/>
      </w:pPr>
      <w:r>
        <w:t>第2章 理论基础与实验设计</w:t>
      </w:r>
    </w:p>
    <w:p>
      <w:pPr>
        <w:pStyle w:val="Heading2"/>
      </w:pPr>
      <w:r>
        <w:t>2.1 监督学习与多分类问题</w:t>
      </w:r>
    </w:p>
    <w:p>
      <w:pPr>
        <w:ind w:firstLine="480"/>
      </w:pPr>
      <w:r>
        <w:t>监督学习是在带标签样本上学习从输入特征到输出标签的映射。白葡萄酒质量分类中，输入为 11 个理化检测指标，输出为由原始质量评分合并得到的“差”“中”“好”三类标签。模型训练的目标是在训练样本上降低分类损失，同时在未参与训练的测试样本上保持较好的泛化能力。</w:t>
      </w:r>
    </w:p>
    <w:p>
      <w:pPr>
        <w:ind w:firstLine="480"/>
      </w:pPr>
      <w:r>
        <w:t>该任务的特殊性在于，三类标签虽然按照分类问题处理，但类别之间仍具有低、中、高的自然顺序。因此，评价模型时不能只看预测是否完全正确，还应关注错误是发生在相邻等级之间，还是出现“差”和“好”之间的严重跨级误判。另一方面，原始质量评分集中在中间等级，宏平均 F1、平衡准确率、MCC 和二次加权 Kappa 等指标比单纯准确率更能反映模型在不同类别上的平均表现。</w:t>
      </w:r>
    </w:p>
    <w:p>
      <w:pPr>
        <w:pStyle w:val="Heading2"/>
      </w:pPr>
      <w:r>
        <w:t>2.2 标准化、交叉验证与模型选择</w:t>
      </w:r>
    </w:p>
    <w:p>
      <w:pPr>
        <w:ind w:firstLine="480"/>
      </w:pPr>
      <w:r>
        <w:t>白葡萄酒各理化指标的量纲差异较大，例如残糖、二氧化硫、密度和酒精度的数值范围并不相同。对于 SVM 和逻辑回归等依赖距离或权重优化的模型，标准化能够避免尺度较大的特征在训练中占据不合理优势。本文将 StandardScaler 封装进 scikit-learn Pipeline，使标准化参数只在每个训练折内估计，避免交叉验证中的数据泄漏。</w:t>
      </w:r>
    </w:p>
    <w:p>
      <w:pPr>
        <w:ind w:firstLine="480"/>
      </w:pPr>
      <w:r>
        <w:t>四种模型均使用五折交叉验证和网格搜索选择超参数，优化目标为宏平均 F1。这样设置的原因是，宏平均 F1 先分别计算每个类别的识别效果，再对类别取平均，能够降低类别样本数差异对模型选择的影响。最终模型在训练集上完成调参和拟合，测试集只用于最后一次独立评价。</w:t>
      </w:r>
    </w:p>
    <w:p>
      <w:pPr>
        <w:pStyle w:val="Heading2"/>
      </w:pPr>
      <w:r>
        <w:t>2.3 模型方法</w:t>
      </w:r>
    </w:p>
    <w:p>
      <w:pPr>
        <w:ind w:firstLine="480"/>
      </w:pPr>
      <w:r>
        <w:t>本文选取支持向量机、决策树、随机森林和逻辑回归四种模型进行比较。支持向量机通过最大化分类间隔提高泛化能力，并借助 RBF 核函数表达非线性边界；决策树通过递归划分特征空间形成分类规则，可解释性较强，但单棵树容易受到训练样本扰动影响。</w:t>
      </w:r>
    </w:p>
    <w:p>
      <w:pPr>
        <w:ind w:firstLine="480"/>
      </w:pPr>
      <w:r>
        <w:t>随机森林在决策树基础上引入 Bootstrap 采样和随机特征子集，多棵树投票能够降低单棵树方差，因此在中小规模表格数据上通常具有较好的稳定性。逻辑回归作为线性分类基线，用于检验理化指标与质量等级之间是否主要存在简单线性关系。如果逻辑回归表现明显偏低，则说明任务更依赖非线性特征组合。四种模型的核心原理如图 2-1 所示。</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_ml_models.png"/>
                    <pic:cNvPicPr/>
                  </pic:nvPicPr>
                  <pic:blipFill>
                    <a:blip r:embed="rId9"/>
                    <a:stretch>
                      <a:fillRect/>
                    </a:stretch>
                  </pic:blipFill>
                  <pic:spPr>
                    <a:xfrm>
                      <a:off x="0" y="0"/>
                      <a:ext cx="5486400" cy="4114800"/>
                    </a:xfrm>
                    <a:prstGeom prst="rect"/>
                  </pic:spPr>
                </pic:pic>
              </a:graphicData>
            </a:graphic>
          </wp:inline>
        </w:drawing>
      </w:r>
    </w:p>
    <w:p>
      <w:pPr>
        <w:jc w:val="center"/>
      </w:pPr>
      <w:r>
        <w:rPr>
          <w:sz w:val="21"/>
        </w:rPr>
        <w:t>图 2-1 四种传统机器学习模型原理示意：间隔最大化、规则分裂、集成投票与概率输出</w:t>
      </w:r>
    </w:p>
    <w:p>
      <w:pPr>
        <w:pStyle w:val="Heading2"/>
      </w:pPr>
      <w:r>
        <w:t>2.4 评价指标</w:t>
      </w:r>
    </w:p>
    <w:p>
      <w:pPr>
        <w:ind w:firstLine="480"/>
      </w:pPr>
      <w:r>
        <w:t>基础指标包括准确率、宏平均精确率、宏平均召回率和宏平均 F1。准确率反映总体预测正确比例，宏平均指标则对每个类别等权计算，更适合观察类别不均衡场景下的平均识别质量。</w:t>
      </w:r>
    </w:p>
    <w:p>
      <w:pPr>
        <w:ind w:firstLine="480"/>
      </w:pPr>
      <w:r>
        <w:t>进阶指标包括平衡准确率、二次加权 Kappa、Cohen's Kappa、MCC 和宏平均 ROC-AUC。平衡准确率本质上是各类别召回率的平均值；MCC 能综合反映混淆矩阵结构；Kappa 衡量预测与真实标签的一致性，并扣除随机一致影响；二次加权 Kappa 对跨等级误判惩罚更高，更适合葡萄酒质量这种有序标签；宏平均 ROC-AUC 则从概率排序角度补充评价模型区分能力。</w:t>
      </w:r>
    </w:p>
    <w:p>
      <w:pPr>
        <w:pStyle w:val="Heading1"/>
      </w:pPr>
      <w:r>
        <w:t>第3章 数据集与预处理</w:t>
      </w:r>
    </w:p>
    <w:p>
      <w:pPr>
        <w:pStyle w:val="Heading2"/>
      </w:pPr>
      <w:r>
        <w:t>3.1 数据集来源与数据查看</w:t>
      </w:r>
    </w:p>
    <w:p>
      <w:pPr>
        <w:ind w:firstLine="480"/>
      </w:pPr>
      <w:r>
        <w:t>本文采用 UCI Wine Quality 数据集中的白葡萄酒子集，共 4898 个样本，每个样本包含 11 个理化指标和一个质量评分标签。主要特征包括固定酸度、挥发性酸度、柠檬酸、残糖、氯化物、游离二氧化硫、总二氧化硫、密度、pH 值、硫酸盐和酒精度。</w:t>
      </w:r>
    </w:p>
    <w:p>
      <w:pPr>
        <w:ind w:firstLine="480"/>
      </w:pPr>
      <w:r>
        <w:t>这些变量均来自理化检测结果，具有明确的物理或化学含义，适合作为质量分级模型的输入特征。但理化指标不能完全替代真实品鉴过程中的香气、口感和风格偏好，因此本文的建模目标是基于可观测理化指标对质量等级进行统计预测。</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657600" cy="2438400"/>
                    </a:xfrm>
                    <a:prstGeom prst="rect"/>
                  </pic:spPr>
                </pic:pic>
              </a:graphicData>
            </a:graphic>
          </wp:inline>
        </w:drawing>
      </w:r>
    </w:p>
    <w:p>
      <w:pPr>
        <w:jc w:val="center"/>
      </w:pPr>
      <w:r>
        <w:rPr>
          <w:sz w:val="21"/>
        </w:rPr>
        <w:t>图 3-1 白葡萄酒质量评分分布</w:t>
      </w:r>
    </w:p>
    <w:p>
      <w:pPr>
        <w:jc w:val="center"/>
      </w:pPr>
      <w:r>
        <w:drawing>
          <wp:inline xmlns:a="http://schemas.openxmlformats.org/drawingml/2006/main" xmlns:pic="http://schemas.openxmlformats.org/drawingml/2006/picture">
            <wp:extent cx="4937760" cy="3950208"/>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937760" cy="3950208"/>
                    </a:xfrm>
                    <a:prstGeom prst="rect"/>
                  </pic:spPr>
                </pic:pic>
              </a:graphicData>
            </a:graphic>
          </wp:inline>
        </w:drawing>
      </w:r>
    </w:p>
    <w:p>
      <w:pPr>
        <w:jc w:val="center"/>
      </w:pPr>
      <w:r>
        <w:rPr>
          <w:sz w:val="21"/>
        </w:rPr>
        <w:t>图 3-2 理化指标相关性热力图</w:t>
      </w:r>
    </w:p>
    <w:p>
      <w:pPr>
        <w:ind w:firstLine="480"/>
      </w:pPr>
      <w:r>
        <w:t>质量评分主要集中在 5、6、7 三档，极高或极低评分样本较少，说明直接预测原始整数评分会遇到少数类别样本不足的问题。相关性热力图显示，部分特征之间存在一定相关关系，例如密度与残糖、酒精度等变量存在关联，提示模型需要处理特征之间的联合影响。</w:t>
      </w:r>
    </w:p>
    <w:p>
      <w:pPr>
        <w:pStyle w:val="Heading2"/>
      </w:pPr>
      <w:r>
        <w:t>3.2 标签构造与数据划分</w:t>
      </w:r>
    </w:p>
    <w:p>
      <w:pPr>
        <w:ind w:firstLine="480"/>
      </w:pPr>
      <w:r>
        <w:t>实验将评分按 q≤5、q=6、q≥7 归并为“差”“中”“好”三类。该处理兼顾了类别可学习性和质量分级语义：q≤5 对应低于主流评分的样本，q=6 对应中等质量样本，q≥7 对应整体表现较好的样本。</w:t>
      </w:r>
    </w:p>
    <w:p>
      <w:pPr>
        <w:ind w:firstLine="480"/>
      </w:pPr>
      <w:r>
        <w:t>数据集按 80/20 进行分层划分，保证训练集和测试集中的类别比例基本一致。三分类标签虽然降低了原始评分的细粒度，但能够减少少数类别过稀带来的评估波动，也更符合实际质量筛选中“较差、一般、较好”的分级需求。</w:t>
      </w:r>
    </w:p>
    <w:p>
      <w:pPr>
        <w:pStyle w:val="Heading1"/>
      </w:pPr>
      <w:r>
        <w:t>第4章 模型建立与实验结果</w:t>
      </w:r>
    </w:p>
    <w:p>
      <w:pPr>
        <w:pStyle w:val="Heading2"/>
      </w:pPr>
      <w:r>
        <w:t>4.1 训练设置</w:t>
      </w:r>
    </w:p>
    <w:p>
      <w:pPr>
        <w:ind w:firstLine="480"/>
      </w:pPr>
      <w:r>
        <w:t>四种模型均采用五折交叉验证和网格搜索进行超参数选择。SVM 重点搜索惩罚系数 C 和 RBF 核参数 gamma；决策树和随机森林主要搜索树深度、叶子节点样本数和树数量；逻辑回归搜索正则化强度。参数范围保持相对克制，以便重点比较模型类型和误差结构，而不是单纯追求最高分。</w:t>
      </w:r>
    </w:p>
    <w:p>
      <w:pPr>
        <w:jc w:val="center"/>
      </w:pPr>
      <w:r>
        <w:drawing>
          <wp:inline xmlns:a="http://schemas.openxmlformats.org/drawingml/2006/main" xmlns:pic="http://schemas.openxmlformats.org/drawingml/2006/picture">
            <wp:extent cx="5303520" cy="2601009"/>
            <wp:docPr id="4" name="Picture 4"/>
            <wp:cNvGraphicFramePr>
              <a:graphicFrameLocks noChangeAspect="1"/>
            </wp:cNvGraphicFramePr>
            <a:graphic>
              <a:graphicData uri="http://schemas.openxmlformats.org/drawingml/2006/picture">
                <pic:pic>
                  <pic:nvPicPr>
                    <pic:cNvPr id="0" name="fig_ml_pipeline.png"/>
                    <pic:cNvPicPr/>
                  </pic:nvPicPr>
                  <pic:blipFill>
                    <a:blip r:embed="rId12"/>
                    <a:stretch>
                      <a:fillRect/>
                    </a:stretch>
                  </pic:blipFill>
                  <pic:spPr>
                    <a:xfrm>
                      <a:off x="0" y="0"/>
                      <a:ext cx="5303520" cy="2601009"/>
                    </a:xfrm>
                    <a:prstGeom prst="rect"/>
                  </pic:spPr>
                </pic:pic>
              </a:graphicData>
            </a:graphic>
          </wp:inline>
        </w:drawing>
      </w:r>
    </w:p>
    <w:p>
      <w:pPr>
        <w:jc w:val="center"/>
      </w:pPr>
      <w:r>
        <w:rPr>
          <w:sz w:val="21"/>
        </w:rPr>
        <w:t>图 4-1 任务一传统机器学习建模流程</w:t>
      </w:r>
    </w:p>
    <w:p>
      <w:pPr>
        <w:jc w:val="center"/>
      </w:pPr>
      <w:r>
        <w:rPr>
          <w:sz w:val="21"/>
        </w:rPr>
        <w:t>表 4-1 模型超参数搜索空间与最优结果</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搜索空间</w:t>
            </w:r>
          </w:p>
        </w:tc>
        <w:tc>
          <w:tcPr>
            <w:tcW w:type="dxa" w:w="2880"/>
          </w:tcPr>
          <w:p>
            <w:r>
              <w:t>最优参数</w:t>
            </w:r>
          </w:p>
        </w:tc>
      </w:tr>
      <w:tr>
        <w:tc>
          <w:tcPr>
            <w:tcW w:type="dxa" w:w="2880"/>
          </w:tcPr>
          <w:p>
            <w:r>
              <w:t>SVM</w:t>
            </w:r>
          </w:p>
        </w:tc>
        <w:tc>
          <w:tcPr>
            <w:tcW w:type="dxa" w:w="2880"/>
          </w:tcPr>
          <w:p>
            <w:r>
              <w:t>C∈{1,10}，gamma∈{scale,0.1}</w:t>
            </w:r>
          </w:p>
        </w:tc>
        <w:tc>
          <w:tcPr>
            <w:tcW w:type="dxa" w:w="2880"/>
          </w:tcPr>
          <w:p>
            <w:r>
              <w:t>C=10，gamma=0.1</w:t>
            </w:r>
          </w:p>
        </w:tc>
      </w:tr>
      <w:tr>
        <w:tc>
          <w:tcPr>
            <w:tcW w:type="dxa" w:w="2880"/>
          </w:tcPr>
          <w:p>
            <w:r>
              <w:t>决策树</w:t>
            </w:r>
          </w:p>
        </w:tc>
        <w:tc>
          <w:tcPr>
            <w:tcW w:type="dxa" w:w="2880"/>
          </w:tcPr>
          <w:p>
            <w:r>
              <w:t>最大深度∈{None,10,20}，叶子样本∈{1,5}</w:t>
            </w:r>
          </w:p>
        </w:tc>
        <w:tc>
          <w:tcPr>
            <w:tcW w:type="dxa" w:w="2880"/>
          </w:tcPr>
          <w:p>
            <w:r>
              <w:t>深度 None，叶子样本 1</w:t>
            </w:r>
          </w:p>
        </w:tc>
      </w:tr>
      <w:tr>
        <w:tc>
          <w:tcPr>
            <w:tcW w:type="dxa" w:w="2880"/>
          </w:tcPr>
          <w:p>
            <w:r>
              <w:t>随机森林</w:t>
            </w:r>
          </w:p>
        </w:tc>
        <w:tc>
          <w:tcPr>
            <w:tcW w:type="dxa" w:w="2880"/>
          </w:tcPr>
          <w:p>
            <w:r>
              <w:t>树数∈{200,400}，最大深度∈{None,20}</w:t>
            </w:r>
          </w:p>
        </w:tc>
        <w:tc>
          <w:tcPr>
            <w:tcW w:type="dxa" w:w="2880"/>
          </w:tcPr>
          <w:p>
            <w:r>
              <w:t>树数 200，深度 20</w:t>
            </w:r>
          </w:p>
        </w:tc>
      </w:tr>
      <w:tr>
        <w:tc>
          <w:tcPr>
            <w:tcW w:type="dxa" w:w="2880"/>
          </w:tcPr>
          <w:p>
            <w:r>
              <w:t>逻辑回归</w:t>
            </w:r>
          </w:p>
        </w:tc>
        <w:tc>
          <w:tcPr>
            <w:tcW w:type="dxa" w:w="2880"/>
          </w:tcPr>
          <w:p>
            <w:r>
              <w:t>C∈{0.5,1,10}</w:t>
            </w:r>
          </w:p>
        </w:tc>
        <w:tc>
          <w:tcPr>
            <w:tcW w:type="dxa" w:w="2880"/>
          </w:tcPr>
          <w:p>
            <w:r>
              <w:t>C=0.5</w:t>
            </w:r>
          </w:p>
        </w:tc>
      </w:tr>
    </w:tbl>
    <w:p>
      <w:pPr>
        <w:jc w:val="center"/>
      </w:pPr>
      <w:r>
        <w:rPr>
          <w:sz w:val="21"/>
        </w:rPr>
        <w:t>表 4-2 四种模型基础评估指标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 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ind w:firstLine="480"/>
      </w:pPr>
      <w:r>
        <w:t>随机森林在准确率、精确率、召回率和宏平均 F1 上均取得最高结果。逻辑回归表现最低，说明理化指标与三类质量标签之间并非简单线性可分；SVM 能表达非线性边界，但在当前参数范围和数据条件下仍低于树模型；单棵决策树相比线性基线有所提升，但泛化稳定性有限。随机森林通过多树集成降低方差，更适合处理理化指标之间的非线性组合关系。</w:t>
      </w:r>
    </w:p>
    <w:p>
      <w:pPr>
        <w:jc w:val="center"/>
      </w:pPr>
      <w:r>
        <w:rPr>
          <w:sz w:val="21"/>
        </w:rPr>
        <w:t>表 4-3 四种模型进阶评估指标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平衡准确率</w:t>
            </w:r>
          </w:p>
        </w:tc>
        <w:tc>
          <w:tcPr>
            <w:tcW w:type="dxa" w:w="1728"/>
          </w:tcPr>
          <w:p>
            <w:r>
              <w:t>二次加权 Kappa</w:t>
            </w:r>
          </w:p>
        </w:tc>
        <w:tc>
          <w:tcPr>
            <w:tcW w:type="dxa" w:w="1728"/>
          </w:tcPr>
          <w:p>
            <w:r>
              <w:t>MCC</w:t>
            </w:r>
          </w:p>
        </w:tc>
        <w:tc>
          <w:tcPr>
            <w:tcW w:type="dxa" w:w="1728"/>
          </w:tcPr>
          <w:p>
            <w:r>
              <w:t>宏 ROC-AUC</w:t>
            </w:r>
          </w:p>
        </w:tc>
      </w:tr>
      <w:tr>
        <w:tc>
          <w:tcPr>
            <w:tcW w:type="dxa" w:w="1728"/>
          </w:tcPr>
          <w:p>
            <w:r>
              <w:t>SVM</w:t>
            </w:r>
          </w:p>
        </w:tc>
        <w:tc>
          <w:tcPr>
            <w:tcW w:type="dxa" w:w="1728"/>
          </w:tcPr>
          <w:p>
            <w:r>
              <w:t>0.660</w:t>
            </w:r>
          </w:p>
        </w:tc>
        <w:tc>
          <w:tcPr>
            <w:tcW w:type="dxa" w:w="1728"/>
          </w:tcPr>
          <w:p>
            <w:r>
              <w:t>0.626</w:t>
            </w:r>
          </w:p>
        </w:tc>
        <w:tc>
          <w:tcPr>
            <w:tcW w:type="dxa" w:w="1728"/>
          </w:tcPr>
          <w:p>
            <w:r>
              <w:t>0.439</w:t>
            </w:r>
          </w:p>
        </w:tc>
        <w:tc>
          <w:tcPr>
            <w:tcW w:type="dxa" w:w="1728"/>
          </w:tcPr>
          <w:p>
            <w:r>
              <w:t>0.819</w:t>
            </w:r>
          </w:p>
        </w:tc>
      </w:tr>
      <w:tr>
        <w:tc>
          <w:tcPr>
            <w:tcW w:type="dxa" w:w="1728"/>
          </w:tcPr>
          <w:p>
            <w:r>
              <w:t>决策树</w:t>
            </w:r>
          </w:p>
        </w:tc>
        <w:tc>
          <w:tcPr>
            <w:tcW w:type="dxa" w:w="1728"/>
          </w:tcPr>
          <w:p>
            <w:r>
              <w:t>0.644</w:t>
            </w:r>
          </w:p>
        </w:tc>
        <w:tc>
          <w:tcPr>
            <w:tcW w:type="dxa" w:w="1728"/>
          </w:tcPr>
          <w:p>
            <w:r>
              <w:t>0.566</w:t>
            </w:r>
          </w:p>
        </w:tc>
        <w:tc>
          <w:tcPr>
            <w:tcW w:type="dxa" w:w="1728"/>
          </w:tcPr>
          <w:p>
            <w:r>
              <w:t>0.452</w:t>
            </w:r>
          </w:p>
        </w:tc>
        <w:tc>
          <w:tcPr>
            <w:tcW w:type="dxa" w:w="1728"/>
          </w:tcPr>
          <w:p>
            <w:r>
              <w:t>0.729</w:t>
            </w:r>
          </w:p>
        </w:tc>
      </w:tr>
      <w:tr>
        <w:tc>
          <w:tcPr>
            <w:tcW w:type="dxa" w:w="1728"/>
          </w:tcPr>
          <w:p>
            <w:r>
              <w:t>随机森林</w:t>
            </w:r>
          </w:p>
        </w:tc>
        <w:tc>
          <w:tcPr>
            <w:tcW w:type="dxa" w:w="1728"/>
          </w:tcPr>
          <w:p>
            <w:r>
              <w:t>0.723</w:t>
            </w:r>
          </w:p>
        </w:tc>
        <w:tc>
          <w:tcPr>
            <w:tcW w:type="dxa" w:w="1728"/>
          </w:tcPr>
          <w:p>
            <w:r>
              <w:t>0.720</w:t>
            </w:r>
          </w:p>
        </w:tc>
        <w:tc>
          <w:tcPr>
            <w:tcW w:type="dxa" w:w="1728"/>
          </w:tcPr>
          <w:p>
            <w:r>
              <w:t>0.581</w:t>
            </w:r>
          </w:p>
        </w:tc>
        <w:tc>
          <w:tcPr>
            <w:tcW w:type="dxa" w:w="1728"/>
          </w:tcPr>
          <w:p>
            <w:r>
              <w:t>0.899</w:t>
            </w:r>
          </w:p>
        </w:tc>
      </w:tr>
      <w:tr>
        <w:tc>
          <w:tcPr>
            <w:tcW w:type="dxa" w:w="1728"/>
          </w:tcPr>
          <w:p>
            <w:r>
              <w:t>逻辑回归</w:t>
            </w:r>
          </w:p>
        </w:tc>
        <w:tc>
          <w:tcPr>
            <w:tcW w:type="dxa" w:w="1728"/>
          </w:tcPr>
          <w:p>
            <w:r>
              <w:t>0.567</w:t>
            </w:r>
          </w:p>
        </w:tc>
        <w:tc>
          <w:tcPr>
            <w:tcW w:type="dxa" w:w="1728"/>
          </w:tcPr>
          <w:p>
            <w:r>
              <w:t>0.491</w:t>
            </w:r>
          </w:p>
        </w:tc>
        <w:tc>
          <w:tcPr>
            <w:tcW w:type="dxa" w:w="1728"/>
          </w:tcPr>
          <w:p>
            <w:r>
              <w:t>0.311</w:t>
            </w:r>
          </w:p>
        </w:tc>
        <w:tc>
          <w:tcPr>
            <w:tcW w:type="dxa" w:w="1728"/>
          </w:tcPr>
          <w:p>
            <w:r>
              <w:t>0.740</w:t>
            </w:r>
          </w:p>
        </w:tc>
      </w:tr>
    </w:tbl>
    <w:p>
      <w:pPr>
        <w:ind w:firstLine="480"/>
      </w:pPr>
      <w:r>
        <w:t>随机森林在平衡准确率、二次加权 Kappa、MCC 和宏平均 ROC-AUC 上也取得最高结果，说明其优势不只体现在总体准确率上。二次加权 Kappa 为 0.720，表示预测结果与真实等级具有较好有序一致性；宏 ROC-AUC 为 0.899，说明模型概率输出具有较好的类别排序能力。</w:t>
      </w:r>
    </w:p>
    <w:p>
      <w:pPr>
        <w:jc w:val="center"/>
      </w:pPr>
      <w:r>
        <w:drawing>
          <wp:inline xmlns:a="http://schemas.openxmlformats.org/drawingml/2006/main" xmlns:pic="http://schemas.openxmlformats.org/drawingml/2006/picture">
            <wp:extent cx="4846320" cy="3028950"/>
            <wp:docPr id="5" name="Picture 5"/>
            <wp:cNvGraphicFramePr>
              <a:graphicFrameLocks noChangeAspect="1"/>
            </wp:cNvGraphicFramePr>
            <a:graphic>
              <a:graphicData uri="http://schemas.openxmlformats.org/drawingml/2006/picture">
                <pic:pic>
                  <pic:nvPicPr>
                    <pic:cNvPr id="0" name="model_compare.png"/>
                    <pic:cNvPicPr/>
                  </pic:nvPicPr>
                  <pic:blipFill>
                    <a:blip r:embed="rId13"/>
                    <a:stretch>
                      <a:fillRect/>
                    </a:stretch>
                  </pic:blipFill>
                  <pic:spPr>
                    <a:xfrm>
                      <a:off x="0" y="0"/>
                      <a:ext cx="4846320" cy="3028950"/>
                    </a:xfrm>
                    <a:prstGeom prst="rect"/>
                  </pic:spPr>
                </pic:pic>
              </a:graphicData>
            </a:graphic>
          </wp:inline>
        </w:drawing>
      </w:r>
    </w:p>
    <w:p>
      <w:pPr>
        <w:jc w:val="center"/>
      </w:pPr>
      <w:r>
        <w:rPr>
          <w:sz w:val="21"/>
        </w:rPr>
        <w:t>图 4-2 四种模型指标对比</w:t>
      </w:r>
    </w:p>
    <w:p>
      <w:pPr>
        <w:jc w:val="center"/>
      </w:pPr>
      <w:r>
        <w:drawing>
          <wp:inline xmlns:a="http://schemas.openxmlformats.org/drawingml/2006/main" xmlns:pic="http://schemas.openxmlformats.org/drawingml/2006/picture">
            <wp:extent cx="3840480" cy="3072384"/>
            <wp:docPr id="6" name="Picture 6"/>
            <wp:cNvGraphicFramePr>
              <a:graphicFrameLocks noChangeAspect="1"/>
            </wp:cNvGraphicFramePr>
            <a:graphic>
              <a:graphicData uri="http://schemas.openxmlformats.org/drawingml/2006/picture">
                <pic:pic>
                  <pic:nvPicPr>
                    <pic:cNvPr id="0" name="cm_随机森林.png"/>
                    <pic:cNvPicPr/>
                  </pic:nvPicPr>
                  <pic:blipFill>
                    <a:blip r:embed="rId14"/>
                    <a:stretch>
                      <a:fillRect/>
                    </a:stretch>
                  </pic:blipFill>
                  <pic:spPr>
                    <a:xfrm>
                      <a:off x="0" y="0"/>
                      <a:ext cx="3840480" cy="3072384"/>
                    </a:xfrm>
                    <a:prstGeom prst="rect"/>
                  </pic:spPr>
                </pic:pic>
              </a:graphicData>
            </a:graphic>
          </wp:inline>
        </w:drawing>
      </w:r>
    </w:p>
    <w:p>
      <w:pPr>
        <w:jc w:val="center"/>
      </w:pPr>
      <w:r>
        <w:rPr>
          <w:sz w:val="21"/>
        </w:rPr>
        <w:t>图 4-3 随机森林混淆矩阵</w:t>
      </w:r>
    </w:p>
    <w:p>
      <w:pPr>
        <w:jc w:val="center"/>
      </w:pPr>
      <w:r>
        <w:drawing>
          <wp:inline xmlns:a="http://schemas.openxmlformats.org/drawingml/2006/main" xmlns:pic="http://schemas.openxmlformats.org/drawingml/2006/picture">
            <wp:extent cx="4389120" cy="3135086"/>
            <wp:docPr id="7" name="Picture 7"/>
            <wp:cNvGraphicFramePr>
              <a:graphicFrameLocks noChangeAspect="1"/>
            </wp:cNvGraphicFramePr>
            <a:graphic>
              <a:graphicData uri="http://schemas.openxmlformats.org/drawingml/2006/picture">
                <pic:pic>
                  <pic:nvPicPr>
                    <pic:cNvPr id="0" name="rf_feature_importance.png"/>
                    <pic:cNvPicPr/>
                  </pic:nvPicPr>
                  <pic:blipFill>
                    <a:blip r:embed="rId15"/>
                    <a:stretch>
                      <a:fillRect/>
                    </a:stretch>
                  </pic:blipFill>
                  <pic:spPr>
                    <a:xfrm>
                      <a:off x="0" y="0"/>
                      <a:ext cx="4389120" cy="3135086"/>
                    </a:xfrm>
                    <a:prstGeom prst="rect"/>
                  </pic:spPr>
                </pic:pic>
              </a:graphicData>
            </a:graphic>
          </wp:inline>
        </w:drawing>
      </w:r>
    </w:p>
    <w:p>
      <w:pPr>
        <w:jc w:val="center"/>
      </w:pPr>
      <w:r>
        <w:rPr>
          <w:sz w:val="21"/>
        </w:rPr>
        <w:t>图 4-4 随机森林特征重要性</w:t>
      </w:r>
    </w:p>
    <w:p>
      <w:pPr>
        <w:ind w:firstLine="480"/>
      </w:pPr>
      <w:r>
        <w:t>随机森林对“差”和“好”两端类别的精确率较高，但“中”类样本与相邻等级边界较模糊。特征重要性显示，酒精度、密度和挥发性酸度对质量等级判别贡献较大。这一结果与葡萄酒质量判断常识基本一致，但特征重要性只能作为模型解释参考，不能直接理解为严格因果关系。</w:t>
      </w:r>
    </w:p>
    <w:p>
      <w:pPr>
        <w:pStyle w:val="Heading1"/>
      </w:pPr>
      <w:r>
        <w:t>第5章 误差分析与补充实验</w:t>
      </w:r>
    </w:p>
    <w:p>
      <w:pPr>
        <w:pStyle w:val="Heading2"/>
      </w:pPr>
      <w:r>
        <w:t>5.1 邻级混淆现象</w:t>
      </w:r>
    </w:p>
    <w:p>
      <w:pPr>
        <w:ind w:firstLine="480"/>
      </w:pPr>
      <w:r>
        <w:t>随机森林的主要误差集中在“差”和“中”、“中”和“好”之间，而“差”和“好”之间的严重跨级误判较少。这说明模型较难完全区分相邻等级，但整体上能够保持质量等级的排序方向。对于葡萄酒评分而言，相邻分值往往对应若干理化指标和感官因素的综合变化，边界样本在特征空间中可能存在重叠。</w:t>
      </w:r>
    </w:p>
    <w:p>
      <w:pPr>
        <w:pStyle w:val="Heading2"/>
      </w:pPr>
      <w:r>
        <w:t>5.2 有序回归分级对照</w:t>
      </w:r>
    </w:p>
    <w:p>
      <w:pPr>
        <w:ind w:firstLine="480"/>
      </w:pPr>
      <w:r>
        <w:t>由于葡萄酒质量评分具有天然顺序，本文补充采用“回归预测连续质量分，再按阈值分级”的方式进行对照。该方法先预测连续质量分，再映射到三类标签，因此能够保留评分从低到高的顺序结构。</w:t>
      </w:r>
    </w:p>
    <w:p>
      <w:pPr>
        <w:jc w:val="center"/>
      </w:pPr>
      <w:r>
        <w:rPr>
          <w:sz w:val="21"/>
        </w:rPr>
        <w:t>表 5-1 直接分类与有序回归分级对比</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方法</w:t>
            </w:r>
          </w:p>
        </w:tc>
        <w:tc>
          <w:tcPr>
            <w:tcW w:type="dxa" w:w="1440"/>
          </w:tcPr>
          <w:p>
            <w:r>
              <w:t>准确率</w:t>
            </w:r>
          </w:p>
        </w:tc>
        <w:tc>
          <w:tcPr>
            <w:tcW w:type="dxa" w:w="1440"/>
          </w:tcPr>
          <w:p>
            <w:r>
              <w:t>宏平均 F1</w:t>
            </w:r>
          </w:p>
        </w:tc>
        <w:tc>
          <w:tcPr>
            <w:tcW w:type="dxa" w:w="1440"/>
          </w:tcPr>
          <w:p>
            <w:r>
              <w:t>二次加权 Kappa</w:t>
            </w:r>
          </w:p>
        </w:tc>
        <w:tc>
          <w:tcPr>
            <w:tcW w:type="dxa" w:w="1440"/>
          </w:tcPr>
          <w:p>
            <w:r>
              <w:t>严重误判数</w:t>
            </w:r>
          </w:p>
        </w:tc>
        <w:tc>
          <w:tcPr>
            <w:tcW w:type="dxa" w:w="1440"/>
          </w:tcPr>
          <w:p>
            <w:r>
              <w:t>有序 MAE</w:t>
            </w:r>
          </w:p>
        </w:tc>
      </w:tr>
      <w:tr>
        <w:tc>
          <w:tcPr>
            <w:tcW w:type="dxa" w:w="1440"/>
          </w:tcPr>
          <w:p>
            <w:r>
              <w:t>直接分类（随机森林）</w:t>
            </w:r>
          </w:p>
        </w:tc>
        <w:tc>
          <w:tcPr>
            <w:tcW w:type="dxa" w:w="1440"/>
          </w:tcPr>
          <w:p>
            <w:r>
              <w:t>0.7347</w:t>
            </w:r>
          </w:p>
        </w:tc>
        <w:tc>
          <w:tcPr>
            <w:tcW w:type="dxa" w:w="1440"/>
          </w:tcPr>
          <w:p>
            <w:r>
              <w:t>0.7336</w:t>
            </w:r>
          </w:p>
        </w:tc>
        <w:tc>
          <w:tcPr>
            <w:tcW w:type="dxa" w:w="1440"/>
          </w:tcPr>
          <w:p>
            <w:r>
              <w:t>0.7200</w:t>
            </w:r>
          </w:p>
        </w:tc>
        <w:tc>
          <w:tcPr>
            <w:tcW w:type="dxa" w:w="1440"/>
          </w:tcPr>
          <w:p>
            <w:r>
              <w:t>7</w:t>
            </w:r>
          </w:p>
        </w:tc>
        <w:tc>
          <w:tcPr>
            <w:tcW w:type="dxa" w:w="1440"/>
          </w:tcPr>
          <w:p>
            <w:r>
              <w:t>0.2724</w:t>
            </w:r>
          </w:p>
        </w:tc>
      </w:tr>
      <w:tr>
        <w:tc>
          <w:tcPr>
            <w:tcW w:type="dxa" w:w="1440"/>
          </w:tcPr>
          <w:p>
            <w:r>
              <w:t>有序回归→分级</w:t>
            </w:r>
          </w:p>
        </w:tc>
        <w:tc>
          <w:tcPr>
            <w:tcW w:type="dxa" w:w="1440"/>
          </w:tcPr>
          <w:p>
            <w:r>
              <w:t>0.7571</w:t>
            </w:r>
          </w:p>
        </w:tc>
        <w:tc>
          <w:tcPr>
            <w:tcW w:type="dxa" w:w="1440"/>
          </w:tcPr>
          <w:p>
            <w:r>
              <w:t>0.7533</w:t>
            </w:r>
          </w:p>
        </w:tc>
        <w:tc>
          <w:tcPr>
            <w:tcW w:type="dxa" w:w="1440"/>
          </w:tcPr>
          <w:p>
            <w:r>
              <w:t>0.7411</w:t>
            </w:r>
          </w:p>
        </w:tc>
        <w:tc>
          <w:tcPr>
            <w:tcW w:type="dxa" w:w="1440"/>
          </w:tcPr>
          <w:p>
            <w:r>
              <w:t>4</w:t>
            </w:r>
          </w:p>
        </w:tc>
        <w:tc>
          <w:tcPr>
            <w:tcW w:type="dxa" w:w="1440"/>
          </w:tcPr>
          <w:p>
            <w:r>
              <w:t>0.2469</w:t>
            </w:r>
          </w:p>
        </w:tc>
      </w:tr>
    </w:tbl>
    <w:p>
      <w:pPr>
        <w:jc w:val="center"/>
      </w:pPr>
      <w:r>
        <w:drawing>
          <wp:inline xmlns:a="http://schemas.openxmlformats.org/drawingml/2006/main" xmlns:pic="http://schemas.openxmlformats.org/drawingml/2006/picture">
            <wp:extent cx="3657600" cy="2926080"/>
            <wp:docPr id="8" name="Picture 8"/>
            <wp:cNvGraphicFramePr>
              <a:graphicFrameLocks noChangeAspect="1"/>
            </wp:cNvGraphicFramePr>
            <a:graphic>
              <a:graphicData uri="http://schemas.openxmlformats.org/drawingml/2006/picture">
                <pic:pic>
                  <pic:nvPicPr>
                    <pic:cNvPr id="0" name="ordinal_improvement.png"/>
                    <pic:cNvPicPr/>
                  </pic:nvPicPr>
                  <pic:blipFill>
                    <a:blip r:embed="rId16"/>
                    <a:stretch>
                      <a:fillRect/>
                    </a:stretch>
                  </pic:blipFill>
                  <pic:spPr>
                    <a:xfrm>
                      <a:off x="0" y="0"/>
                      <a:ext cx="3657600" cy="2926080"/>
                    </a:xfrm>
                    <a:prstGeom prst="rect"/>
                  </pic:spPr>
                </pic:pic>
              </a:graphicData>
            </a:graphic>
          </wp:inline>
        </w:drawing>
      </w:r>
    </w:p>
    <w:p>
      <w:pPr>
        <w:jc w:val="center"/>
      </w:pPr>
      <w:r>
        <w:rPr>
          <w:sz w:val="21"/>
        </w:rPr>
        <w:t>图 5-1 有序回归分级减少严重误判</w:t>
      </w:r>
    </w:p>
    <w:p>
      <w:pPr>
        <w:ind w:firstLine="480"/>
      </w:pPr>
      <w:r>
        <w:t>有序回归分级使准确率由 0.7347 提升至 0.7571，宏平均 F1 由 0.7336 提升至 0.7533，严重跨级误判数由 7 降至 4。这说明在质量等级具有自然顺序的场景中，将标签有序性纳入建模和评价过程具有实际意义。该对照仍属于基础尝试，后续需要多随机种子和专门有序分类模型进一步验证稳定性。</w:t>
      </w:r>
    </w:p>
    <w:p>
      <w:pPr>
        <w:pStyle w:val="Heading1"/>
      </w:pPr>
      <w:r>
        <w:t>第6章 跨数据集模型对照研究</w:t>
      </w:r>
    </w:p>
    <w:p>
      <w:pPr>
        <w:ind w:firstLine="480"/>
      </w:pPr>
      <w:r>
        <w:t>前述各章均围绕白葡萄酒一个数据集展开。为进一步回答“究竟是什么决定了传统机器学习模型的分类性能”，本章以四种模型本身为研究对象，把同一套建模管线推广到难度递增的五个结构化数据集上对照，考察模型表现如何随数据特点变化。本章核心结论是：不存在放之四海而皆准的“最优模型”，性能由数据特点与“模型—数据匹配”共同决定。</w:t>
      </w:r>
    </w:p>
    <w:p>
      <w:pPr>
        <w:pStyle w:val="Heading2"/>
      </w:pPr>
      <w:r>
        <w:t>6.1 实验设置：难度阶梯与统一模型管线</w:t>
      </w:r>
    </w:p>
    <w:p>
      <w:pPr>
        <w:ind w:firstLine="480"/>
      </w:pPr>
      <w:r>
        <w:t>本章在白葡萄酒之外，另选取电离层雷达回波（ionosphere）、贷款违约预测（Lending Club）、干豆形态分类（Dry Bean）和臭氧层超标检测（Ozone）四个公开数据集。五个数据集在样本量、特征维度、类别数和类别平衡程度上差异明显，构成由易到难的难度阶梯，如表 6-1 所示。其中 Lending Club 原始数据约 1.19GB，本文仅取已结清贷款、剔除回款额等会泄露标签的事后特征，并按类别分层抽样 3 万条以保证可计算性。</w:t>
      </w:r>
    </w:p>
    <w:p>
      <w:pPr>
        <w:jc w:val="center"/>
      </w:pPr>
      <w:r>
        <w:rPr>
          <w:sz w:val="21"/>
        </w:rPr>
        <w:t>表 6-1 五个结构化数据集的基本特征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样本数</w:t>
            </w:r>
          </w:p>
        </w:tc>
        <w:tc>
          <w:tcPr>
            <w:tcW w:type="dxa" w:w="1440"/>
          </w:tcPr>
          <w:p>
            <w:r>
              <w:t>特征维度</w:t>
            </w:r>
          </w:p>
        </w:tc>
        <w:tc>
          <w:tcPr>
            <w:tcW w:type="dxa" w:w="1440"/>
          </w:tcPr>
          <w:p>
            <w:r>
              <w:t>类别数</w:t>
            </w:r>
          </w:p>
        </w:tc>
        <w:tc>
          <w:tcPr>
            <w:tcW w:type="dxa" w:w="1440"/>
          </w:tcPr>
          <w:p>
            <w:r>
              <w:t>不平衡比</w:t>
            </w:r>
          </w:p>
        </w:tc>
        <w:tc>
          <w:tcPr>
            <w:tcW w:type="dxa" w:w="1440"/>
          </w:tcPr>
          <w:p>
            <w:r>
              <w:t>特点</w:t>
            </w:r>
          </w:p>
        </w:tc>
      </w:tr>
      <w:tr>
        <w:tc>
          <w:tcPr>
            <w:tcW w:type="dxa" w:w="1440"/>
          </w:tcPr>
          <w:p>
            <w:r>
              <w:t>电离层 ionosphere</w:t>
            </w:r>
          </w:p>
        </w:tc>
        <w:tc>
          <w:tcPr>
            <w:tcW w:type="dxa" w:w="1440"/>
          </w:tcPr>
          <w:p>
            <w:r>
              <w:t>351</w:t>
            </w:r>
          </w:p>
        </w:tc>
        <w:tc>
          <w:tcPr>
            <w:tcW w:type="dxa" w:w="1440"/>
          </w:tcPr>
          <w:p>
            <w:r>
              <w:t>34</w:t>
            </w:r>
          </w:p>
        </w:tc>
        <w:tc>
          <w:tcPr>
            <w:tcW w:type="dxa" w:w="1440"/>
          </w:tcPr>
          <w:p>
            <w:r>
              <w:t>2</w:t>
            </w:r>
          </w:p>
        </w:tc>
        <w:tc>
          <w:tcPr>
            <w:tcW w:type="dxa" w:w="1440"/>
          </w:tcPr>
          <w:p>
            <w:r>
              <w:t>1.8</w:t>
            </w:r>
          </w:p>
        </w:tc>
        <w:tc>
          <w:tcPr>
            <w:tcW w:type="dxa" w:w="1440"/>
          </w:tcPr>
          <w:p>
            <w:r>
              <w:t>小样本、近线性可分</w:t>
            </w:r>
          </w:p>
        </w:tc>
      </w:tr>
      <w:tr>
        <w:tc>
          <w:tcPr>
            <w:tcW w:type="dxa" w:w="1440"/>
          </w:tcPr>
          <w:p>
            <w:r>
              <w:t>白葡萄酒 wine</w:t>
            </w:r>
          </w:p>
        </w:tc>
        <w:tc>
          <w:tcPr>
            <w:tcW w:type="dxa" w:w="1440"/>
          </w:tcPr>
          <w:p>
            <w:r>
              <w:t>4898</w:t>
            </w:r>
          </w:p>
        </w:tc>
        <w:tc>
          <w:tcPr>
            <w:tcW w:type="dxa" w:w="1440"/>
          </w:tcPr>
          <w:p>
            <w:r>
              <w:t>11</w:t>
            </w:r>
          </w:p>
        </w:tc>
        <w:tc>
          <w:tcPr>
            <w:tcW w:type="dxa" w:w="1440"/>
          </w:tcPr>
          <w:p>
            <w:r>
              <w:t>3</w:t>
            </w:r>
          </w:p>
        </w:tc>
        <w:tc>
          <w:tcPr>
            <w:tcW w:type="dxa" w:w="1440"/>
          </w:tcPr>
          <w:p>
            <w:r>
              <w:t>2.1</w:t>
            </w:r>
          </w:p>
        </w:tc>
        <w:tc>
          <w:tcPr>
            <w:tcW w:type="dxa" w:w="1440"/>
          </w:tcPr>
          <w:p>
            <w:r>
              <w:t>有序、轻度不平衡</w:t>
            </w:r>
          </w:p>
        </w:tc>
      </w:tr>
      <w:tr>
        <w:tc>
          <w:tcPr>
            <w:tcW w:type="dxa" w:w="1440"/>
          </w:tcPr>
          <w:p>
            <w:r>
              <w:t>贷款违约 Lending Club</w:t>
            </w:r>
          </w:p>
        </w:tc>
        <w:tc>
          <w:tcPr>
            <w:tcW w:type="dxa" w:w="1440"/>
          </w:tcPr>
          <w:p>
            <w:r>
              <w:t>30000</w:t>
            </w:r>
          </w:p>
        </w:tc>
        <w:tc>
          <w:tcPr>
            <w:tcW w:type="dxa" w:w="1440"/>
          </w:tcPr>
          <w:p>
            <w:r>
              <w:t>12</w:t>
            </w:r>
          </w:p>
        </w:tc>
        <w:tc>
          <w:tcPr>
            <w:tcW w:type="dxa" w:w="1440"/>
          </w:tcPr>
          <w:p>
            <w:r>
              <w:t>2</w:t>
            </w:r>
          </w:p>
        </w:tc>
        <w:tc>
          <w:tcPr>
            <w:tcW w:type="dxa" w:w="1440"/>
          </w:tcPr>
          <w:p>
            <w:r>
              <w:t>4.0</w:t>
            </w:r>
          </w:p>
        </w:tc>
        <w:tc>
          <w:tcPr>
            <w:tcW w:type="dxa" w:w="1440"/>
          </w:tcPr>
          <w:p>
            <w:r>
              <w:t>大规模、弱信号</w:t>
            </w:r>
          </w:p>
        </w:tc>
      </w:tr>
      <w:tr>
        <w:tc>
          <w:tcPr>
            <w:tcW w:type="dxa" w:w="1440"/>
          </w:tcPr>
          <w:p>
            <w:r>
              <w:t>干豆 Dry Bean</w:t>
            </w:r>
          </w:p>
        </w:tc>
        <w:tc>
          <w:tcPr>
            <w:tcW w:type="dxa" w:w="1440"/>
          </w:tcPr>
          <w:p>
            <w:r>
              <w:t>13611</w:t>
            </w:r>
          </w:p>
        </w:tc>
        <w:tc>
          <w:tcPr>
            <w:tcW w:type="dxa" w:w="1440"/>
          </w:tcPr>
          <w:p>
            <w:r>
              <w:t>16</w:t>
            </w:r>
          </w:p>
        </w:tc>
        <w:tc>
          <w:tcPr>
            <w:tcW w:type="dxa" w:w="1440"/>
          </w:tcPr>
          <w:p>
            <w:r>
              <w:t>7</w:t>
            </w:r>
          </w:p>
        </w:tc>
        <w:tc>
          <w:tcPr>
            <w:tcW w:type="dxa" w:w="1440"/>
          </w:tcPr>
          <w:p>
            <w:r>
              <w:t>6.8</w:t>
            </w:r>
          </w:p>
        </w:tc>
        <w:tc>
          <w:tcPr>
            <w:tcW w:type="dxa" w:w="1440"/>
          </w:tcPr>
          <w:p>
            <w:r>
              <w:t>多分类、形态可分</w:t>
            </w:r>
          </w:p>
        </w:tc>
      </w:tr>
      <w:tr>
        <w:tc>
          <w:tcPr>
            <w:tcW w:type="dxa" w:w="1440"/>
          </w:tcPr>
          <w:p>
            <w:r>
              <w:t>臭氧 Ozone</w:t>
            </w:r>
          </w:p>
        </w:tc>
        <w:tc>
          <w:tcPr>
            <w:tcW w:type="dxa" w:w="1440"/>
          </w:tcPr>
          <w:p>
            <w:r>
              <w:t>2536</w:t>
            </w:r>
          </w:p>
        </w:tc>
        <w:tc>
          <w:tcPr>
            <w:tcW w:type="dxa" w:w="1440"/>
          </w:tcPr>
          <w:p>
            <w:r>
              <w:t>72</w:t>
            </w:r>
          </w:p>
        </w:tc>
        <w:tc>
          <w:tcPr>
            <w:tcW w:type="dxa" w:w="1440"/>
          </w:tcPr>
          <w:p>
            <w:r>
              <w:t>2</w:t>
            </w:r>
          </w:p>
        </w:tc>
        <w:tc>
          <w:tcPr>
            <w:tcW w:type="dxa" w:w="1440"/>
          </w:tcPr>
          <w:p>
            <w:r>
              <w:t>33.7</w:t>
            </w:r>
          </w:p>
        </w:tc>
        <w:tc>
          <w:tcPr>
            <w:tcW w:type="dxa" w:w="1440"/>
          </w:tcPr>
          <w:p>
            <w:r>
              <w:t>高维、极度不平衡</w:t>
            </w:r>
          </w:p>
        </w:tc>
      </w:tr>
    </w:tbl>
    <w:p>
      <w:pPr>
        <w:jc w:val="center"/>
      </w:pPr>
      <w:r>
        <w:drawing>
          <wp:inline xmlns:a="http://schemas.openxmlformats.org/drawingml/2006/main" xmlns:pic="http://schemas.openxmlformats.org/drawingml/2006/picture">
            <wp:extent cx="5486400" cy="3087741"/>
            <wp:docPr id="9" name="Picture 9"/>
            <wp:cNvGraphicFramePr>
              <a:graphicFrameLocks noChangeAspect="1"/>
            </wp:cNvGraphicFramePr>
            <a:graphic>
              <a:graphicData uri="http://schemas.openxmlformats.org/drawingml/2006/picture">
                <pic:pic>
                  <pic:nvPicPr>
                    <pic:cNvPr id="0" name="fig_tab_datasets.png"/>
                    <pic:cNvPicPr/>
                  </pic:nvPicPr>
                  <pic:blipFill>
                    <a:blip r:embed="rId17"/>
                    <a:stretch>
                      <a:fillRect/>
                    </a:stretch>
                  </pic:blipFill>
                  <pic:spPr>
                    <a:xfrm>
                      <a:off x="0" y="0"/>
                      <a:ext cx="5486400" cy="3087741"/>
                    </a:xfrm>
                    <a:prstGeom prst="rect"/>
                  </pic:spPr>
                </pic:pic>
              </a:graphicData>
            </a:graphic>
          </wp:inline>
        </w:drawing>
      </w:r>
    </w:p>
    <w:p>
      <w:pPr>
        <w:jc w:val="center"/>
      </w:pPr>
      <w:r>
        <w:rPr>
          <w:sz w:val="21"/>
        </w:rPr>
        <w:t>图 6-1 五个结构化数据集的难度阶梯：从小样本近线性可分到大规模弱信号、多分类与极端不平衡</w:t>
      </w:r>
    </w:p>
    <w:p>
      <w:pPr>
        <w:ind w:firstLine="480"/>
      </w:pPr>
      <w:r>
        <w:t>五个数据集统一采用相同的建模管线：标准化、五折交叉验证和网格搜索，并对每个数据集使用完全相同的四种模型（SVM、决策树、随机森林、逻辑回归）及超参数搜索空间，主指标为宏平均 F1，辅以准确率与平衡准确率，所有模型均开启类别权重平衡。</w:t>
      </w:r>
    </w:p>
    <w:p>
      <w:pPr>
        <w:pStyle w:val="Heading2"/>
      </w:pPr>
      <w:r>
        <w:t>6.2 跨数据集对照结果</w:t>
      </w:r>
    </w:p>
    <w:p>
      <w:pPr>
        <w:ind w:firstLine="480"/>
      </w:pPr>
      <w:r>
        <w:t>四种模型在五个数据集上的测试集宏平均 F1 如表 6-2 和图 6-2 所示。最优模型随数据集而改变：随机森林在电离层和白葡萄酒上最好，支持向量机在干豆上最好，逻辑回归在贷款违约上最好，而在极不平衡的臭氧上各模型表现都很差。这直观印证了“没有免费午餐”——没有任何单一模型在所有任务上占优。</w:t>
      </w:r>
    </w:p>
    <w:p>
      <w:pPr>
        <w:jc w:val="center"/>
      </w:pPr>
      <w:r>
        <w:rPr>
          <w:sz w:val="21"/>
        </w:rPr>
        <w:t>表 6-2 四种模型在五个数据集上的测试集宏平均 F1</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SVM</w:t>
            </w:r>
          </w:p>
        </w:tc>
        <w:tc>
          <w:tcPr>
            <w:tcW w:type="dxa" w:w="1440"/>
          </w:tcPr>
          <w:p>
            <w:r>
              <w:t>决策树</w:t>
            </w:r>
          </w:p>
        </w:tc>
        <w:tc>
          <w:tcPr>
            <w:tcW w:type="dxa" w:w="1440"/>
          </w:tcPr>
          <w:p>
            <w:r>
              <w:t>随机森林</w:t>
            </w:r>
          </w:p>
        </w:tc>
        <w:tc>
          <w:tcPr>
            <w:tcW w:type="dxa" w:w="1440"/>
          </w:tcPr>
          <w:p>
            <w:r>
              <w:t>逻辑回归</w:t>
            </w:r>
          </w:p>
        </w:tc>
        <w:tc>
          <w:tcPr>
            <w:tcW w:type="dxa" w:w="1440"/>
          </w:tcPr>
          <w:p>
            <w:r>
              <w:t>最优模型</w:t>
            </w:r>
          </w:p>
        </w:tc>
      </w:tr>
      <w:tr>
        <w:tc>
          <w:tcPr>
            <w:tcW w:type="dxa" w:w="1440"/>
          </w:tcPr>
          <w:p>
            <w:r>
              <w:t>电离层 ionosphere</w:t>
            </w:r>
          </w:p>
        </w:tc>
        <w:tc>
          <w:tcPr>
            <w:tcW w:type="dxa" w:w="1440"/>
          </w:tcPr>
          <w:p>
            <w:r>
              <w:t>0.9393</w:t>
            </w:r>
          </w:p>
        </w:tc>
        <w:tc>
          <w:tcPr>
            <w:tcW w:type="dxa" w:w="1440"/>
          </w:tcPr>
          <w:p>
            <w:r>
              <w:t>0.9235</w:t>
            </w:r>
          </w:p>
        </w:tc>
        <w:tc>
          <w:tcPr>
            <w:tcW w:type="dxa" w:w="1440"/>
          </w:tcPr>
          <w:p>
            <w:r>
              <w:t>0.9541</w:t>
            </w:r>
          </w:p>
        </w:tc>
        <w:tc>
          <w:tcPr>
            <w:tcW w:type="dxa" w:w="1440"/>
          </w:tcPr>
          <w:p>
            <w:r>
              <w:t>0.8598</w:t>
            </w:r>
          </w:p>
        </w:tc>
        <w:tc>
          <w:tcPr>
            <w:tcW w:type="dxa" w:w="1440"/>
          </w:tcPr>
          <w:p>
            <w:r>
              <w:t>随机森林</w:t>
            </w:r>
          </w:p>
        </w:tc>
      </w:tr>
      <w:tr>
        <w:tc>
          <w:tcPr>
            <w:tcW w:type="dxa" w:w="1440"/>
          </w:tcPr>
          <w:p>
            <w:r>
              <w:t>白葡萄酒 wine</w:t>
            </w:r>
          </w:p>
        </w:tc>
        <w:tc>
          <w:tcPr>
            <w:tcW w:type="dxa" w:w="1440"/>
          </w:tcPr>
          <w:p>
            <w:r>
              <w:t>0.6219</w:t>
            </w:r>
          </w:p>
        </w:tc>
        <w:tc>
          <w:tcPr>
            <w:tcW w:type="dxa" w:w="1440"/>
          </w:tcPr>
          <w:p>
            <w:r>
              <w:t>0.6449</w:t>
            </w:r>
          </w:p>
        </w:tc>
        <w:tc>
          <w:tcPr>
            <w:tcW w:type="dxa" w:w="1440"/>
          </w:tcPr>
          <w:p>
            <w:r>
              <w:t>0.7336</w:t>
            </w:r>
          </w:p>
        </w:tc>
        <w:tc>
          <w:tcPr>
            <w:tcW w:type="dxa" w:w="1440"/>
          </w:tcPr>
          <w:p>
            <w:r>
              <w:t>0.5204</w:t>
            </w:r>
          </w:p>
        </w:tc>
        <w:tc>
          <w:tcPr>
            <w:tcW w:type="dxa" w:w="1440"/>
          </w:tcPr>
          <w:p>
            <w:r>
              <w:t>随机森林</w:t>
            </w:r>
          </w:p>
        </w:tc>
      </w:tr>
      <w:tr>
        <w:tc>
          <w:tcPr>
            <w:tcW w:type="dxa" w:w="1440"/>
          </w:tcPr>
          <w:p>
            <w:r>
              <w:t>贷款违约 Lending Club</w:t>
            </w:r>
          </w:p>
        </w:tc>
        <w:tc>
          <w:tcPr>
            <w:tcW w:type="dxa" w:w="1440"/>
          </w:tcPr>
          <w:p>
            <w:r>
              <w:t>0.5698</w:t>
            </w:r>
          </w:p>
        </w:tc>
        <w:tc>
          <w:tcPr>
            <w:tcW w:type="dxa" w:w="1440"/>
          </w:tcPr>
          <w:p>
            <w:r>
              <w:t>0.5380</w:t>
            </w:r>
          </w:p>
        </w:tc>
        <w:tc>
          <w:tcPr>
            <w:tcW w:type="dxa" w:w="1440"/>
          </w:tcPr>
          <w:p>
            <w:r>
              <w:t>0.5343</w:t>
            </w:r>
          </w:p>
        </w:tc>
        <w:tc>
          <w:tcPr>
            <w:tcW w:type="dxa" w:w="1440"/>
          </w:tcPr>
          <w:p>
            <w:r>
              <w:t>0.5843</w:t>
            </w:r>
          </w:p>
        </w:tc>
        <w:tc>
          <w:tcPr>
            <w:tcW w:type="dxa" w:w="1440"/>
          </w:tcPr>
          <w:p>
            <w:r>
              <w:t>逻辑回归</w:t>
            </w:r>
          </w:p>
        </w:tc>
      </w:tr>
      <w:tr>
        <w:tc>
          <w:tcPr>
            <w:tcW w:type="dxa" w:w="1440"/>
          </w:tcPr>
          <w:p>
            <w:r>
              <w:t>干豆 Dry Bean</w:t>
            </w:r>
          </w:p>
        </w:tc>
        <w:tc>
          <w:tcPr>
            <w:tcW w:type="dxa" w:w="1440"/>
          </w:tcPr>
          <w:p>
            <w:r>
              <w:t>0.9375</w:t>
            </w:r>
          </w:p>
        </w:tc>
        <w:tc>
          <w:tcPr>
            <w:tcW w:type="dxa" w:w="1440"/>
          </w:tcPr>
          <w:p>
            <w:r>
              <w:t>0.9104</w:t>
            </w:r>
          </w:p>
        </w:tc>
        <w:tc>
          <w:tcPr>
            <w:tcW w:type="dxa" w:w="1440"/>
          </w:tcPr>
          <w:p>
            <w:r>
              <w:t>0.9333</w:t>
            </w:r>
          </w:p>
        </w:tc>
        <w:tc>
          <w:tcPr>
            <w:tcW w:type="dxa" w:w="1440"/>
          </w:tcPr>
          <w:p>
            <w:r>
              <w:t>0.9300</w:t>
            </w:r>
          </w:p>
        </w:tc>
        <w:tc>
          <w:tcPr>
            <w:tcW w:type="dxa" w:w="1440"/>
          </w:tcPr>
          <w:p>
            <w:r>
              <w:t>SVM</w:t>
            </w:r>
          </w:p>
        </w:tc>
      </w:tr>
      <w:tr>
        <w:tc>
          <w:tcPr>
            <w:tcW w:type="dxa" w:w="1440"/>
          </w:tcPr>
          <w:p>
            <w:r>
              <w:t>臭氧 Ozone</w:t>
            </w:r>
          </w:p>
        </w:tc>
        <w:tc>
          <w:tcPr>
            <w:tcW w:type="dxa" w:w="1440"/>
          </w:tcPr>
          <w:p>
            <w:r>
              <w:t>0.5805</w:t>
            </w:r>
          </w:p>
        </w:tc>
        <w:tc>
          <w:tcPr>
            <w:tcW w:type="dxa" w:w="1440"/>
          </w:tcPr>
          <w:p>
            <w:r>
              <w:t>0.5806</w:t>
            </w:r>
          </w:p>
        </w:tc>
        <w:tc>
          <w:tcPr>
            <w:tcW w:type="dxa" w:w="1440"/>
          </w:tcPr>
          <w:p>
            <w:r>
              <w:t>0.4920</w:t>
            </w:r>
          </w:p>
        </w:tc>
        <w:tc>
          <w:tcPr>
            <w:tcW w:type="dxa" w:w="1440"/>
          </w:tcPr>
          <w:p>
            <w:r>
              <w:t>0.5516</w:t>
            </w:r>
          </w:p>
        </w:tc>
        <w:tc>
          <w:tcPr>
            <w:tcW w:type="dxa" w:w="1440"/>
          </w:tcPr>
          <w:p>
            <w:r>
              <w:t>决策树</w:t>
            </w:r>
          </w:p>
        </w:tc>
      </w:tr>
    </w:tbl>
    <w:p>
      <w:pPr>
        <w:jc w:val="center"/>
      </w:pPr>
      <w:r>
        <w:drawing>
          <wp:inline xmlns:a="http://schemas.openxmlformats.org/drawingml/2006/main" xmlns:pic="http://schemas.openxmlformats.org/drawingml/2006/picture">
            <wp:extent cx="5486400" cy="2693324"/>
            <wp:docPr id="10" name="Picture 10"/>
            <wp:cNvGraphicFramePr>
              <a:graphicFrameLocks noChangeAspect="1"/>
            </wp:cNvGraphicFramePr>
            <a:graphic>
              <a:graphicData uri="http://schemas.openxmlformats.org/drawingml/2006/picture">
                <pic:pic>
                  <pic:nvPicPr>
                    <pic:cNvPr id="0" name="cross_tab_f1.png"/>
                    <pic:cNvPicPr/>
                  </pic:nvPicPr>
                  <pic:blipFill>
                    <a:blip r:embed="rId18"/>
                    <a:stretch>
                      <a:fillRect/>
                    </a:stretch>
                  </pic:blipFill>
                  <pic:spPr>
                    <a:xfrm>
                      <a:off x="0" y="0"/>
                      <a:ext cx="5486400" cy="2693324"/>
                    </a:xfrm>
                    <a:prstGeom prst="rect"/>
                  </pic:spPr>
                </pic:pic>
              </a:graphicData>
            </a:graphic>
          </wp:inline>
        </w:drawing>
      </w:r>
    </w:p>
    <w:p>
      <w:pPr>
        <w:jc w:val="center"/>
      </w:pPr>
      <w:r>
        <w:rPr>
          <w:sz w:val="21"/>
        </w:rPr>
        <w:t>图 6-2 同一套模型在五个数据集上的宏平均 F1 对照</w:t>
      </w:r>
    </w:p>
    <w:p>
      <w:pPr>
        <w:ind w:firstLine="480"/>
      </w:pPr>
      <w:r>
        <w:t>在特征干净、类别较可分的数据集上（电离层、干豆），四种模型差距不大、整体都较高，说明此时数据可分性决定上限、模型选择影响有限；干豆虽有 7 个类别，各模型宏平均 F1 仍达 0.91 以上，说明类别数量并非主要难度来源，与项目二结论一致。随机森林在中低维、非线性、较平衡数据上通常是稳健默认（白葡萄酒上以 0.7336 显著领先）；逻辑回归在近线性可分或弱信号数据上反而更稳（贷款违约最优）。</w:t>
      </w:r>
    </w:p>
    <w:p>
      <w:pPr>
        <w:pStyle w:val="Heading2"/>
      </w:pPr>
      <w:r>
        <w:t>6.3 不平衡与“本质困难”：准确率的陷阱</w:t>
      </w:r>
    </w:p>
    <w:p>
      <w:pPr>
        <w:ind w:firstLine="480"/>
      </w:pPr>
      <w:r>
        <w:t>跨数据集对照还暴露了两类被准确率掩盖的问题，如图 6-3 所示。第一类是极端类别不平衡：臭氧阳性样本仅占 2.9%，不平衡比高达 33.7。此时“全部预测为多数类”即可得到 97.05% 的准确率；随机森林测试准确率 96.85%，看似很高，却反而低于这一多数类基线，其宏平均 F1 仅 0.492、平衡准确率仅 0.499（约等于随机猜测）。这说明在极端不平衡下准确率几乎没有意义，必须以宏平均 F1 或平衡准确率衡量。</w:t>
      </w:r>
    </w:p>
    <w:p>
      <w:pPr>
        <w:jc w:val="center"/>
      </w:pPr>
      <w:r>
        <w:drawing>
          <wp:inline xmlns:a="http://schemas.openxmlformats.org/drawingml/2006/main" xmlns:pic="http://schemas.openxmlformats.org/drawingml/2006/picture">
            <wp:extent cx="5486400" cy="2493818"/>
            <wp:docPr id="11" name="Picture 11"/>
            <wp:cNvGraphicFramePr>
              <a:graphicFrameLocks noChangeAspect="1"/>
            </wp:cNvGraphicFramePr>
            <a:graphic>
              <a:graphicData uri="http://schemas.openxmlformats.org/drawingml/2006/picture">
                <pic:pic>
                  <pic:nvPicPr>
                    <pic:cNvPr id="0" name="cross_tab_imbalance.png"/>
                    <pic:cNvPicPr/>
                  </pic:nvPicPr>
                  <pic:blipFill>
                    <a:blip r:embed="rId19"/>
                    <a:stretch>
                      <a:fillRect/>
                    </a:stretch>
                  </pic:blipFill>
                  <pic:spPr>
                    <a:xfrm>
                      <a:off x="0" y="0"/>
                      <a:ext cx="5486400" cy="2493818"/>
                    </a:xfrm>
                    <a:prstGeom prst="rect"/>
                  </pic:spPr>
                </pic:pic>
              </a:graphicData>
            </a:graphic>
          </wp:inline>
        </w:drawing>
      </w:r>
    </w:p>
    <w:p>
      <w:pPr>
        <w:jc w:val="center"/>
      </w:pPr>
      <w:r>
        <w:rPr>
          <w:sz w:val="21"/>
        </w:rPr>
        <w:t>图 6-3 不平衡的代价：随机森林的准确率、宏F1与平衡准确率对照</w:t>
      </w:r>
    </w:p>
    <w:p>
      <w:pPr>
        <w:jc w:val="center"/>
      </w:pPr>
      <w:r>
        <w:drawing>
          <wp:inline xmlns:a="http://schemas.openxmlformats.org/drawingml/2006/main" xmlns:pic="http://schemas.openxmlformats.org/drawingml/2006/picture">
            <wp:extent cx="5486400" cy="3087741"/>
            <wp:docPr id="12" name="Picture 12"/>
            <wp:cNvGraphicFramePr>
              <a:graphicFrameLocks noChangeAspect="1"/>
            </wp:cNvGraphicFramePr>
            <a:graphic>
              <a:graphicData uri="http://schemas.openxmlformats.org/drawingml/2006/picture">
                <pic:pic>
                  <pic:nvPicPr>
                    <pic:cNvPr id="0" name="fig_imbalance_trap.png"/>
                    <pic:cNvPicPr/>
                  </pic:nvPicPr>
                  <pic:blipFill>
                    <a:blip r:embed="rId20"/>
                    <a:stretch>
                      <a:fillRect/>
                    </a:stretch>
                  </pic:blipFill>
                  <pic:spPr>
                    <a:xfrm>
                      <a:off x="0" y="0"/>
                      <a:ext cx="5486400" cy="3087741"/>
                    </a:xfrm>
                    <a:prstGeom prst="rect"/>
                  </pic:spPr>
                </pic:pic>
              </a:graphicData>
            </a:graphic>
          </wp:inline>
        </w:drawing>
      </w:r>
    </w:p>
    <w:p>
      <w:pPr>
        <w:jc w:val="center"/>
      </w:pPr>
      <w:r>
        <w:rPr>
          <w:sz w:val="21"/>
        </w:rPr>
        <w:t>图 6-4 类别不平衡下的准确率陷阱：33:1 时全预测多数类即得 97% 准确率，但宏 F1 仅约 0.5</w:t>
      </w:r>
    </w:p>
    <w:p>
      <w:pPr>
        <w:ind w:firstLine="480"/>
      </w:pPr>
      <w:r>
        <w:t>第二类是数据本身的“本质困难”：贷款违约预测中四种模型的宏平均 F1 全部落在 0.53～0.58 的狭窄区间，无论选用何种模型都无法显著突破。这是因为可在申请时获得的特征对“是否违约”的判别信号本就较弱，性能瓶颈在数据而非模型——与项目二“当模型足够强时瓶颈转向数据”的结论相互呼应。</w:t>
      </w:r>
    </w:p>
    <w:p>
      <w:pPr>
        <w:pStyle w:val="Heading2"/>
      </w:pPr>
      <w:r>
        <w:t>6.4 针对欠佳数据集的改进尝试与归因</w:t>
      </w:r>
    </w:p>
    <w:p>
      <w:pPr>
        <w:ind w:firstLine="480"/>
      </w:pPr>
      <w:r>
        <w:t>对表现欠佳的贷款违约和臭氧，本文进一步尝试有针对性的处理，以判断其“效果不好”究竟源于处理不充分还是数据本质，结果如表 6-3 所示。</w:t>
      </w:r>
    </w:p>
    <w:p>
      <w:pPr>
        <w:jc w:val="center"/>
      </w:pPr>
      <w:r>
        <w:rPr>
          <w:sz w:val="21"/>
        </w:rPr>
        <w:t>表 6-3 两个欠佳数据集的改进尝试（测试集宏平均 F1）</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数据集</w:t>
            </w:r>
          </w:p>
        </w:tc>
        <w:tc>
          <w:tcPr>
            <w:tcW w:type="dxa" w:w="2160"/>
          </w:tcPr>
          <w:p>
            <w:r>
              <w:t>处理手段</w:t>
            </w:r>
          </w:p>
        </w:tc>
        <w:tc>
          <w:tcPr>
            <w:tcW w:type="dxa" w:w="2160"/>
          </w:tcPr>
          <w:p>
            <w:r>
              <w:t>最优宏F1</w:t>
            </w:r>
          </w:p>
        </w:tc>
        <w:tc>
          <w:tcPr>
            <w:tcW w:type="dxa" w:w="2160"/>
          </w:tcPr>
          <w:p>
            <w:r>
              <w:t>结果与归因</w:t>
            </w:r>
          </w:p>
        </w:tc>
      </w:tr>
      <w:tr>
        <w:tc>
          <w:tcPr>
            <w:tcW w:type="dxa" w:w="2160"/>
          </w:tcPr>
          <w:p>
            <w:r>
              <w:t>贷款违约</w:t>
            </w:r>
          </w:p>
        </w:tc>
        <w:tc>
          <w:tcPr>
            <w:tcW w:type="dxa" w:w="2160"/>
          </w:tcPr>
          <w:p>
            <w:r>
              <w:t>基线（12 维数值）</w:t>
            </w:r>
          </w:p>
        </w:tc>
        <w:tc>
          <w:tcPr>
            <w:tcW w:type="dxa" w:w="2160"/>
          </w:tcPr>
          <w:p>
            <w:r>
              <w:t>0.5843</w:t>
            </w:r>
          </w:p>
        </w:tc>
        <w:tc>
          <w:tcPr>
            <w:tcW w:type="dxa" w:w="2160"/>
          </w:tcPr>
          <w:p>
            <w:r>
              <w:t>—</w:t>
            </w:r>
          </w:p>
        </w:tc>
      </w:tr>
      <w:tr>
        <w:tc>
          <w:tcPr>
            <w:tcW w:type="dxa" w:w="2160"/>
          </w:tcPr>
          <w:p>
            <w:r>
              <w:t>贷款违约</w:t>
            </w:r>
          </w:p>
        </w:tc>
        <w:tc>
          <w:tcPr>
            <w:tcW w:type="dxa" w:w="2160"/>
          </w:tcPr>
          <w:p>
            <w:r>
              <w:t>补充申请时类别特征（37 维）</w:t>
            </w:r>
          </w:p>
        </w:tc>
        <w:tc>
          <w:tcPr>
            <w:tcW w:type="dxa" w:w="2160"/>
          </w:tcPr>
          <w:p>
            <w:r>
              <w:t>0.5902</w:t>
            </w:r>
          </w:p>
        </w:tc>
        <w:tc>
          <w:tcPr>
            <w:tcW w:type="dxa" w:w="2160"/>
          </w:tcPr>
          <w:p>
            <w:r>
              <w:t>几乎无提升：int_rate 已编码 grade，信息冗余</w:t>
            </w:r>
          </w:p>
        </w:tc>
      </w:tr>
      <w:tr>
        <w:tc>
          <w:tcPr>
            <w:tcW w:type="dxa" w:w="2160"/>
          </w:tcPr>
          <w:p>
            <w:r>
              <w:t>贷款违约</w:t>
            </w:r>
          </w:p>
        </w:tc>
        <w:tc>
          <w:tcPr>
            <w:tcW w:type="dxa" w:w="2160"/>
          </w:tcPr>
          <w:p>
            <w:r>
              <w:t>梯度提升 GBDT（37 维）</w:t>
            </w:r>
          </w:p>
        </w:tc>
        <w:tc>
          <w:tcPr>
            <w:tcW w:type="dxa" w:w="2160"/>
          </w:tcPr>
          <w:p>
            <w:r>
              <w:t>0.5739</w:t>
            </w:r>
          </w:p>
        </w:tc>
        <w:tc>
          <w:tcPr>
            <w:tcW w:type="dxa" w:w="2160"/>
          </w:tcPr>
          <w:p>
            <w:r>
              <w:t>更强模型亦无突破</w:t>
            </w:r>
          </w:p>
        </w:tc>
      </w:tr>
      <w:tr>
        <w:tc>
          <w:tcPr>
            <w:tcW w:type="dxa" w:w="2160"/>
          </w:tcPr>
          <w:p>
            <w:r>
              <w:t>臭氧</w:t>
            </w:r>
          </w:p>
        </w:tc>
        <w:tc>
          <w:tcPr>
            <w:tcW w:type="dxa" w:w="2160"/>
          </w:tcPr>
          <w:p>
            <w:r>
              <w:t>基线（class_weight 平衡）</w:t>
            </w:r>
          </w:p>
        </w:tc>
        <w:tc>
          <w:tcPr>
            <w:tcW w:type="dxa" w:w="2160"/>
          </w:tcPr>
          <w:p>
            <w:r>
              <w:t>0.5806</w:t>
            </w:r>
          </w:p>
        </w:tc>
        <w:tc>
          <w:tcPr>
            <w:tcW w:type="dxa" w:w="2160"/>
          </w:tcPr>
          <w:p>
            <w:r>
              <w:t>—</w:t>
            </w:r>
          </w:p>
        </w:tc>
      </w:tr>
      <w:tr>
        <w:tc>
          <w:tcPr>
            <w:tcW w:type="dxa" w:w="2160"/>
          </w:tcPr>
          <w:p>
            <w:r>
              <w:t>臭氧</w:t>
            </w:r>
          </w:p>
        </w:tc>
        <w:tc>
          <w:tcPr>
            <w:tcW w:type="dxa" w:w="2160"/>
          </w:tcPr>
          <w:p>
            <w:r>
              <w:t>SMOTE 过采样</w:t>
            </w:r>
          </w:p>
        </w:tc>
        <w:tc>
          <w:tcPr>
            <w:tcW w:type="dxa" w:w="2160"/>
          </w:tcPr>
          <w:p>
            <w:r>
              <w:t>0.5587</w:t>
            </w:r>
          </w:p>
        </w:tc>
        <w:tc>
          <w:tcPr>
            <w:tcW w:type="dxa" w:w="2160"/>
          </w:tcPr>
          <w:p>
            <w:r>
              <w:t>不升反降：高维且少数类过少，插值成噪声</w:t>
            </w:r>
          </w:p>
        </w:tc>
      </w:tr>
      <w:tr>
        <w:tc>
          <w:tcPr>
            <w:tcW w:type="dxa" w:w="2160"/>
          </w:tcPr>
          <w:p>
            <w:r>
              <w:t>臭氧</w:t>
            </w:r>
          </w:p>
        </w:tc>
        <w:tc>
          <w:tcPr>
            <w:tcW w:type="dxa" w:w="2160"/>
          </w:tcPr>
          <w:p>
            <w:r>
              <w:t>梯度提升 GBDT</w:t>
            </w:r>
          </w:p>
        </w:tc>
        <w:tc>
          <w:tcPr>
            <w:tcW w:type="dxa" w:w="2160"/>
          </w:tcPr>
          <w:p>
            <w:r>
              <w:t>0.5778</w:t>
            </w:r>
          </w:p>
        </w:tc>
        <w:tc>
          <w:tcPr>
            <w:tcW w:type="dxa" w:w="2160"/>
          </w:tcPr>
          <w:p>
            <w:r>
              <w:t>更强模型亦无突破</w:t>
            </w:r>
          </w:p>
        </w:tc>
      </w:tr>
    </w:tbl>
    <w:p>
      <w:pPr>
        <w:jc w:val="center"/>
      </w:pPr>
      <w:r>
        <w:drawing>
          <wp:inline xmlns:a="http://schemas.openxmlformats.org/drawingml/2006/main" xmlns:pic="http://schemas.openxmlformats.org/drawingml/2006/picture">
            <wp:extent cx="4754880" cy="2734056"/>
            <wp:docPr id="13" name="Picture 13"/>
            <wp:cNvGraphicFramePr>
              <a:graphicFrameLocks noChangeAspect="1"/>
            </wp:cNvGraphicFramePr>
            <a:graphic>
              <a:graphicData uri="http://schemas.openxmlformats.org/drawingml/2006/picture">
                <pic:pic>
                  <pic:nvPicPr>
                    <pic:cNvPr id="0" name="improve_lendingclub.png"/>
                    <pic:cNvPicPr/>
                  </pic:nvPicPr>
                  <pic:blipFill>
                    <a:blip r:embed="rId21"/>
                    <a:stretch>
                      <a:fillRect/>
                    </a:stretch>
                  </pic:blipFill>
                  <pic:spPr>
                    <a:xfrm>
                      <a:off x="0" y="0"/>
                      <a:ext cx="4754880" cy="2734056"/>
                    </a:xfrm>
                    <a:prstGeom prst="rect"/>
                  </pic:spPr>
                </pic:pic>
              </a:graphicData>
            </a:graphic>
          </wp:inline>
        </w:drawing>
      </w:r>
    </w:p>
    <w:p>
      <w:pPr>
        <w:jc w:val="center"/>
      </w:pPr>
      <w:r>
        <w:rPr>
          <w:sz w:val="21"/>
        </w:rPr>
        <w:t>图 6-5 贷款违约：补充类别特征前后的宏平均 F1（几乎持平）</w:t>
      </w:r>
    </w:p>
    <w:p>
      <w:pPr>
        <w:jc w:val="center"/>
      </w:pPr>
      <w:r>
        <w:drawing>
          <wp:inline xmlns:a="http://schemas.openxmlformats.org/drawingml/2006/main" xmlns:pic="http://schemas.openxmlformats.org/drawingml/2006/picture">
            <wp:extent cx="4937760" cy="2672200"/>
            <wp:docPr id="14" name="Picture 14"/>
            <wp:cNvGraphicFramePr>
              <a:graphicFrameLocks noChangeAspect="1"/>
            </wp:cNvGraphicFramePr>
            <a:graphic>
              <a:graphicData uri="http://schemas.openxmlformats.org/drawingml/2006/picture">
                <pic:pic>
                  <pic:nvPicPr>
                    <pic:cNvPr id="0" name="improve_ozone.png"/>
                    <pic:cNvPicPr/>
                  </pic:nvPicPr>
                  <pic:blipFill>
                    <a:blip r:embed="rId22"/>
                    <a:stretch>
                      <a:fillRect/>
                    </a:stretch>
                  </pic:blipFill>
                  <pic:spPr>
                    <a:xfrm>
                      <a:off x="0" y="0"/>
                      <a:ext cx="4937760" cy="2672200"/>
                    </a:xfrm>
                    <a:prstGeom prst="rect"/>
                  </pic:spPr>
                </pic:pic>
              </a:graphicData>
            </a:graphic>
          </wp:inline>
        </w:drawing>
      </w:r>
    </w:p>
    <w:p>
      <w:pPr>
        <w:jc w:val="center"/>
      </w:pPr>
      <w:r>
        <w:rPr>
          <w:sz w:val="21"/>
        </w:rPr>
        <w:t>图 6-6 臭氧：SMOTE 过采样与类别权重对照（SMOTE 未带来改进）</w:t>
      </w:r>
    </w:p>
    <w:p>
      <w:pPr>
        <w:ind w:firstLine="480"/>
      </w:pPr>
      <w:r>
        <w:t>三种手段给出一致结论。其一，为贷款违约补充 grade、期限、工龄等类别特征后宏平均 F1 几乎不变，因为基线已含的利率 int_rate 实际上已编码贷款等级（经核验 A 至 G 级平均利率由 7.3% 单调升至 30.8%，高度共线），而最强的FICO 信用分在本数据集版本中并不提供。其二，对极端不平衡的臭氧采用 SMOTE 后宏平均 F1 反而下降，因为特征高达 72 维而少数类训练样本仅数十个，SMOTE 在高维空间靠极少邻居插值，合成的多为噪声。其三，换用更强的梯度提升模型后，两个数据集宏平均 F1 仍停在约 0.58，未能突破四个基础模型的上限。</w:t>
      </w:r>
    </w:p>
    <w:p>
      <w:pPr>
        <w:ind w:firstLine="480"/>
      </w:pPr>
      <w:r>
        <w:t>由此确认：这两个数据集的“效果不好”主要源于数据本质（弱判别信号、极端不平衡叠加高维小样本）而非处理不充分——补特征、重采样、换更强模型三类手段均无法突破其上限。真正起作用的反而是“模型与数据的匹配”：在臭氧上避开会崩溃的随机森林、改用决策树或支持向量机并配合类别权重已是较优选择。这一“诊断—多手段尝试—归因”过程，与项目二中“激进数据增强反而有害”的结论相互呼应，都说明改进必须先判断瓶颈来源、再对症下药。</w:t>
      </w:r>
    </w:p>
    <w:p>
      <w:pPr>
        <w:pStyle w:val="Heading2"/>
      </w:pPr>
      <w:r>
        <w:t>6.5 本章小结</w:t>
      </w:r>
    </w:p>
    <w:p>
      <w:pPr>
        <w:ind w:firstLine="480"/>
      </w:pPr>
      <w:r>
        <w:t>本章通过五个数据集、四种模型的同条件对照得到四点结论。第一，不存在放之四海而皆准的最优模型，最优选择随数据集而变。第二，数据可分性与特征质量决定性能上限，类别数量并非主要难度来源。第三，极端类别不平衡会使准确率严重失真，必须改用宏平均 F1 或平衡准确率评价。第四，当数据信号本身较弱时性能瓶颈在数据而非模型——经补特征、重采样、更换更强模型三类手段验证，贷款违约与臭氧的性能上限均无法突破。综合而言，传统机器学习的性能由“数据特点”与“模型—数据匹配”共同决定，改进前须先诊断瓶颈来源。</w:t>
      </w:r>
    </w:p>
    <w:p>
      <w:pPr>
        <w:pStyle w:val="Heading1"/>
      </w:pPr>
      <w:r>
        <w:t>第7章 实验复现说明</w:t>
      </w:r>
    </w:p>
    <w:p>
      <w:pPr>
        <w:ind w:firstLine="480"/>
      </w:pPr>
      <w:r>
        <w:t>在项目根目录执行 python task1_ml_wine/wine_quality.py 即可复现白葡萄酒主实验；执行 python task1_ml_wine/cross_dataset_tabular.py 复现五数据集对照，python task1_ml_wine/cross_dataset_improve.py 复现改进尝试。脚本会完成数据加载、标签构造、模型训练、网格搜索、评估与图表输出，结果保存至 task1_ml_wine/outputs/。五个数据集中白葡萄酒会自动下载，其余四个需预先放入 task1_ml_wine/data/。</w:t>
      </w:r>
    </w:p>
    <w:p>
      <w:pPr>
        <w:pStyle w:val="Heading1"/>
      </w:pPr>
      <w:r>
        <w:t>第8章 结论与展望</w:t>
      </w:r>
    </w:p>
    <w:p>
      <w:pPr>
        <w:ind w:firstLine="480"/>
      </w:pPr>
      <w:r>
        <w:t>本文完成了白葡萄酒质量三分类任务的传统机器学习建模与误差分析。随机森林在四种模型中表现较优，测试集准确率为 0.7347，宏平均 F1 为 0.7336，并在进阶指标上保持较好表现。模型主要错误集中在相邻质量等级之间，说明质量等级边界具有一定模糊性。</w:t>
      </w:r>
    </w:p>
    <w:p>
      <w:pPr>
        <w:ind w:firstLine="480"/>
      </w:pPr>
      <w:r>
        <w:t>从方法层面看，标准化、分层划分和交叉验证是保证评价可靠性的基础；面对类别分布不均衡和标签有序性，仅报告准确率会遗漏重要误差信息；随机森林等集成模型在中小规模表格数据上具有较好的稳定性和解释辅助能力。后续可加入 XGBoost、LightGBM、SMOTE、多随机种子验证以及更系统的有序分类模型。</w:t>
      </w:r>
    </w:p>
    <w:p>
      <w:pPr>
        <w:pStyle w:val="Heading1"/>
      </w:pPr>
      <w:r>
        <w:t>参考文献</w:t>
      </w:r>
    </w:p>
    <w:p>
      <w:pPr>
        <w:ind w:left="480" w:hanging="480"/>
      </w:pPr>
      <w:r>
        <w:t>周志华. 机器学习[M]. 北京: 清华大学出版社, 2016.</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Chen T, Guestrin C. XGBoost: a scalable tree boosting system[C]//ACM SIGKDD International Conference on Knowledge Discovery and Data Mining. 2016: 785-794.</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H, Garcia E A. Learning from imbalanced data[J]. IEEE Transactions on Knowledge and Data Engineering, 2009, 21(9): 1263-1284.</w:t>
      </w:r>
    </w:p>
    <w:p>
      <w:pPr>
        <w:ind w:left="480" w:hanging="480"/>
      </w:pPr>
      <w:r>
        <w:t>Ke G, Meng Q, Finley T, et al. LightGBM: a highly efficient gradient boosting decision tree[C]//Advances in Neural Information Processing Systems. 2017: 3146-3154.</w:t>
      </w:r>
    </w:p>
    <w:p>
      <w:pPr>
        <w:ind w:left="480" w:hanging="480"/>
      </w:pPr>
      <w:r>
        <w:t>McCullagh P. Regression models for ordinal data[J]. Journal of the Royal Statistical Society: Series B, 1980, 42(2): 109-142.</w:t>
      </w:r>
    </w:p>
    <w:p>
      <w:pPr>
        <w:ind w:left="480" w:hanging="480"/>
      </w:pPr>
      <w:r>
        <w:t>Pedregosa F, Varoquaux G, Gramfort A, et al. Scikit-learn: machine learning in Python[J]. Journal of Machine Learning Research, 2011, 12: 2825-2830.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