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 (1995)正式提出，凭借坚实的统计学习理论基础和优秀的小样本泛化能力，长期是分类任务的重要工具；以随机森林(Breiman,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 (2012)提出的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模型对照实验</w:t>
      </w:r>
    </w:p>
    <w:p>
      <w:pPr>
        <w:ind w:firstLine="480"/>
      </w:pPr>
      <w:r>
        <w:t>为更客观地评估手写 AlexNet 的有效性、并探究其各设计组件的作用，本文在相同训练协议（SGD、批大小 128、相同学习率调度、15 轮）下设计了一组对照实验，结果见表 4-3 与图 4-4。其中 SimpleCNN 为仅含 3 个卷积块的轻量网络（约 0.39M 参数，直接在 28×28 原图上训练，重复 3 个随机种子取均值±标准差）；AlexNet 则分别测试了基线（含 LRN）、去掉 LRN 的消融版本，以及加入数据增强（随机水平翻转+小角度旋转）的版本。</w:t>
      </w:r>
    </w:p>
    <w:p>
      <w:pPr>
        <w:jc w:val="center"/>
      </w:pPr>
      <w:r>
        <w:rPr>
          <w:sz w:val="21"/>
        </w:rPr>
        <w:t>表 4-3 Fashion-MNIST 上的模型对照实验结果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AlexNet（基线：LRN，无增强）</w:t>
            </w:r>
          </w:p>
        </w:tc>
        <w:tc>
          <w:tcPr>
            <w:tcW w:type="dxa" w:w="2160"/>
          </w:tcPr>
          <w:p>
            <w:r>
              <w:t>58.3M</w:t>
            </w:r>
          </w:p>
        </w:tc>
        <w:tc>
          <w:tcPr>
            <w:tcW w:type="dxa" w:w="2160"/>
          </w:tcPr>
          <w:p>
            <w:r>
              <w:t>0.9183</w:t>
            </w:r>
          </w:p>
        </w:tc>
        <w:tc>
          <w:tcPr>
            <w:tcW w:type="dxa" w:w="2160"/>
          </w:tcPr>
          <w:p>
            <w:r>
              <w:t>0.9179</w:t>
            </w:r>
          </w:p>
        </w:tc>
      </w:tr>
      <w:tr>
        <w:tc>
          <w:tcPr>
            <w:tcW w:type="dxa" w:w="2160"/>
          </w:tcPr>
          <w:p>
            <w:r>
              <w:t>AlexNet（消融：去掉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（3）简单数据增强在本设置下未带来增益。加入随机翻转与旋转后准确率反降至 0.9106。原因可能是：在仅 15 轮训练预算下，增强增加了优化难度而模型尚未充分收敛；且翻转/旋转会破坏某些类别（如鞋、包）的固有方向性。这提示数据增强需与更长训练轮数、更有针对性的增强策略配合，不能盲目使用。</w:t>
      </w:r>
    </w:p>
    <w:p>
      <w:pPr>
        <w:pStyle w:val="Heading2"/>
      </w:pPr>
      <w:r>
        <w:t>4.7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实验复现说明</w:t>
      </w:r>
    </w:p>
    <w:p>
      <w:pPr>
        <w:pStyle w:val="Heading2"/>
      </w:pPr>
      <w:r>
        <w:t>5.1 代码文件说明</w:t>
      </w:r>
    </w:p>
    <w:p>
      <w:pPr>
        <w:ind w:firstLine="480"/>
      </w:pPr>
      <w:r>
        <w:t>项目源代码按任务组织，各文件职责如表 5-1 所示。</w:t>
      </w:r>
    </w:p>
    <w:p>
      <w:pPr>
        <w:jc w:val="center"/>
      </w:pPr>
      <w:r>
        <w:rPr>
          <w:sz w:val="21"/>
        </w:rPr>
        <w:t>表 5-1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5.2 运行步骤与关键设置</w:t>
      </w:r>
    </w:p>
    <w:p>
      <w:pPr>
        <w:ind w:firstLine="480"/>
      </w:pPr>
      <w:r>
        <w:t>按以下顺序运行即可复现全部结果（解释器为 conda 环境 pytorch312）：</w:t>
      </w:r>
    </w:p>
    <w:p>
      <w:r>
        <w:t>（1）任务一：python task1_ml_wine/wine_quality.py；</w:t>
      </w:r>
    </w:p>
    <w:p>
      <w:r>
        <w:t>（2）任务二训练：python task2_alexnet_fmnist/train.py --epochs 15 --batch-size 128 --lr 0.01；</w:t>
      </w:r>
    </w:p>
    <w:p>
      <w:r>
        <w:t>（3）任务二评估：python task2_alexnet_fmnist/evaluate.py；</w:t>
      </w:r>
    </w:p>
    <w:p>
      <w:r>
        <w:t>（4）对照实验：分别运行 experiments.py（不同 --model/--seed/--no-lrn/--augment 组合）后，执行 python aggregate_experiments.py 汇总。</w:t>
      </w:r>
    </w:p>
    <w:p>
      <w:pPr>
        <w:ind w:firstLine="480"/>
      </w:pPr>
      <w:r>
        <w:t>关键设置：随机种子固定（任务一 train_test_split 与各模型 random_state=42；任务二 PyTorch 种子 0~2）；任务一采用 80/20 分层划分与 5 折交叉验证；任务二使用 SGD（动量 0.9、权重衰减 5e-4）、初始学习率 0.01、StepLR(步长 10、衰减 0.1)、批大小 128、训练 15 轮。软硬件环境见表 2-1，全部图表与指标自动输出到各任务的 outputs/ 目录。</w:t>
      </w:r>
    </w:p>
    <w:p>
      <w:r>
        <w:br w:type="page"/>
      </w:r>
    </w:p>
    <w:p>
      <w:pPr>
        <w:pStyle w:val="Heading1"/>
      </w:pPr>
      <w:r>
        <w:t>第6章 结论与实验总结</w:t>
      </w:r>
    </w:p>
    <w:p>
      <w:pPr>
        <w:pStyle w:val="Heading2"/>
      </w:pPr>
      <w:r>
        <w:t>6.1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6.2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6.3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