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人工智能综合实训 II</w:t>
      </w:r>
    </w:p>
    <w:p>
      <w:pPr>
        <w:jc w:val="center"/>
      </w:pPr>
      <w:r>
        <w:rPr>
          <w:b/>
          <w:sz w:val="44"/>
        </w:rPr>
        <w:t>实 训 报 告</w:t>
      </w:r>
    </w:p>
    <w:p/>
    <w:p/>
    <w:p/>
    <w:p>
      <w:pPr>
        <w:jc w:val="center"/>
      </w:pPr>
      <w:r>
        <w:rPr>
          <w:sz w:val="28"/>
        </w:rPr>
        <w:t>题　　目：机器学习与手写 AlexNet 图像分类</w:t>
      </w:r>
    </w:p>
    <w:p>
      <w:pPr>
        <w:jc w:val="center"/>
      </w:pPr>
      <w:r>
        <w:rPr>
          <w:sz w:val="28"/>
        </w:rPr>
        <w:t>学　　院：人工智能与低空技术学院</w:t>
      </w:r>
    </w:p>
    <w:p>
      <w:pPr>
        <w:jc w:val="center"/>
      </w:pPr>
      <w:r>
        <w:rPr>
          <w:sz w:val="28"/>
        </w:rPr>
        <w:t>专　　业：人工智能</w:t>
      </w:r>
    </w:p>
    <w:p>
      <w:pPr>
        <w:jc w:val="center"/>
      </w:pPr>
      <w:r>
        <w:rPr>
          <w:sz w:val="28"/>
        </w:rPr>
        <w:t>小组成员：雷正、蔡铭飞、冼嘉谦</w:t>
      </w:r>
    </w:p>
    <w:p>
      <w:pPr>
        <w:jc w:val="center"/>
      </w:pPr>
      <w:r>
        <w:rPr>
          <w:sz w:val="28"/>
        </w:rPr>
        <w:t>指导教师：赵静</w:t>
      </w:r>
    </w:p>
    <w:p>
      <w:pPr>
        <w:jc w:val="center"/>
      </w:pPr>
      <w:r>
        <w:rPr>
          <w:sz w:val="28"/>
        </w:rPr>
        <w:t>提交日期：2026 年 6 月</w:t>
      </w:r>
    </w:p>
    <w:p>
      <w:r>
        <w:br w:type="page"/>
      </w:r>
    </w:p>
    <w:p>
      <w:pPr>
        <w:jc w:val="center"/>
      </w:pPr>
      <w:r>
        <w:rPr>
          <w:b/>
          <w:sz w:val="28"/>
        </w:rPr>
        <w:t>华南农业大学本科毕业论文（设计）原创性声明</w:t>
      </w:r>
    </w:p>
    <w:p>
      <w:pPr>
        <w:ind w:firstLine="480"/>
      </w:pPr>
      <w: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
    <w:p>
      <w:pPr>
        <w:jc w:val="right"/>
      </w:pPr>
      <w:r>
        <w:t>作者签名：＿＿＿＿＿＿　　日期：　　年　　月　　日</w:t>
      </w:r>
    </w:p>
    <w:p/>
    <w:p/>
    <w:p>
      <w:pPr>
        <w:jc w:val="center"/>
      </w:pPr>
      <w:r>
        <w:rPr>
          <w:b/>
          <w:sz w:val="28"/>
        </w:rPr>
        <w:t>华南农业大学本科毕业论文（设计）使用授权声明</w:t>
      </w:r>
    </w:p>
    <w:p>
      <w:pPr>
        <w:ind w:firstLine="480"/>
      </w:pPr>
      <w:r>
        <w:t>本人完全了解学校有关保留、使用毕业论文（设计）的规定，同意学校保留并向国家有关部门或机构送交毕业论文（设计）的复印件和电子版，允许毕业论文（设计）被查阅和借阅。学校可以将本毕业论文（设计）的全部或部分内容编入有关数据库进行检索，可以采用影印、缩印或扫描等复制手段保存和汇编毕业论文（设计）。</w:t>
      </w:r>
    </w:p>
    <w:p/>
    <w:p/>
    <w:p>
      <w:pPr>
        <w:jc w:val="right"/>
      </w:pPr>
      <w:r>
        <w:t>作者签名：＿＿＿＿＿　指导教师签名：＿＿＿＿＿</w:t>
      </w:r>
    </w:p>
    <w:p>
      <w:pPr>
        <w:jc w:val="right"/>
      </w:pPr>
      <w:r>
        <w:t>日期：　　年　　月　　日　　日期：　　年　　月　　日</w:t>
      </w:r>
    </w:p>
    <w:p>
      <w:r>
        <w:br w:type="page"/>
      </w:r>
    </w:p>
    <w:p>
      <w:pPr>
        <w:jc w:val="center"/>
      </w:pPr>
      <w:r>
        <w:rPr>
          <w:b/>
          <w:sz w:val="32"/>
        </w:rPr>
        <w:t>摘　要</w:t>
      </w:r>
    </w:p>
    <w:p>
      <w:pPr>
        <w:ind w:firstLine="480"/>
      </w:pPr>
      <w:r>
        <w:t>随着人工智能技术的迅速发展，机器学习已成为数据分析与智能决策的核心工具。本实训围绕“机器学习全流程实践”展开，完成两个相互独立又层层递进的项目，系统覆盖结构化数据建模与图像深度学习两大方向。项目一面向结构化数据，在 UCI 白葡萄酒质量数据集上构建多分类模型，系统对比了支持向量机、决策树、随机森林与逻辑回归四种算法，采用网格搜索与五折交叉验证进行超参数寻优，并使用准确率、精确率、召回率、宏平均 F1 等指标评估。实验表明随机森林取得最佳性能，测试集准确率 73.5%、宏平均 F1 为 0.734，显著优于线性模型。项目二面向图像数据，依据经典论文逐层手工实现卷积神经网络 AlexNet（不调用任何预置模型），在 Fashion-MNIST 数据集上完成十分类任务，经 15 轮训练后测试集准确率达到 91.55%、宏平均 F1 为 0.915。两个项目完整覆盖了数据加载、可视化、预处理、模型建立、模型评估与结论分析的全流程，验证了集成学习在结构化数据上的优势以及深度卷积网络在图像识别上的有效性，并提出了若干改进方向。</w:t>
      </w:r>
    </w:p>
    <w:p>
      <w:pPr>
        <w:ind w:firstLine="480"/>
      </w:pPr>
      <w:r>
        <w:t>关键词：机器学习；支持向量机；随机森林；卷积神经网络；AlexNet；图像分类</w:t>
      </w:r>
    </w:p>
    <w:p>
      <w:r>
        <w:br w:type="page"/>
      </w:r>
    </w:p>
    <w:p>
      <w:pPr>
        <w:pStyle w:val="Heading1"/>
      </w:pPr>
      <w:r>
        <w:t>第1章 引言</w:t>
      </w:r>
    </w:p>
    <w:p>
      <w:pPr>
        <w:pStyle w:val="Heading2"/>
      </w:pPr>
      <w:r>
        <w:t>1.1 研究背景与意义</w:t>
      </w:r>
    </w:p>
    <w:p>
      <w:pPr>
        <w:ind w:firstLine="480"/>
      </w:pPr>
      <w:r>
        <w:t>人工智能是研究、开发用于模拟和扩展人类智能的理论、方法与技术的科学，而机器学习作为其最重要的分支，致力于让计算机系统通过经验（数据）自动改善性能，而无需被显式编程。近年来，得益于数据规模的爆炸式增长与计算硬件（尤其是 GPU）的进步，机器学习在图像识别、自然语言处理、推荐系统、医疗诊断等众多领域取得了突破性进展，深刻改变了人们的生产与生活方式。</w:t>
      </w:r>
    </w:p>
    <w:p>
      <w:pPr>
        <w:ind w:firstLine="480"/>
      </w:pPr>
      <w:r>
        <w:t>按照数据形态的不同，机器学习任务大致可分为两类：一类是面向结构化（表格）数据的任务，典型如分类与回归，通常采用支持向量机、决策树、集成学习等传统算法；另一类是面向图像、语音、文本等非结构化数据的任务，主要依赖深度神经网络。本实训分别选取这两类任务的代表性问题——红酒质量分级与服饰图像分类，通过完整的工程实践，加深对机器学习核心思想、典型算法与建模流程的理解，培养从数据到模型、再到结论的综合实践能力，具有重要的学习与应用价值。</w:t>
      </w:r>
    </w:p>
    <w:p>
      <w:pPr>
        <w:pStyle w:val="Heading2"/>
      </w:pPr>
      <w:r>
        <w:t>1.2 国内外研究现状</w:t>
      </w:r>
    </w:p>
    <w:p>
      <w:pPr>
        <w:ind w:firstLine="480"/>
      </w:pPr>
      <w:r>
        <w:t>在传统机器学习方面，支持向量机由 Cortes 和 Vapnik (1995)正式提出，凭借坚实的统计学习理论基础和优秀的小样本泛化能力，长期是分类任务的重要工具；以随机森林(Breiman, 2001)、梯度提升树（GBDT、XGBoost、LightGBM）为代表的集成学习方法，通过组合多个弱学习器进一步提升了精度与鲁棒性，至今仍是结构化数据竞赛中的主流方案。在深度学习方面，Krizhevsky 等 (2012)提出的 AlexNet 在 ImageNet 竞赛中以显著优势夺冠，掀起了深度卷积网络的研究热潮；此后 VGG(Simonyan 和 Zisserman, 2015)、GoogLeNet、ResNet(He 等, 2016)等更深、更高效的网络结构相继涌现，不断刷新图像识别的精度上限。本实训以经典且最具代表性的 AlexNet 为研究对象，逐层复现其结构，旨在透彻理解卷积神经网络的工作机制。</w:t>
      </w:r>
    </w:p>
    <w:p>
      <w:pPr>
        <w:pStyle w:val="Heading2"/>
      </w:pPr>
      <w:r>
        <w:t>1.3 项目研究思路</w:t>
      </w:r>
    </w:p>
    <w:p>
      <w:pPr>
        <w:ind w:firstLine="480"/>
      </w:pPr>
      <w:r>
        <w:t>本实训采用统一的机器学习方法论，对两个项目均遵循以下六个环节循序推进，整体流程见图 1-1：</w:t>
      </w:r>
    </w:p>
    <w:p>
      <w:r>
        <w:t>（1）数据加载：从公开数据源获取数据集，读入内存并核对规模、字段与完整性；</w:t>
      </w:r>
    </w:p>
    <w:p>
      <w:r>
        <w:t>（2）数据查看：通过描述性统计与可视化了解数据分布、相关性与潜在问题；</w:t>
      </w:r>
    </w:p>
    <w:p>
      <w:r>
        <w:t>（3）数据预处理：包括标签构造、特征标准化、数据集划分以及类别不平衡处理；</w:t>
      </w:r>
    </w:p>
    <w:p>
      <w:r>
        <w:t>（4）模型建立：根据任务特点选择合适的算法或网络结构，并通过调参确定最优配置；</w:t>
      </w:r>
    </w:p>
    <w:p>
      <w:r>
        <w:t>（5）模型评估：在独立测试集上用多种指标量化性能，并借助混淆矩阵等工具深入分析；</w:t>
      </w:r>
    </w:p>
    <w:p>
      <w:r>
        <w:t>（6）结论分析：归纳实验结果，对比模型优劣，总结经验并提出改进方案。</w:t>
      </w:r>
    </w:p>
    <w:p>
      <w:pPr>
        <w:jc w:val="center"/>
      </w:pPr>
      <w:r>
        <w:drawing>
          <wp:inline xmlns:a="http://schemas.openxmlformats.org/drawingml/2006/main" xmlns:pic="http://schemas.openxmlformats.org/drawingml/2006/picture">
            <wp:extent cx="4389120" cy="5649721"/>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4389120" cy="5649721"/>
                    </a:xfrm>
                    <a:prstGeom prst="rect"/>
                  </pic:spPr>
                </pic:pic>
              </a:graphicData>
            </a:graphic>
          </wp:inline>
        </w:drawing>
      </w:r>
    </w:p>
    <w:p>
      <w:pPr>
        <w:jc w:val="center"/>
      </w:pPr>
      <w:r>
        <w:rPr>
          <w:sz w:val="21"/>
        </w:rPr>
        <w:t>图 1-1 机器学习项目统一研究流程</w:t>
      </w:r>
    </w:p>
    <w:p>
      <w:pPr>
        <w:pStyle w:val="Heading2"/>
      </w:pPr>
      <w:r>
        <w:t>1.4 小组成员分工</w:t>
      </w:r>
    </w:p>
    <w:p>
      <w:pPr>
        <w:ind w:firstLine="480"/>
      </w:pPr>
      <w:r>
        <w:t>本项目由小组协作完成，成员分工如表 1-1 所示。</w:t>
      </w:r>
    </w:p>
    <w:p>
      <w:pPr>
        <w:jc w:val="center"/>
      </w:pPr>
      <w:r>
        <w:rPr>
          <w:sz w:val="21"/>
        </w:rPr>
        <w:t>表 1-1 小组成员分工表</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学号</w:t>
            </w:r>
          </w:p>
        </w:tc>
        <w:tc>
          <w:tcPr>
            <w:tcW w:type="dxa" w:w="2880"/>
          </w:tcPr>
          <w:p>
            <w:r>
              <w:t>姓名</w:t>
            </w:r>
          </w:p>
        </w:tc>
        <w:tc>
          <w:tcPr>
            <w:tcW w:type="dxa" w:w="2880"/>
          </w:tcPr>
          <w:p>
            <w:r>
              <w:t>主要分工</w:t>
            </w:r>
          </w:p>
        </w:tc>
      </w:tr>
      <w:tr>
        <w:tc>
          <w:tcPr>
            <w:tcW w:type="dxa" w:w="2880"/>
          </w:tcPr>
          <w:p>
            <w:r>
              <w:t>202434610309</w:t>
            </w:r>
          </w:p>
        </w:tc>
        <w:tc>
          <w:tcPr>
            <w:tcW w:type="dxa" w:w="2880"/>
          </w:tcPr>
          <w:p>
            <w:r>
              <w:t>雷正</w:t>
            </w:r>
          </w:p>
        </w:tc>
        <w:tc>
          <w:tcPr>
            <w:tcW w:type="dxa" w:w="2880"/>
          </w:tcPr>
          <w:p>
            <w:r>
              <w:t>项目一数据预处理与机器学习建模、调参与评估</w:t>
            </w:r>
          </w:p>
        </w:tc>
      </w:tr>
      <w:tr>
        <w:tc>
          <w:tcPr>
            <w:tcW w:type="dxa" w:w="2880"/>
          </w:tcPr>
          <w:p>
            <w:r>
              <w:t>202434610301</w:t>
            </w:r>
          </w:p>
        </w:tc>
        <w:tc>
          <w:tcPr>
            <w:tcW w:type="dxa" w:w="2880"/>
          </w:tcPr>
          <w:p>
            <w:r>
              <w:t>蔡铭飞</w:t>
            </w:r>
          </w:p>
        </w:tc>
        <w:tc>
          <w:tcPr>
            <w:tcW w:type="dxa" w:w="2880"/>
          </w:tcPr>
          <w:p>
            <w:r>
              <w:t>项目二 AlexNet 网络实现、模型训练与可视化评估</w:t>
            </w:r>
          </w:p>
        </w:tc>
      </w:tr>
      <w:tr>
        <w:tc>
          <w:tcPr>
            <w:tcW w:type="dxa" w:w="2880"/>
          </w:tcPr>
          <w:p>
            <w:r>
              <w:t>202434610326</w:t>
            </w:r>
          </w:p>
        </w:tc>
        <w:tc>
          <w:tcPr>
            <w:tcW w:type="dxa" w:w="2880"/>
          </w:tcPr>
          <w:p>
            <w:r>
              <w:t>冼嘉谦</w:t>
            </w:r>
          </w:p>
        </w:tc>
        <w:tc>
          <w:tcPr>
            <w:tcW w:type="dxa" w:w="2880"/>
          </w:tcPr>
          <w:p>
            <w:r>
              <w:t>数据可视化、报告撰写、PPT 制作与汇报</w:t>
            </w:r>
          </w:p>
        </w:tc>
      </w:tr>
    </w:tbl>
    <w:p>
      <w:r>
        <w:br w:type="page"/>
      </w:r>
    </w:p>
    <w:p>
      <w:pPr>
        <w:pStyle w:val="Heading1"/>
      </w:pPr>
      <w:r>
        <w:t>第2章 相关理论基础</w:t>
      </w:r>
    </w:p>
    <w:p>
      <w:pPr>
        <w:pStyle w:val="Heading2"/>
      </w:pPr>
      <w:r>
        <w:t>2.1 监督学习与分类问题</w:t>
      </w:r>
    </w:p>
    <w:p>
      <w:pPr>
        <w:ind w:firstLine="480"/>
      </w:pPr>
      <w:r>
        <w:t>监督学习是机器学习中最常见的范式，其任务是在给定带标签的训练集 D={(xᵢ, yᵢ)} 上学习一个映射 f: X→Y，使其对未知样本具有良好的预测能力。当标签 y 取离散值时即为分类问题。本实训两个项目均属于多分类问题：项目一为三分类（红酒质量等级），项目二为十分类（服饰类别）。模型学习的核心是最小化训练数据上的损失函数，同时通过正则化、交叉验证等手段控制模型复杂度以提升泛化能力(周志华, 2016)。</w:t>
      </w:r>
    </w:p>
    <w:p>
      <w:pPr>
        <w:pStyle w:val="Heading2"/>
      </w:pPr>
      <w:r>
        <w:t>2.2 传统机器学习算法</w:t>
      </w:r>
    </w:p>
    <w:p>
      <w:pPr>
        <w:pStyle w:val="Heading3"/>
      </w:pPr>
      <w:r>
        <w:t>2.2.1 支持向量机（SVM）</w:t>
      </w:r>
    </w:p>
    <w:p>
      <w:pPr>
        <w:ind w:firstLine="480"/>
      </w:pPr>
      <w:r>
        <w:t>支持向量机的基本思想是在特征空间中寻找一个最大间隔超平面以分隔不同类别，在约束 yᵢ(wᵀxᵢ+b) ≥ 1−ξᵢ 下，其优化目标为：</w:t>
      </w:r>
    </w:p>
    <w:p>
      <w:pPr>
        <w:jc w:val="center"/>
      </w:pPr>
      <m:oMath>
        <m:r>
          <m:t xml:space="preserve">min  </m:t>
        </m:r>
        <m:f>
          <m:num>
            <m:r>
              <m:t xml:space="preserve">1</m:t>
            </m:r>
          </m:num>
          <m:den>
            <m:r>
              <m:t xml:space="preserve">2</m:t>
            </m:r>
          </m:den>
        </m:f>
        <m:sSup>
          <m:e>
            <m:r>
              <m:t xml:space="preserve">‖w‖</m:t>
            </m:r>
          </m:e>
          <m:sup>
            <m:r>
              <m:t xml:space="preserve">2</m:t>
            </m:r>
          </m:sup>
        </m:sSup>
        <m:r>
          <m:t xml:space="preserve"> + C </m:t>
        </m:r>
        <m:r>
          <m:t xml:space="preserve">Σ</m:t>
        </m:r>
        <m:sSub>
          <m:e>
            <m:r>
              <m:t xml:space="preserve">ξ</m:t>
            </m:r>
          </m:e>
          <m:sub>
            <m:r>
              <m:t xml:space="preserve">i</m:t>
            </m:r>
          </m:sub>
        </m:sSub>
      </m:oMath>
    </w:p>
    <w:p>
      <w:pPr>
        <w:ind w:firstLine="480"/>
      </w:pPr>
      <w:r>
        <w:t>其中 C 为惩罚系数、ξᵢ 为松弛变量。对于非线性可分问题，SVM 通过核函数将样本映射到高维空间，本实训采用径向基（RBF）核：</w:t>
      </w:r>
    </w:p>
    <w:p>
      <w:pPr>
        <w:jc w:val="center"/>
      </w:pPr>
      <m:oMath>
        <m:r>
          <m:t xml:space="preserve">K(x, x′) = exp(−γ</m:t>
        </m:r>
        <m:sSup>
          <m:e>
            <m:r>
              <m:t xml:space="preserve">‖x−x′‖</m:t>
            </m:r>
          </m:e>
          <m:sup>
            <m:r>
              <m:t xml:space="preserve">2</m:t>
            </m:r>
          </m:sup>
        </m:sSup>
        <m:r>
          <m:t xml:space="preserve">)</m:t>
        </m:r>
      </m:oMath>
    </w:p>
    <w:p>
      <w:pPr>
        <w:pStyle w:val="Heading3"/>
      </w:pPr>
      <w:r>
        <w:t>2.2.2 决策树</w:t>
      </w:r>
    </w:p>
    <w:p>
      <w:pPr>
        <w:ind w:firstLine="480"/>
      </w:pPr>
      <w:r>
        <w:t>决策树通过递归地选择最优特征对样本空间进行划分，形成树状的判别结构。划分依据通常为基尼不纯度：</w:t>
      </w:r>
    </w:p>
    <w:p>
      <w:pPr>
        <w:jc w:val="center"/>
      </w:pPr>
      <m:oMath>
        <m:r>
          <m:t xml:space="preserve">Gini(D) = 1 − </m:t>
        </m:r>
        <m:r>
          <m:t xml:space="preserve">Σ</m:t>
        </m:r>
        <m:sSubSup>
          <m:e>
            <m:r>
              <m:t xml:space="preserve">p</m:t>
            </m:r>
          </m:e>
          <m:sub>
            <m:r>
              <m:t xml:space="preserve">k</m:t>
            </m:r>
          </m:sub>
          <m:sup>
            <m:r>
              <m:t xml:space="preserve">2</m:t>
            </m:r>
          </m:sup>
        </m:sSubSup>
      </m:oMath>
    </w:p>
    <w:p>
      <w:pPr>
        <w:ind w:firstLine="480"/>
      </w:pPr>
      <w:r>
        <w:t>其中 pₖ 为类别 k 在节点中的占比(周志华, 2016)。算法每次选择使子节点不纯度下降最大的特征进行分裂，具有良好的可解释性，但单棵树容易过拟合。</w:t>
      </w:r>
    </w:p>
    <w:p>
      <w:pPr>
        <w:pStyle w:val="Heading3"/>
      </w:pPr>
      <w:r>
        <w:t>2.2.3 随机森林</w:t>
      </w:r>
    </w:p>
    <w:p>
      <w:pPr>
        <w:ind w:firstLine="480"/>
      </w:pPr>
      <w:r>
        <w:t>随机森林是一种基于 Bagging 思想的集成学习方法，通过自助采样（Bootstrap）构建多棵决策树，并在每次分裂时随机选取部分特征，最后对所有树的预测结果进行多数表决。随机性的引入降低了模型方差，使其在保持高精度的同时具有较强的抗过拟合能力。</w:t>
      </w:r>
    </w:p>
    <w:p>
      <w:pPr>
        <w:pStyle w:val="Heading3"/>
      </w:pPr>
      <w:r>
        <w:t>2.2.4 逻辑回归</w:t>
      </w:r>
    </w:p>
    <w:p>
      <w:pPr>
        <w:ind w:firstLine="480"/>
      </w:pPr>
      <w:r>
        <w:t>逻辑回归是一种线性分类模型，通过 Softmax（多分类）函数将线性输出映射为类别概率：</w:t>
      </w:r>
    </w:p>
    <w:p>
      <w:pPr>
        <w:jc w:val="center"/>
      </w:pPr>
      <m:oMath>
        <m:r>
          <m:t xml:space="preserve">P(y=k|x) = </m:t>
        </m:r>
        <m:f>
          <m:num>
            <m:sSup>
              <m:e>
                <m:r>
                  <m:t xml:space="preserve">e</m:t>
                </m:r>
              </m:e>
              <m:sup>
                <m:sSub>
                  <m:e>
                    <m:r>
                      <m:t xml:space="preserve">w</m:t>
                    </m:r>
                  </m:e>
                  <m:sub>
                    <m:r>
                      <m:t xml:space="preserve">k</m:t>
                    </m:r>
                  </m:sub>
                </m:sSub>
                <m:r>
                  <m:t xml:space="preserve">ᵀx</m:t>
                </m:r>
              </m:sup>
            </m:sSup>
          </m:num>
          <m:den>
            <m:r>
              <m:t xml:space="preserve">Σ</m:t>
            </m:r>
            <m:sSup>
              <m:e>
                <m:r>
                  <m:t xml:space="preserve">e</m:t>
                </m:r>
              </m:e>
              <m:sup>
                <m:sSub>
                  <m:e>
                    <m:r>
                      <m:t xml:space="preserve">w</m:t>
                    </m:r>
                  </m:e>
                  <m:sub>
                    <m:r>
                      <m:t xml:space="preserve">j</m:t>
                    </m:r>
                  </m:sub>
                </m:sSub>
                <m:r>
                  <m:t xml:space="preserve">ᵀx</m:t>
                </m:r>
              </m:sup>
            </m:sSup>
          </m:den>
        </m:f>
      </m:oMath>
    </w:p>
    <w:p>
      <w:pPr>
        <w:ind w:firstLine="480"/>
      </w:pPr>
      <w:r>
        <w:t>并以交叉熵为损失函数进行参数估计(周志华, 2016)。其结构简单、训练高效，常作为分类任务的基线模型。</w:t>
      </w:r>
    </w:p>
    <w:p>
      <w:pPr>
        <w:pStyle w:val="Heading2"/>
      </w:pPr>
      <w:r>
        <w:t>2.3 卷积神经网络与 AlexNet</w:t>
      </w:r>
    </w:p>
    <w:p>
      <w:pPr>
        <w:ind w:firstLine="480"/>
      </w:pPr>
      <w:r>
        <w:t>卷积神经网络（CNN）是处理图像数据的主流深度模型，其核心组件包括：</w:t>
      </w:r>
    </w:p>
    <w:p>
      <w:r>
        <w:t>（1）卷积层：通过可学习的卷积核在图像上滑动提取局部特征，具有局部连接与权值共享的特点，大幅减少参数量。给定输入尺寸 W、卷积核 K、步长 S、填充 P，输出尺寸计算见下式。</w:t>
      </w:r>
    </w:p>
    <w:p>
      <w:r>
        <w:t>（2）激活函数 ReLU：f(x)=max(0,x)，引入非线性并缓解梯度消失，是 AlexNet 的关键创新之一。</w:t>
      </w:r>
    </w:p>
    <w:p>
      <w:r>
        <w:t>（3）池化层：通过最大池化等操作进行下采样，降低特征图尺寸、增强平移不变性。</w:t>
      </w:r>
    </w:p>
    <w:p>
      <w:r>
        <w:t>（4）局部响应归一化（LRN）：对相邻通道的响应进行归一化，增强模型的泛化能力。</w:t>
      </w:r>
    </w:p>
    <w:p>
      <w:r>
        <w:t>（5）Dropout：训练时以一定概率随机置零神经元输出，有效抑制过拟合(Srivastava 等, 2014)。</w:t>
      </w:r>
    </w:p>
    <w:p>
      <w:r>
        <w:t>（6）全连接层：将提取到的高层特征映射到类别空间，输出分类结果。</w:t>
      </w:r>
    </w:p>
    <w:p>
      <w:pPr>
        <w:jc w:val="center"/>
      </w:pPr>
      <m:oMath>
        <m:r>
          <m:t xml:space="preserve">O = ⌊</m:t>
        </m:r>
        <m:f>
          <m:num>
            <m:r>
              <m:t xml:space="preserve">W − K + 2P</m:t>
            </m:r>
          </m:num>
          <m:den>
            <m:r>
              <m:t xml:space="preserve">S</m:t>
            </m:r>
          </m:den>
        </m:f>
        <m:r>
          <m:t xml:space="preserve">⌋ + 1</m:t>
        </m:r>
      </m:oMath>
    </w:p>
    <w:p>
      <w:pPr>
        <w:ind w:firstLine="480"/>
      </w:pPr>
      <w:r>
        <w:t>AlexNet(Krizhevsky 等, 2012)由 5 个卷积层与 3 个全连接层堆叠而成，首次将 ReLU、Dropout、数据增强与 GPU 训练有机结合，是深度学习发展史上的里程碑。</w:t>
      </w:r>
    </w:p>
    <w:p>
      <w:pPr>
        <w:pStyle w:val="Heading2"/>
      </w:pPr>
      <w:r>
        <w:t>2.4 模型评估指标</w:t>
      </w:r>
    </w:p>
    <w:p>
      <w:pPr>
        <w:ind w:firstLine="480"/>
      </w:pPr>
      <w:r>
        <w:t>对于分类任务，依据混淆矩阵中的真正例 TP、假正例 FP、真负例 TN、假负例 FN，常用指标定义如下：</w:t>
      </w:r>
    </w:p>
    <w:p>
      <w:pPr>
        <w:jc w:val="center"/>
      </w:pPr>
      <m:oMath>
        <m:r>
          <m:t xml:space="preserve">准确率 = </m:t>
        </m:r>
        <m:f>
          <m:num>
            <m:r>
              <m:t xml:space="preserve">TP + TN</m:t>
            </m:r>
          </m:num>
          <m:den>
            <m:r>
              <m:t xml:space="preserve">TP + TN + FP + FN</m:t>
            </m:r>
          </m:den>
        </m:f>
      </m:oMath>
    </w:p>
    <w:p>
      <w:pPr>
        <w:jc w:val="center"/>
      </w:pPr>
      <m:oMath>
        <m:r>
          <m:t xml:space="preserve">精确率 = </m:t>
        </m:r>
        <m:f>
          <m:num>
            <m:r>
              <m:t xml:space="preserve">TP</m:t>
            </m:r>
          </m:num>
          <m:den>
            <m:r>
              <m:t xml:space="preserve">TP + FP</m:t>
            </m:r>
          </m:den>
        </m:f>
        <m:r>
          <m:t xml:space="preserve">，  召回率 = </m:t>
        </m:r>
        <m:f>
          <m:num>
            <m:r>
              <m:t xml:space="preserve">TP</m:t>
            </m:r>
          </m:num>
          <m:den>
            <m:r>
              <m:t xml:space="preserve">TP + FN</m:t>
            </m:r>
          </m:den>
        </m:f>
      </m:oMath>
    </w:p>
    <w:p>
      <w:pPr>
        <w:jc w:val="center"/>
      </w:pPr>
      <m:oMath>
        <m:r>
          <m:t xml:space="preserve">F1 = </m:t>
        </m:r>
        <m:f>
          <m:num>
            <m:r>
              <m:t xml:space="preserve">2 × 精确率 × 召回率</m:t>
            </m:r>
          </m:num>
          <m:den>
            <m:r>
              <m:t xml:space="preserve">精确率 + 召回率</m:t>
            </m:r>
          </m:den>
        </m:f>
      </m:oMath>
    </w:p>
    <w:p>
      <w:pPr>
        <w:ind w:firstLine="480"/>
      </w:pPr>
      <w:r>
        <w:t>对于多分类问题，常计算各类别指标的算术平均，即宏平均（Macro-average），它对每个类别一视同仁，能更好地反映模型在不平衡数据上的综合表现(周志华, 2016)。混淆矩阵则以矩阵形式展示各类别的预测分布，可直观分析模型的混淆情况。</w:t>
      </w:r>
    </w:p>
    <w:p>
      <w:pPr>
        <w:pStyle w:val="Heading2"/>
      </w:pPr>
      <w:r>
        <w:t>2.5 实验环境配置</w:t>
      </w:r>
    </w:p>
    <w:p>
      <w:pPr>
        <w:ind w:firstLine="480"/>
      </w:pPr>
      <w:r>
        <w:t>本实训的全部实验均在同一硬件与软件环境下完成，具体配置如表 2-1 所示。项目一的机器学习模型基于 scikit-learn 实现，项目二的 AlexNet 基于 PyTorch 实现并使用 GPU 加速训练。</w:t>
      </w:r>
    </w:p>
    <w:p>
      <w:pPr>
        <w:jc w:val="center"/>
      </w:pPr>
      <w:r>
        <w:rPr>
          <w:sz w:val="21"/>
        </w:rPr>
        <w:t>表 2-1 实验环境配置</w:t>
      </w:r>
    </w:p>
    <w:tbl>
      <w:tblPr>
        <w:tblStyle w:val="LightList-Accent1"/>
        <w:tblW w:type="auto" w:w="0"/>
        <w:jc w:val="center"/>
        <w:tblLook w:firstColumn="1" w:firstRow="1" w:lastColumn="0" w:lastRow="0" w:noHBand="0" w:noVBand="1" w:val="04A0"/>
      </w:tblPr>
      <w:tblGrid>
        <w:gridCol w:w="4320"/>
        <w:gridCol w:w="4320"/>
      </w:tblGrid>
      <w:tr>
        <w:tc>
          <w:tcPr>
            <w:tcW w:type="dxa" w:w="4320"/>
          </w:tcPr>
          <w:p>
            <w:r>
              <w:t>项目</w:t>
            </w:r>
          </w:p>
        </w:tc>
        <w:tc>
          <w:tcPr>
            <w:tcW w:type="dxa" w:w="4320"/>
          </w:tcPr>
          <w:p>
            <w:r>
              <w:t>配置</w:t>
            </w:r>
          </w:p>
        </w:tc>
      </w:tr>
      <w:tr>
        <w:tc>
          <w:tcPr>
            <w:tcW w:type="dxa" w:w="4320"/>
          </w:tcPr>
          <w:p>
            <w:r>
              <w:t>操作系统</w:t>
            </w:r>
          </w:p>
        </w:tc>
        <w:tc>
          <w:tcPr>
            <w:tcW w:type="dxa" w:w="4320"/>
          </w:tcPr>
          <w:p>
            <w:r>
              <w:t>Linux (Ubuntu)</w:t>
            </w:r>
          </w:p>
        </w:tc>
      </w:tr>
      <w:tr>
        <w:tc>
          <w:tcPr>
            <w:tcW w:type="dxa" w:w="4320"/>
          </w:tcPr>
          <w:p>
            <w:r>
              <w:t>编程语言</w:t>
            </w:r>
          </w:p>
        </w:tc>
        <w:tc>
          <w:tcPr>
            <w:tcW w:type="dxa" w:w="4320"/>
          </w:tcPr>
          <w:p>
            <w:r>
              <w:t>Python 3.12</w:t>
            </w:r>
          </w:p>
        </w:tc>
      </w:tr>
      <w:tr>
        <w:tc>
          <w:tcPr>
            <w:tcW w:type="dxa" w:w="4320"/>
          </w:tcPr>
          <w:p>
            <w:r>
              <w:t>深度学习框架</w:t>
            </w:r>
          </w:p>
        </w:tc>
        <w:tc>
          <w:tcPr>
            <w:tcW w:type="dxa" w:w="4320"/>
          </w:tcPr>
          <w:p>
            <w:r>
              <w:t>PyTorch 2.7.1（CUDA 11.8）+ torchvision 0.22.1</w:t>
            </w:r>
          </w:p>
        </w:tc>
      </w:tr>
      <w:tr>
        <w:tc>
          <w:tcPr>
            <w:tcW w:type="dxa" w:w="4320"/>
          </w:tcPr>
          <w:p>
            <w:r>
              <w:t>机器学习库</w:t>
            </w:r>
          </w:p>
        </w:tc>
        <w:tc>
          <w:tcPr>
            <w:tcW w:type="dxa" w:w="4320"/>
          </w:tcPr>
          <w:p>
            <w:r>
              <w:t>scikit-learn 1.8.0</w:t>
            </w:r>
          </w:p>
        </w:tc>
      </w:tr>
      <w:tr>
        <w:tc>
          <w:tcPr>
            <w:tcW w:type="dxa" w:w="4320"/>
          </w:tcPr>
          <w:p>
            <w:r>
              <w:t>数据处理</w:t>
            </w:r>
          </w:p>
        </w:tc>
        <w:tc>
          <w:tcPr>
            <w:tcW w:type="dxa" w:w="4320"/>
          </w:tcPr>
          <w:p>
            <w:r>
              <w:t>pandas 3.0.2、numpy 2.4.3</w:t>
            </w:r>
          </w:p>
        </w:tc>
      </w:tr>
      <w:tr>
        <w:tc>
          <w:tcPr>
            <w:tcW w:type="dxa" w:w="4320"/>
          </w:tcPr>
          <w:p>
            <w:r>
              <w:t>可视化</w:t>
            </w:r>
          </w:p>
        </w:tc>
        <w:tc>
          <w:tcPr>
            <w:tcW w:type="dxa" w:w="4320"/>
          </w:tcPr>
          <w:p>
            <w:r>
              <w:t>matplotlib 3.10.8、seaborn</w:t>
            </w:r>
          </w:p>
        </w:tc>
      </w:tr>
      <w:tr>
        <w:tc>
          <w:tcPr>
            <w:tcW w:type="dxa" w:w="4320"/>
          </w:tcPr>
          <w:p>
            <w:r>
              <w:t>GPU</w:t>
            </w:r>
          </w:p>
        </w:tc>
        <w:tc>
          <w:tcPr>
            <w:tcW w:type="dxa" w:w="4320"/>
          </w:tcPr>
          <w:p>
            <w:r>
              <w:t>NVIDIA GeForce RTX 4090（24GB）</w:t>
            </w:r>
          </w:p>
        </w:tc>
      </w:tr>
    </w:tbl>
    <w:p>
      <w:r>
        <w:br w:type="page"/>
      </w:r>
    </w:p>
    <w:p>
      <w:pPr>
        <w:pStyle w:val="Heading1"/>
      </w:pPr>
      <w:r>
        <w:t>第3章 项目一：红酒质量分类</w:t>
      </w:r>
    </w:p>
    <w:p>
      <w:pPr>
        <w:pStyle w:val="Heading2"/>
      </w:pPr>
      <w:r>
        <w:t>3.1 数据集介绍与来源</w:t>
      </w:r>
    </w:p>
    <w:p>
      <w:pPr>
        <w:ind w:firstLine="480"/>
      </w:pPr>
      <w:r>
        <w:t>本项目采用 UCI 机器学习仓库公开的葡萄酒质量数据集（Wine Quality Data Set）(Cortez 等, 2009)，来源网址为 https://archive.ics.uci.edu/dataset/186/wine+quality 。其中白葡萄酒子集共 4898 个样本，每个样本包含 11 个理化特征以及 1 个质量评分标签（0–10 的整数，由品酒师综合评定）。各特征含义见表 3-1。</w:t>
      </w:r>
    </w:p>
    <w:p>
      <w:pPr>
        <w:jc w:val="center"/>
      </w:pPr>
      <w:r>
        <w:rPr>
          <w:sz w:val="21"/>
        </w:rPr>
        <w:t>表 3-1 白葡萄酒数据集特征说明</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特征</w:t>
            </w:r>
          </w:p>
        </w:tc>
        <w:tc>
          <w:tcPr>
            <w:tcW w:type="dxa" w:w="2160"/>
          </w:tcPr>
          <w:p>
            <w:r>
              <w:t>含义</w:t>
            </w:r>
          </w:p>
        </w:tc>
        <w:tc>
          <w:tcPr>
            <w:tcW w:type="dxa" w:w="2160"/>
          </w:tcPr>
          <w:p>
            <w:r>
              <w:t>特征</w:t>
            </w:r>
          </w:p>
        </w:tc>
        <w:tc>
          <w:tcPr>
            <w:tcW w:type="dxa" w:w="2160"/>
          </w:tcPr>
          <w:p>
            <w:r>
              <w:t>含义</w:t>
            </w:r>
          </w:p>
        </w:tc>
      </w:tr>
      <w:tr>
        <w:tc>
          <w:tcPr>
            <w:tcW w:type="dxa" w:w="2160"/>
          </w:tcPr>
          <w:p>
            <w:r>
              <w:t>fixed acidity</w:t>
            </w:r>
          </w:p>
        </w:tc>
        <w:tc>
          <w:tcPr>
            <w:tcW w:type="dxa" w:w="2160"/>
          </w:tcPr>
          <w:p>
            <w:r>
              <w:t>固定酸度</w:t>
            </w:r>
          </w:p>
        </w:tc>
        <w:tc>
          <w:tcPr>
            <w:tcW w:type="dxa" w:w="2160"/>
          </w:tcPr>
          <w:p>
            <w:r>
              <w:t>total sulfur dioxide</w:t>
            </w:r>
          </w:p>
        </w:tc>
        <w:tc>
          <w:tcPr>
            <w:tcW w:type="dxa" w:w="2160"/>
          </w:tcPr>
          <w:p>
            <w:r>
              <w:t>总二氧化硫</w:t>
            </w:r>
          </w:p>
        </w:tc>
      </w:tr>
      <w:tr>
        <w:tc>
          <w:tcPr>
            <w:tcW w:type="dxa" w:w="2160"/>
          </w:tcPr>
          <w:p>
            <w:r>
              <w:t>volatile acidity</w:t>
            </w:r>
          </w:p>
        </w:tc>
        <w:tc>
          <w:tcPr>
            <w:tcW w:type="dxa" w:w="2160"/>
          </w:tcPr>
          <w:p>
            <w:r>
              <w:t>挥发性酸度</w:t>
            </w:r>
          </w:p>
        </w:tc>
        <w:tc>
          <w:tcPr>
            <w:tcW w:type="dxa" w:w="2160"/>
          </w:tcPr>
          <w:p>
            <w:r>
              <w:t>density</w:t>
            </w:r>
          </w:p>
        </w:tc>
        <w:tc>
          <w:tcPr>
            <w:tcW w:type="dxa" w:w="2160"/>
          </w:tcPr>
          <w:p>
            <w:r>
              <w:t>密度</w:t>
            </w:r>
          </w:p>
        </w:tc>
      </w:tr>
      <w:tr>
        <w:tc>
          <w:tcPr>
            <w:tcW w:type="dxa" w:w="2160"/>
          </w:tcPr>
          <w:p>
            <w:r>
              <w:t>citric acid</w:t>
            </w:r>
          </w:p>
        </w:tc>
        <w:tc>
          <w:tcPr>
            <w:tcW w:type="dxa" w:w="2160"/>
          </w:tcPr>
          <w:p>
            <w:r>
              <w:t>柠檬酸</w:t>
            </w:r>
          </w:p>
        </w:tc>
        <w:tc>
          <w:tcPr>
            <w:tcW w:type="dxa" w:w="2160"/>
          </w:tcPr>
          <w:p>
            <w:r>
              <w:t>pH</w:t>
            </w:r>
          </w:p>
        </w:tc>
        <w:tc>
          <w:tcPr>
            <w:tcW w:type="dxa" w:w="2160"/>
          </w:tcPr>
          <w:p>
            <w:r>
              <w:t>酸碱度</w:t>
            </w:r>
          </w:p>
        </w:tc>
      </w:tr>
      <w:tr>
        <w:tc>
          <w:tcPr>
            <w:tcW w:type="dxa" w:w="2160"/>
          </w:tcPr>
          <w:p>
            <w:r>
              <w:t>residual sugar</w:t>
            </w:r>
          </w:p>
        </w:tc>
        <w:tc>
          <w:tcPr>
            <w:tcW w:type="dxa" w:w="2160"/>
          </w:tcPr>
          <w:p>
            <w:r>
              <w:t>残糖</w:t>
            </w:r>
          </w:p>
        </w:tc>
        <w:tc>
          <w:tcPr>
            <w:tcW w:type="dxa" w:w="2160"/>
          </w:tcPr>
          <w:p>
            <w:r>
              <w:t>sulphates</w:t>
            </w:r>
          </w:p>
        </w:tc>
        <w:tc>
          <w:tcPr>
            <w:tcW w:type="dxa" w:w="2160"/>
          </w:tcPr>
          <w:p>
            <w:r>
              <w:t>硫酸盐</w:t>
            </w:r>
          </w:p>
        </w:tc>
      </w:tr>
      <w:tr>
        <w:tc>
          <w:tcPr>
            <w:tcW w:type="dxa" w:w="2160"/>
          </w:tcPr>
          <w:p>
            <w:r>
              <w:t>chlorides</w:t>
            </w:r>
          </w:p>
        </w:tc>
        <w:tc>
          <w:tcPr>
            <w:tcW w:type="dxa" w:w="2160"/>
          </w:tcPr>
          <w:p>
            <w:r>
              <w:t>氯化物</w:t>
            </w:r>
          </w:p>
        </w:tc>
        <w:tc>
          <w:tcPr>
            <w:tcW w:type="dxa" w:w="2160"/>
          </w:tcPr>
          <w:p>
            <w:r>
              <w:t>alcohol</w:t>
            </w:r>
          </w:p>
        </w:tc>
        <w:tc>
          <w:tcPr>
            <w:tcW w:type="dxa" w:w="2160"/>
          </w:tcPr>
          <w:p>
            <w:r>
              <w:t>酒精度</w:t>
            </w:r>
          </w:p>
        </w:tc>
      </w:tr>
      <w:tr>
        <w:tc>
          <w:tcPr>
            <w:tcW w:type="dxa" w:w="2160"/>
          </w:tcPr>
          <w:p>
            <w:r>
              <w:t>free sulfur dioxide</w:t>
            </w:r>
          </w:p>
        </w:tc>
        <w:tc>
          <w:tcPr>
            <w:tcW w:type="dxa" w:w="2160"/>
          </w:tcPr>
          <w:p>
            <w:r>
              <w:t>游离二氧化硫</w:t>
            </w:r>
          </w:p>
        </w:tc>
        <w:tc>
          <w:tcPr>
            <w:tcW w:type="dxa" w:w="2160"/>
          </w:tcPr>
          <w:p>
            <w:r>
              <w:t>quality</w:t>
            </w:r>
          </w:p>
        </w:tc>
        <w:tc>
          <w:tcPr>
            <w:tcW w:type="dxa" w:w="2160"/>
          </w:tcPr>
          <w:p>
            <w:r>
              <w:t>质量评分（标签）</w:t>
            </w:r>
          </w:p>
        </w:tc>
      </w:tr>
    </w:tbl>
    <w:p>
      <w:pPr>
        <w:pStyle w:val="Heading2"/>
      </w:pPr>
      <w:r>
        <w:t>3.2 数据加载与可视化分布</w:t>
      </w:r>
    </w:p>
    <w:p>
      <w:pPr>
        <w:ind w:firstLine="480"/>
      </w:pPr>
      <w:r>
        <w:t>数据以分号分隔的 CSV 文件存储，使用 pandas 读入后核验为 4898×12（11 特征 + 1 标签），经检查无缺失值与重复值，数据质量良好。为深入理解数据特性，绘制了质量评分分布直方图与特征相关性热力图。</w:t>
      </w: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eda_quality_dist.png"/>
                    <pic:cNvPicPr/>
                  </pic:nvPicPr>
                  <pic:blipFill>
                    <a:blip r:embed="rId10"/>
                    <a:stretch>
                      <a:fillRect/>
                    </a:stretch>
                  </pic:blipFill>
                  <pic:spPr>
                    <a:xfrm>
                      <a:off x="0" y="0"/>
                      <a:ext cx="3200400" cy="2133600"/>
                    </a:xfrm>
                    <a:prstGeom prst="rect"/>
                  </pic:spPr>
                </pic:pic>
              </a:graphicData>
            </a:graphic>
          </wp:inline>
        </w:drawing>
      </w:r>
    </w:p>
    <w:p>
      <w:pPr>
        <w:jc w:val="center"/>
      </w:pPr>
      <w:r>
        <w:rPr>
          <w:sz w:val="21"/>
        </w:rPr>
        <w:t>图 3-1 葡萄酒质量评分分布</w:t>
      </w:r>
    </w:p>
    <w:p>
      <w:pPr>
        <w:ind w:firstLine="480"/>
      </w:pPr>
      <w:r>
        <w:t>由分布图可见，质量评分高度集中于 5、6、7 三档，评分为 6 的样本最多，而极高（8、9）与极低（3、4）评分的样本极少，整体呈现明显的“中间多、两端少”的长尾不平衡特征，这给少数类的识别带来挑战。由相关性热力图可见，酒精度与质量评分呈较强正相关，而密度与质量评分呈负相关，二者本身又高度负相关，这与酿酒学常识一致，表明所选特征对质量判别具备一定有效信息。</w:t>
      </w:r>
    </w:p>
    <w:p>
      <w:pPr>
        <w:jc w:val="center"/>
      </w:pPr>
      <w:r>
        <w:drawing>
          <wp:inline xmlns:a="http://schemas.openxmlformats.org/drawingml/2006/main" xmlns:pic="http://schemas.openxmlformats.org/drawingml/2006/picture">
            <wp:extent cx="4572000" cy="3657600"/>
            <wp:docPr id="3" name="Picture 3"/>
            <wp:cNvGraphicFramePr>
              <a:graphicFrameLocks noChangeAspect="1"/>
            </wp:cNvGraphicFramePr>
            <a:graphic>
              <a:graphicData uri="http://schemas.openxmlformats.org/drawingml/2006/picture">
                <pic:pic>
                  <pic:nvPicPr>
                    <pic:cNvPr id="0" name="eda_corr_heatmap.png"/>
                    <pic:cNvPicPr/>
                  </pic:nvPicPr>
                  <pic:blipFill>
                    <a:blip r:embed="rId11"/>
                    <a:stretch>
                      <a:fillRect/>
                    </a:stretch>
                  </pic:blipFill>
                  <pic:spPr>
                    <a:xfrm>
                      <a:off x="0" y="0"/>
                      <a:ext cx="4572000" cy="3657600"/>
                    </a:xfrm>
                    <a:prstGeom prst="rect"/>
                  </pic:spPr>
                </pic:pic>
              </a:graphicData>
            </a:graphic>
          </wp:inline>
        </w:drawing>
      </w:r>
    </w:p>
    <w:p>
      <w:pPr>
        <w:jc w:val="center"/>
      </w:pPr>
      <w:r>
        <w:rPr>
          <w:sz w:val="21"/>
        </w:rPr>
        <w:t>图 3-2 特征相关性热力图</w:t>
      </w:r>
    </w:p>
    <w:p>
      <w:pPr>
        <w:pStyle w:val="Heading2"/>
      </w:pPr>
      <w:r>
        <w:t>3.3 数据预处理</w:t>
      </w:r>
    </w:p>
    <w:p>
      <w:r>
        <w:t>（1）标签构造：原始质量评分有 7 个取值且极不均衡，直接做七分类意义有限。故将其分箱为三个等级——评分≤5 记为“差”(类0)、=6 记为“中”(类1)、≥7 记为“好”(类2)。分箱后三类样本数分别为 1640、2198、1060，更符合实际的质量分级需求。</w:t>
      </w:r>
    </w:p>
    <w:p>
      <w:r>
        <w:t>（2）特征标准化：由于各特征量纲差异较大，采用 z=(x−μ)/σ 对 11 个特征做零均值、单位方差标准化，且仅在训练集上拟合参数后再应用到测试集，严格避免数据泄漏。</w:t>
      </w:r>
    </w:p>
    <w:p>
      <w:r>
        <w:t>（3）数据集划分：按 8:2 分层抽样划分，得训练集 3918 个、测试集 980 个样本，保证各类别比例一致。</w:t>
      </w:r>
    </w:p>
    <w:p>
      <w:r>
        <w:t>（4）不平衡处理：所有模型统一设置 class_weight='balanced'，按类别频率反比加权，使模型更关注少数类。</w:t>
      </w:r>
    </w:p>
    <w:p>
      <w:pPr>
        <w:ind w:firstLine="480"/>
      </w:pPr>
      <w:r>
        <w:t>关于标签分箱的依据，表 3-2 给出了原始质量评分的完整分布及三分类归并方案。</w:t>
      </w:r>
    </w:p>
    <w:p>
      <w:pPr>
        <w:jc w:val="center"/>
      </w:pPr>
      <w:r>
        <w:rPr>
          <w:sz w:val="21"/>
        </w:rPr>
        <w:t>表 3-2 原始质量评分分布与三分类归并方案</w:t>
      </w:r>
    </w:p>
    <w:tbl>
      <w:tblPr>
        <w:tblStyle w:val="LightList-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原始评分</w:t>
            </w:r>
          </w:p>
        </w:tc>
        <w:tc>
          <w:tcPr>
            <w:tcW w:type="dxa" w:w="960"/>
          </w:tcPr>
          <w:p>
            <w:r>
              <w:t>3</w:t>
            </w:r>
          </w:p>
        </w:tc>
        <w:tc>
          <w:tcPr>
            <w:tcW w:type="dxa" w:w="960"/>
          </w:tcPr>
          <w:p>
            <w:r>
              <w:t>4</w:t>
            </w:r>
          </w:p>
        </w:tc>
        <w:tc>
          <w:tcPr>
            <w:tcW w:type="dxa" w:w="960"/>
          </w:tcPr>
          <w:p>
            <w:r>
              <w:t>5</w:t>
            </w:r>
          </w:p>
        </w:tc>
        <w:tc>
          <w:tcPr>
            <w:tcW w:type="dxa" w:w="960"/>
          </w:tcPr>
          <w:p>
            <w:r>
              <w:t>6</w:t>
            </w:r>
          </w:p>
        </w:tc>
        <w:tc>
          <w:tcPr>
            <w:tcW w:type="dxa" w:w="960"/>
          </w:tcPr>
          <w:p>
            <w:r>
              <w:t>7</w:t>
            </w:r>
          </w:p>
        </w:tc>
        <w:tc>
          <w:tcPr>
            <w:tcW w:type="dxa" w:w="960"/>
          </w:tcPr>
          <w:p>
            <w:r>
              <w:t>8</w:t>
            </w:r>
          </w:p>
        </w:tc>
        <w:tc>
          <w:tcPr>
            <w:tcW w:type="dxa" w:w="960"/>
          </w:tcPr>
          <w:p>
            <w:r>
              <w:t>9</w:t>
            </w:r>
          </w:p>
        </w:tc>
        <w:tc>
          <w:tcPr>
            <w:tcW w:type="dxa" w:w="960"/>
          </w:tcPr>
          <w:p>
            <w:r>
              <w:t>合计</w:t>
            </w:r>
          </w:p>
        </w:tc>
      </w:tr>
      <w:tr>
        <w:tc>
          <w:tcPr>
            <w:tcW w:type="dxa" w:w="960"/>
          </w:tcPr>
          <w:p>
            <w:r>
              <w:t>样本数</w:t>
            </w:r>
          </w:p>
        </w:tc>
        <w:tc>
          <w:tcPr>
            <w:tcW w:type="dxa" w:w="960"/>
          </w:tcPr>
          <w:p>
            <w:r>
              <w:t>20</w:t>
            </w:r>
          </w:p>
        </w:tc>
        <w:tc>
          <w:tcPr>
            <w:tcW w:type="dxa" w:w="960"/>
          </w:tcPr>
          <w:p>
            <w:r>
              <w:t>163</w:t>
            </w:r>
          </w:p>
        </w:tc>
        <w:tc>
          <w:tcPr>
            <w:tcW w:type="dxa" w:w="960"/>
          </w:tcPr>
          <w:p>
            <w:r>
              <w:t>1457</w:t>
            </w:r>
          </w:p>
        </w:tc>
        <w:tc>
          <w:tcPr>
            <w:tcW w:type="dxa" w:w="960"/>
          </w:tcPr>
          <w:p>
            <w:r>
              <w:t>2198</w:t>
            </w:r>
          </w:p>
        </w:tc>
        <w:tc>
          <w:tcPr>
            <w:tcW w:type="dxa" w:w="960"/>
          </w:tcPr>
          <w:p>
            <w:r>
              <w:t>880</w:t>
            </w:r>
          </w:p>
        </w:tc>
        <w:tc>
          <w:tcPr>
            <w:tcW w:type="dxa" w:w="960"/>
          </w:tcPr>
          <w:p>
            <w:r>
              <w:t>175</w:t>
            </w:r>
          </w:p>
        </w:tc>
        <w:tc>
          <w:tcPr>
            <w:tcW w:type="dxa" w:w="960"/>
          </w:tcPr>
          <w:p>
            <w:r>
              <w:t>5</w:t>
            </w:r>
          </w:p>
        </w:tc>
        <w:tc>
          <w:tcPr>
            <w:tcW w:type="dxa" w:w="960"/>
          </w:tcPr>
          <w:p>
            <w:r>
              <w:t>4898</w:t>
            </w:r>
          </w:p>
        </w:tc>
      </w:tr>
      <w:tr>
        <w:tc>
          <w:tcPr>
            <w:tcW w:type="dxa" w:w="960"/>
          </w:tcPr>
          <w:p>
            <w:r>
              <w:t>归并类别</w:t>
            </w:r>
          </w:p>
        </w:tc>
        <w:tc>
          <w:tcPr>
            <w:tcW w:type="dxa" w:w="960"/>
          </w:tcPr>
          <w:p>
            <w:r>
              <w:t>差(≤5)：1640</w:t>
            </w:r>
          </w:p>
        </w:tc>
        <w:tc>
          <w:tcPr>
            <w:tcW w:type="dxa" w:w="960"/>
          </w:tcPr>
          <w:p>
            <w:r/>
          </w:p>
        </w:tc>
        <w:tc>
          <w:tcPr>
            <w:tcW w:type="dxa" w:w="960"/>
          </w:tcPr>
          <w:p>
            <w:r/>
          </w:p>
        </w:tc>
        <w:tc>
          <w:tcPr>
            <w:tcW w:type="dxa" w:w="960"/>
          </w:tcPr>
          <w:p>
            <w:r>
              <w:t>中：2198</w:t>
            </w:r>
          </w:p>
        </w:tc>
        <w:tc>
          <w:tcPr>
            <w:tcW w:type="dxa" w:w="960"/>
          </w:tcPr>
          <w:p>
            <w:r>
              <w:t>好(≥7)：1060</w:t>
            </w:r>
          </w:p>
        </w:tc>
        <w:tc>
          <w:tcPr>
            <w:tcW w:type="dxa" w:w="960"/>
          </w:tcPr>
          <w:p>
            <w:r/>
          </w:p>
        </w:tc>
        <w:tc>
          <w:tcPr>
            <w:tcW w:type="dxa" w:w="960"/>
          </w:tcPr>
          <w:p>
            <w:r/>
          </w:p>
        </w:tc>
        <w:tc>
          <w:tcPr>
            <w:tcW w:type="dxa" w:w="960"/>
          </w:tcPr>
          <w:p>
            <w:r/>
          </w:p>
        </w:tc>
      </w:tr>
    </w:tbl>
    <w:p>
      <w:pPr>
        <w:ind w:firstLine="480"/>
      </w:pPr>
      <w:r>
        <w:t>如表 3-2 所示，原始评分高度集中于 5、6、7 三档（合计占 92.6%），而 3、4、8、9 分的样本极少（最少的 9 分仅 5 例）。若直接进行七分类，这些极少数类几乎无法被有效学习、评价也极不稳定；若简化为二分类，又会丢失“中等品质”这一重要档次。因此，本文参照课程“3 分类”要求并结合数据的实际分布，将评分按≤5/=6/≥7 归并为差/中/好三类——既保证每个类别都有足够样本（最少 1060 例），又符合葡萄酒质量“低/中/高”分级的实际语义，是兼顾可学习性与业务含义的合理选择。</w:t>
      </w:r>
    </w:p>
    <w:p>
      <w:pPr>
        <w:pStyle w:val="Heading2"/>
      </w:pPr>
      <w:r>
        <w:t>3.4 模型建立</w:t>
      </w:r>
    </w:p>
    <w:p>
      <w:pPr>
        <w:ind w:firstLine="480"/>
      </w:pPr>
      <w:r>
        <w:t>选取支持向量机、决策树、随机森林、逻辑回归四种代表性算法（原理见 2.2 节），借助 scikit-learn(Pedregosa 等, 2011)提供的 GridSearchCV，通过五折交叉验证结合网格搜索（评分准则为宏平均 F1）对关键超参数进行寻优。五折交叉验证将训练集均分为五份，轮流以四份训练、一份验证，取平均性能作为评分，从而更稳健地选择超参数。各模型搜索空间与最优结果见表 3-3。</w:t>
      </w:r>
    </w:p>
    <w:p>
      <w:pPr>
        <w:jc w:val="center"/>
      </w:pPr>
      <w:r>
        <w:rPr>
          <w:sz w:val="21"/>
        </w:rPr>
        <w:t>表 3-3 四种模型的搜索空间与最优超参数</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模型</w:t>
            </w:r>
          </w:p>
        </w:tc>
        <w:tc>
          <w:tcPr>
            <w:tcW w:type="dxa" w:w="2880"/>
          </w:tcPr>
          <w:p>
            <w:r>
              <w:t>主要搜索空间</w:t>
            </w:r>
          </w:p>
        </w:tc>
        <w:tc>
          <w:tcPr>
            <w:tcW w:type="dxa" w:w="2880"/>
          </w:tcPr>
          <w:p>
            <w:r>
              <w:t>最优超参数</w:t>
            </w:r>
          </w:p>
        </w:tc>
      </w:tr>
      <w:tr>
        <w:tc>
          <w:tcPr>
            <w:tcW w:type="dxa" w:w="2880"/>
          </w:tcPr>
          <w:p>
            <w:r>
              <w:t>SVM</w:t>
            </w:r>
          </w:p>
        </w:tc>
        <w:tc>
          <w:tcPr>
            <w:tcW w:type="dxa" w:w="2880"/>
          </w:tcPr>
          <w:p>
            <w:r>
              <w:t>C∈{1,10}, γ∈{scale,0.1}, RBF核</w:t>
            </w:r>
          </w:p>
        </w:tc>
        <w:tc>
          <w:tcPr>
            <w:tcW w:type="dxa" w:w="2880"/>
          </w:tcPr>
          <w:p>
            <w:r>
              <w:t>C=10, γ=0.1</w:t>
            </w:r>
          </w:p>
        </w:tc>
      </w:tr>
      <w:tr>
        <w:tc>
          <w:tcPr>
            <w:tcW w:type="dxa" w:w="2880"/>
          </w:tcPr>
          <w:p>
            <w:r>
              <w:t>决策树</w:t>
            </w:r>
          </w:p>
        </w:tc>
        <w:tc>
          <w:tcPr>
            <w:tcW w:type="dxa" w:w="2880"/>
          </w:tcPr>
          <w:p>
            <w:r>
              <w:t>最大深度∈{None,10,20}, 叶子最小样本∈{1,5}</w:t>
            </w:r>
          </w:p>
        </w:tc>
        <w:tc>
          <w:tcPr>
            <w:tcW w:type="dxa" w:w="2880"/>
          </w:tcPr>
          <w:p>
            <w:r>
              <w:t>深度None, 叶子1</w:t>
            </w:r>
          </w:p>
        </w:tc>
      </w:tr>
      <w:tr>
        <w:tc>
          <w:tcPr>
            <w:tcW w:type="dxa" w:w="2880"/>
          </w:tcPr>
          <w:p>
            <w:r>
              <w:t>随机森林</w:t>
            </w:r>
          </w:p>
        </w:tc>
        <w:tc>
          <w:tcPr>
            <w:tcW w:type="dxa" w:w="2880"/>
          </w:tcPr>
          <w:p>
            <w:r>
              <w:t>树数∈{200,400}, 最大深度∈{None,20}</w:t>
            </w:r>
          </w:p>
        </w:tc>
        <w:tc>
          <w:tcPr>
            <w:tcW w:type="dxa" w:w="2880"/>
          </w:tcPr>
          <w:p>
            <w:r>
              <w:t>树数200, 深度20</w:t>
            </w:r>
          </w:p>
        </w:tc>
      </w:tr>
      <w:tr>
        <w:tc>
          <w:tcPr>
            <w:tcW w:type="dxa" w:w="2880"/>
          </w:tcPr>
          <w:p>
            <w:r>
              <w:t>逻辑回归</w:t>
            </w:r>
          </w:p>
        </w:tc>
        <w:tc>
          <w:tcPr>
            <w:tcW w:type="dxa" w:w="2880"/>
          </w:tcPr>
          <w:p>
            <w:r>
              <w:t>C∈{0.5,1,10}</w:t>
            </w:r>
          </w:p>
        </w:tc>
        <w:tc>
          <w:tcPr>
            <w:tcW w:type="dxa" w:w="2880"/>
          </w:tcPr>
          <w:p>
            <w:r>
              <w:t>C=0.5</w:t>
            </w:r>
          </w:p>
        </w:tc>
      </w:tr>
    </w:tbl>
    <w:p>
      <w:pPr>
        <w:pStyle w:val="Heading2"/>
      </w:pPr>
      <w:r>
        <w:t>3.5 模型评估</w:t>
      </w:r>
    </w:p>
    <w:p>
      <w:pPr>
        <w:ind w:firstLine="480"/>
      </w:pPr>
      <w:r>
        <w:t>在独立测试集上对四个模型进行评估，整体指标对比见表 3-4 与图 3-3。</w:t>
      </w:r>
    </w:p>
    <w:p>
      <w:pPr>
        <w:jc w:val="center"/>
      </w:pPr>
      <w:r>
        <w:rPr>
          <w:sz w:val="21"/>
        </w:rPr>
        <w:t>表 3-4 四种机器学习模型测试集性能对比</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准确率</w:t>
            </w:r>
          </w:p>
        </w:tc>
        <w:tc>
          <w:tcPr>
            <w:tcW w:type="dxa" w:w="1728"/>
          </w:tcPr>
          <w:p>
            <w:r>
              <w:t>精确率</w:t>
            </w:r>
          </w:p>
        </w:tc>
        <w:tc>
          <w:tcPr>
            <w:tcW w:type="dxa" w:w="1728"/>
          </w:tcPr>
          <w:p>
            <w:r>
              <w:t>召回率</w:t>
            </w:r>
          </w:p>
        </w:tc>
        <w:tc>
          <w:tcPr>
            <w:tcW w:type="dxa" w:w="1728"/>
          </w:tcPr>
          <w:p>
            <w:r>
              <w:t>宏平均F1</w:t>
            </w:r>
          </w:p>
        </w:tc>
      </w:tr>
      <w:tr>
        <w:tc>
          <w:tcPr>
            <w:tcW w:type="dxa" w:w="1728"/>
          </w:tcPr>
          <w:p>
            <w:r>
              <w:t>SVM</w:t>
            </w:r>
          </w:p>
        </w:tc>
        <w:tc>
          <w:tcPr>
            <w:tcW w:type="dxa" w:w="1728"/>
          </w:tcPr>
          <w:p>
            <w:r>
              <w:t>0.617</w:t>
            </w:r>
          </w:p>
        </w:tc>
        <w:tc>
          <w:tcPr>
            <w:tcW w:type="dxa" w:w="1728"/>
          </w:tcPr>
          <w:p>
            <w:r>
              <w:t>0.616</w:t>
            </w:r>
          </w:p>
        </w:tc>
        <w:tc>
          <w:tcPr>
            <w:tcW w:type="dxa" w:w="1728"/>
          </w:tcPr>
          <w:p>
            <w:r>
              <w:t>0.660</w:t>
            </w:r>
          </w:p>
        </w:tc>
        <w:tc>
          <w:tcPr>
            <w:tcW w:type="dxa" w:w="1728"/>
          </w:tcPr>
          <w:p>
            <w:r>
              <w:t>0.622</w:t>
            </w:r>
          </w:p>
        </w:tc>
      </w:tr>
      <w:tr>
        <w:tc>
          <w:tcPr>
            <w:tcW w:type="dxa" w:w="1728"/>
          </w:tcPr>
          <w:p>
            <w:r>
              <w:t>决策树</w:t>
            </w:r>
          </w:p>
        </w:tc>
        <w:tc>
          <w:tcPr>
            <w:tcW w:type="dxa" w:w="1728"/>
          </w:tcPr>
          <w:p>
            <w:r>
              <w:t>0.650</w:t>
            </w:r>
          </w:p>
        </w:tc>
        <w:tc>
          <w:tcPr>
            <w:tcW w:type="dxa" w:w="1728"/>
          </w:tcPr>
          <w:p>
            <w:r>
              <w:t>0.647</w:t>
            </w:r>
          </w:p>
        </w:tc>
        <w:tc>
          <w:tcPr>
            <w:tcW w:type="dxa" w:w="1728"/>
          </w:tcPr>
          <w:p>
            <w:r>
              <w:t>0.644</w:t>
            </w:r>
          </w:p>
        </w:tc>
        <w:tc>
          <w:tcPr>
            <w:tcW w:type="dxa" w:w="1728"/>
          </w:tcPr>
          <w:p>
            <w:r>
              <w:t>0.645</w:t>
            </w:r>
          </w:p>
        </w:tc>
      </w:tr>
      <w:tr>
        <w:tc>
          <w:tcPr>
            <w:tcW w:type="dxa" w:w="1728"/>
          </w:tcPr>
          <w:p>
            <w:r>
              <w:t>随机森林</w:t>
            </w:r>
          </w:p>
        </w:tc>
        <w:tc>
          <w:tcPr>
            <w:tcW w:type="dxa" w:w="1728"/>
          </w:tcPr>
          <w:p>
            <w:r>
              <w:t>0.735</w:t>
            </w:r>
          </w:p>
        </w:tc>
        <w:tc>
          <w:tcPr>
            <w:tcW w:type="dxa" w:w="1728"/>
          </w:tcPr>
          <w:p>
            <w:r>
              <w:t>0.748</w:t>
            </w:r>
          </w:p>
        </w:tc>
        <w:tc>
          <w:tcPr>
            <w:tcW w:type="dxa" w:w="1728"/>
          </w:tcPr>
          <w:p>
            <w:r>
              <w:t>0.723</w:t>
            </w:r>
          </w:p>
        </w:tc>
        <w:tc>
          <w:tcPr>
            <w:tcW w:type="dxa" w:w="1728"/>
          </w:tcPr>
          <w:p>
            <w:r>
              <w:t>0.734</w:t>
            </w:r>
          </w:p>
        </w:tc>
      </w:tr>
      <w:tr>
        <w:tc>
          <w:tcPr>
            <w:tcW w:type="dxa" w:w="1728"/>
          </w:tcPr>
          <w:p>
            <w:r>
              <w:t>逻辑回归</w:t>
            </w:r>
          </w:p>
        </w:tc>
        <w:tc>
          <w:tcPr>
            <w:tcW w:type="dxa" w:w="1728"/>
          </w:tcPr>
          <w:p>
            <w:r>
              <w:t>0.522</w:t>
            </w:r>
          </w:p>
        </w:tc>
        <w:tc>
          <w:tcPr>
            <w:tcW w:type="dxa" w:w="1728"/>
          </w:tcPr>
          <w:p>
            <w:r>
              <w:t>0.524</w:t>
            </w:r>
          </w:p>
        </w:tc>
        <w:tc>
          <w:tcPr>
            <w:tcW w:type="dxa" w:w="1728"/>
          </w:tcPr>
          <w:p>
            <w:r>
              <w:t>0.567</w:t>
            </w:r>
          </w:p>
        </w:tc>
        <w:tc>
          <w:tcPr>
            <w:tcW w:type="dxa" w:w="1728"/>
          </w:tcPr>
          <w:p>
            <w:r>
              <w:t>0.520</w:t>
            </w:r>
          </w:p>
        </w:tc>
      </w:tr>
    </w:tbl>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model_compare.png"/>
                    <pic:cNvPicPr/>
                  </pic:nvPicPr>
                  <pic:blipFill>
                    <a:blip r:embed="rId12"/>
                    <a:stretch>
                      <a:fillRect/>
                    </a:stretch>
                  </pic:blipFill>
                  <pic:spPr>
                    <a:xfrm>
                      <a:off x="0" y="0"/>
                      <a:ext cx="4572000" cy="2857500"/>
                    </a:xfrm>
                    <a:prstGeom prst="rect"/>
                  </pic:spPr>
                </pic:pic>
              </a:graphicData>
            </a:graphic>
          </wp:inline>
        </w:drawing>
      </w:r>
    </w:p>
    <w:p>
      <w:pPr>
        <w:jc w:val="center"/>
      </w:pPr>
      <w:r>
        <w:rPr>
          <w:sz w:val="21"/>
        </w:rPr>
        <w:t>图 3-3 各模型测试集指标对比</w:t>
      </w:r>
    </w:p>
    <w:p>
      <w:pPr>
        <w:ind w:firstLine="480"/>
      </w:pPr>
      <w:r>
        <w:t>由表 3-3 可见，随机森林在四项指标上全面领先，其次为决策树与 SVM，逻辑回归表现最差。为进一步分析最优模型，给出随机森林各类别详细指标（表 3-5）及其混淆矩阵（图 3-4）。</w:t>
      </w:r>
    </w:p>
    <w:p>
      <w:pPr>
        <w:jc w:val="center"/>
      </w:pPr>
      <w:r>
        <w:rPr>
          <w:sz w:val="21"/>
        </w:rPr>
        <w:t>表 3-5 随机森林各类别指标</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类别</w:t>
            </w:r>
          </w:p>
        </w:tc>
        <w:tc>
          <w:tcPr>
            <w:tcW w:type="dxa" w:w="1728"/>
          </w:tcPr>
          <w:p>
            <w:r>
              <w:t>精确率</w:t>
            </w:r>
          </w:p>
        </w:tc>
        <w:tc>
          <w:tcPr>
            <w:tcW w:type="dxa" w:w="1728"/>
          </w:tcPr>
          <w:p>
            <w:r>
              <w:t>召回率</w:t>
            </w:r>
          </w:p>
        </w:tc>
        <w:tc>
          <w:tcPr>
            <w:tcW w:type="dxa" w:w="1728"/>
          </w:tcPr>
          <w:p>
            <w:r>
              <w:t>F1</w:t>
            </w:r>
          </w:p>
        </w:tc>
        <w:tc>
          <w:tcPr>
            <w:tcW w:type="dxa" w:w="1728"/>
          </w:tcPr>
          <w:p>
            <w:r>
              <w:t>样本数</w:t>
            </w:r>
          </w:p>
        </w:tc>
      </w:tr>
      <w:tr>
        <w:tc>
          <w:tcPr>
            <w:tcW w:type="dxa" w:w="1728"/>
          </w:tcPr>
          <w:p>
            <w:r>
              <w:t>差(≤5)</w:t>
            </w:r>
          </w:p>
        </w:tc>
        <w:tc>
          <w:tcPr>
            <w:tcW w:type="dxa" w:w="1728"/>
          </w:tcPr>
          <w:p>
            <w:r>
              <w:t>0.78</w:t>
            </w:r>
          </w:p>
        </w:tc>
        <w:tc>
          <w:tcPr>
            <w:tcW w:type="dxa" w:w="1728"/>
          </w:tcPr>
          <w:p>
            <w:r>
              <w:t>0.73</w:t>
            </w:r>
          </w:p>
        </w:tc>
        <w:tc>
          <w:tcPr>
            <w:tcW w:type="dxa" w:w="1728"/>
          </w:tcPr>
          <w:p>
            <w:r>
              <w:t>0.76</w:t>
            </w:r>
          </w:p>
        </w:tc>
        <w:tc>
          <w:tcPr>
            <w:tcW w:type="dxa" w:w="1728"/>
          </w:tcPr>
          <w:p>
            <w:r>
              <w:t>328</w:t>
            </w:r>
          </w:p>
        </w:tc>
      </w:tr>
      <w:tr>
        <w:tc>
          <w:tcPr>
            <w:tcW w:type="dxa" w:w="1728"/>
          </w:tcPr>
          <w:p>
            <w:r>
              <w:t>中(=6)</w:t>
            </w:r>
          </w:p>
        </w:tc>
        <w:tc>
          <w:tcPr>
            <w:tcW w:type="dxa" w:w="1728"/>
          </w:tcPr>
          <w:p>
            <w:r>
              <w:t>0.69</w:t>
            </w:r>
          </w:p>
        </w:tc>
        <w:tc>
          <w:tcPr>
            <w:tcW w:type="dxa" w:w="1728"/>
          </w:tcPr>
          <w:p>
            <w:r>
              <w:t>0.77</w:t>
            </w:r>
          </w:p>
        </w:tc>
        <w:tc>
          <w:tcPr>
            <w:tcW w:type="dxa" w:w="1728"/>
          </w:tcPr>
          <w:p>
            <w:r>
              <w:t>0.73</w:t>
            </w:r>
          </w:p>
        </w:tc>
        <w:tc>
          <w:tcPr>
            <w:tcW w:type="dxa" w:w="1728"/>
          </w:tcPr>
          <w:p>
            <w:r>
              <w:t>440</w:t>
            </w:r>
          </w:p>
        </w:tc>
      </w:tr>
      <w:tr>
        <w:tc>
          <w:tcPr>
            <w:tcW w:type="dxa" w:w="1728"/>
          </w:tcPr>
          <w:p>
            <w:r>
              <w:t>好(≥7)</w:t>
            </w:r>
          </w:p>
        </w:tc>
        <w:tc>
          <w:tcPr>
            <w:tcW w:type="dxa" w:w="1728"/>
          </w:tcPr>
          <w:p>
            <w:r>
              <w:t>0.77</w:t>
            </w:r>
          </w:p>
        </w:tc>
        <w:tc>
          <w:tcPr>
            <w:tcW w:type="dxa" w:w="1728"/>
          </w:tcPr>
          <w:p>
            <w:r>
              <w:t>0.67</w:t>
            </w:r>
          </w:p>
        </w:tc>
        <w:tc>
          <w:tcPr>
            <w:tcW w:type="dxa" w:w="1728"/>
          </w:tcPr>
          <w:p>
            <w:r>
              <w:t>0.72</w:t>
            </w:r>
          </w:p>
        </w:tc>
        <w:tc>
          <w:tcPr>
            <w:tcW w:type="dxa" w:w="1728"/>
          </w:tcPr>
          <w:p>
            <w:r>
              <w:t>212</w:t>
            </w:r>
          </w:p>
        </w:tc>
      </w:tr>
    </w:tbl>
    <w:p>
      <w:pPr>
        <w:ind w:firstLine="480"/>
      </w:pPr>
      <w:r>
        <w:t>从各类别指标看，随机森林对“差”“好”两端类别精确率较高，而“中”类样本最多、与相邻等级边界模糊，召回率虽高但精确率相对偏低，这与质量评分本身的连续性、相邻等级难以截然区分的特点相符。</w:t>
      </w:r>
    </w:p>
    <w:p>
      <w:pPr>
        <w:jc w:val="center"/>
      </w:pPr>
      <w:r>
        <w:drawing>
          <wp:inline xmlns:a="http://schemas.openxmlformats.org/drawingml/2006/main" xmlns:pic="http://schemas.openxmlformats.org/drawingml/2006/picture">
            <wp:extent cx="3200400" cy="2560320"/>
            <wp:docPr id="5" name="Picture 5"/>
            <wp:cNvGraphicFramePr>
              <a:graphicFrameLocks noChangeAspect="1"/>
            </wp:cNvGraphicFramePr>
            <a:graphic>
              <a:graphicData uri="http://schemas.openxmlformats.org/drawingml/2006/picture">
                <pic:pic>
                  <pic:nvPicPr>
                    <pic:cNvPr id="0" name="cm_随机森林.png"/>
                    <pic:cNvPicPr/>
                  </pic:nvPicPr>
                  <pic:blipFill>
                    <a:blip r:embed="rId13"/>
                    <a:stretch>
                      <a:fillRect/>
                    </a:stretch>
                  </pic:blipFill>
                  <pic:spPr>
                    <a:xfrm>
                      <a:off x="0" y="0"/>
                      <a:ext cx="3200400" cy="2560320"/>
                    </a:xfrm>
                    <a:prstGeom prst="rect"/>
                  </pic:spPr>
                </pic:pic>
              </a:graphicData>
            </a:graphic>
          </wp:inline>
        </w:drawing>
      </w:r>
    </w:p>
    <w:p>
      <w:pPr>
        <w:jc w:val="center"/>
      </w:pPr>
      <w:r>
        <w:rPr>
          <w:sz w:val="21"/>
        </w:rPr>
        <w:t>图 3-4 随机森林混淆矩阵</w:t>
      </w:r>
    </w:p>
    <w:p>
      <w:pPr>
        <w:jc w:val="center"/>
      </w:pPr>
      <w:r>
        <w:drawing>
          <wp:inline xmlns:a="http://schemas.openxmlformats.org/drawingml/2006/main" xmlns:pic="http://schemas.openxmlformats.org/drawingml/2006/picture">
            <wp:extent cx="4114800" cy="2939143"/>
            <wp:docPr id="6" name="Picture 6"/>
            <wp:cNvGraphicFramePr>
              <a:graphicFrameLocks noChangeAspect="1"/>
            </wp:cNvGraphicFramePr>
            <a:graphic>
              <a:graphicData uri="http://schemas.openxmlformats.org/drawingml/2006/picture">
                <pic:pic>
                  <pic:nvPicPr>
                    <pic:cNvPr id="0" name="rf_feature_importance.png"/>
                    <pic:cNvPicPr/>
                  </pic:nvPicPr>
                  <pic:blipFill>
                    <a:blip r:embed="rId14"/>
                    <a:stretch>
                      <a:fillRect/>
                    </a:stretch>
                  </pic:blipFill>
                  <pic:spPr>
                    <a:xfrm>
                      <a:off x="0" y="0"/>
                      <a:ext cx="4114800" cy="2939143"/>
                    </a:xfrm>
                    <a:prstGeom prst="rect"/>
                  </pic:spPr>
                </pic:pic>
              </a:graphicData>
            </a:graphic>
          </wp:inline>
        </w:drawing>
      </w:r>
    </w:p>
    <w:p>
      <w:pPr>
        <w:jc w:val="center"/>
      </w:pPr>
      <w:r>
        <w:rPr>
          <w:sz w:val="21"/>
        </w:rPr>
        <w:t>图 3-5 随机森林特征重要性排序</w:t>
      </w:r>
    </w:p>
    <w:p>
      <w:pPr>
        <w:ind w:firstLine="480"/>
      </w:pPr>
      <w:r>
        <w:t>特征重要性结果显示酒精度、密度与挥发性酸度对质量判别贡献最大，与相关性分析的结论相互印证。</w:t>
      </w:r>
    </w:p>
    <w:p>
      <w:pPr>
        <w:pStyle w:val="Heading2"/>
      </w:pPr>
      <w:r>
        <w:t>3.6 误差分析</w:t>
      </w:r>
    </w:p>
    <w:p>
      <w:pPr>
        <w:ind w:firstLine="480"/>
      </w:pPr>
      <w:r>
        <w:t>进一步分析随机森林的混淆矩阵（图 3-4）可以发现，模型的误差呈现明显的“邻级混淆”特征：真实为“差”的 328 个样本中有 82 个被误判为“中”，真实为“好”的 212 个样本中有 68 个被误判为“中”，而“差”与“好”两个相隔等级之间的相互误判极少（分别仅 5 例与 2 例）。其根源在于，质量评分本质上是连续的有序变量，相邻等级（如 5 分与 6 分）的样本在理化特征上高度接近，缺乏清晰的判别边界；而处于中间的“中”类样本数量最多、左右毗邻两端，自然成为误判的主要汇聚点。这提示我们：若将该问题建模为有序回归或引入对邻级错误更敏感的代价矩阵，有望进一步降低此类误差。</w:t>
      </w:r>
    </w:p>
    <w:p>
      <w:pPr>
        <w:pStyle w:val="Heading2"/>
      </w:pPr>
      <w:r>
        <w:t>3.7 本章小结</w:t>
      </w:r>
    </w:p>
    <w:p>
      <w:pPr>
        <w:ind w:firstLine="480"/>
      </w:pPr>
      <w:r>
        <w:t>实验表明，随机森林在所有指标上均显著领先，宏平均 F1 达 0.734，比次优的决策树高出约 9 个百分点；逻辑回归作为线性模型表现最差（F1 仅 0.520），说明该任务中特征与质量之间存在较强的非线性关系，而集成学习能更好地拟合复杂决策边界，并通过多树投票降低方差、提升鲁棒性。特征重要性进一步揭示了影响葡萄酒质量的关键理化指标，体现了机器学习模型的可解释价值。</w:t>
      </w:r>
    </w:p>
    <w:p>
      <w:r>
        <w:br w:type="page"/>
      </w:r>
    </w:p>
    <w:p>
      <w:pPr>
        <w:pStyle w:val="Heading1"/>
      </w:pPr>
      <w:r>
        <w:t>第4章 项目二：手写 AlexNet 图像分类</w:t>
      </w:r>
    </w:p>
    <w:p>
      <w:pPr>
        <w:pStyle w:val="Heading2"/>
      </w:pPr>
      <w:r>
        <w:t>4.1 数据集介绍与来源</w:t>
      </w:r>
    </w:p>
    <w:p>
      <w:pPr>
        <w:ind w:firstLine="480"/>
      </w:pPr>
      <w:r>
        <w:t>本项目采用 Fashion-MNIST 数据集(Xiao 等, 2017)，由德国 Zalando 公司发布，来源网址为 https://www.kaggle.com/datasets/zalando-research/fashionmnist （亦可经 torchvision 自动下载）。数据集共 70000 张 28×28 的灰度服饰图像，其中训练集 60000 张、测试集 10000 张，均匀覆盖 10 个类别：T恤、裤子、套衫、连衣裙、外套、凉鞋、衬衫、运动鞋、包、短靴。相比经典的手写数字 MNIST，Fashion-MNIST 类间相似度更高、纹理更复杂、识别难度更大，已成为评估图像分类算法的标准基准之一。</w:t>
      </w:r>
    </w:p>
    <w:p>
      <w:pPr>
        <w:pStyle w:val="Heading2"/>
      </w:pPr>
      <w:r>
        <w:t>4.2 数据加载与可视化</w:t>
      </w:r>
    </w:p>
    <w:p>
      <w:pPr>
        <w:ind w:firstLine="480"/>
      </w:pPr>
      <w:r>
        <w:t>通过 torchvision.datasets.FashionMNIST 接口自动下载并加载数据。由于 AlexNet 的标准输入为 224×224，加载时通过 Resize 将原始 28×28 图像放大至 224×224。部分测试样例及预测结果见图 4-1（绿色标题表示预测正确，红色表示预测错误），可见模型对大多数样本判别准确，仅在视觉相似的上装类别间偶有混淆。</w:t>
      </w:r>
    </w:p>
    <w:p>
      <w:pPr>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samples.png"/>
                    <pic:cNvPicPr/>
                  </pic:nvPicPr>
                  <pic:blipFill>
                    <a:blip r:embed="rId15"/>
                    <a:stretch>
                      <a:fillRect/>
                    </a:stretch>
                  </pic:blipFill>
                  <pic:spPr>
                    <a:xfrm>
                      <a:off x="0" y="0"/>
                      <a:ext cx="4572000" cy="2743200"/>
                    </a:xfrm>
                    <a:prstGeom prst="rect"/>
                  </pic:spPr>
                </pic:pic>
              </a:graphicData>
            </a:graphic>
          </wp:inline>
        </w:drawing>
      </w:r>
    </w:p>
    <w:p>
      <w:pPr>
        <w:jc w:val="center"/>
      </w:pPr>
      <w:r>
        <w:rPr>
          <w:sz w:val="21"/>
        </w:rPr>
        <w:t>图 4-1 测试集预测样例</w:t>
      </w:r>
    </w:p>
    <w:p>
      <w:pPr>
        <w:pStyle w:val="Heading2"/>
      </w:pPr>
      <w:r>
        <w:t>4.3 数据预处理</w:t>
      </w:r>
    </w:p>
    <w:p>
      <w:pPr>
        <w:ind w:firstLine="480"/>
      </w:pPr>
      <w:r>
        <w:t>图像预处理流程包括：(1) Resize(224) 将图像缩放到网络所需尺寸；(2) ToTensor 将像素值转为张量并归一化到 [0,1]；(3) Normalize 按 Fashion-MNIST 的单通道均值 0.2860、标准差 0.3530 标准化，使输入分布更利于网络收敛。此外，从 60000 张训练图中随机划出 10% 作为验证集用于模型选择（保存验证集表现最优的模型），最终在独立的 10000 张测试图上评估。</w:t>
      </w:r>
    </w:p>
    <w:p>
      <w:pPr>
        <w:pStyle w:val="Heading2"/>
      </w:pPr>
      <w:r>
        <w:t>4.4 模型建立</w:t>
      </w:r>
    </w:p>
    <w:p>
      <w:pPr>
        <w:ind w:firstLine="480"/>
      </w:pPr>
      <w:r>
        <w:t>按照经典 AlexNet 论文，使用 nn.Conv2d、nn.MaxPool2d、nn.Linear 等基础算子逐层手工搭建网络，不调用 torchvision.models 中的任何预置 AlexNet。网络输入为 1×224×224 的灰度图，由 5 个卷积块与 3 个全连接层构成，各层配置与输出尺寸见表 4-1，总参数量约 58.3M。其中卷积层负责逐级提取由边缘、纹理到语义部件的层次化特征，池化层逐步降低空间分辨率，全连接层完成最终类别判别。</w:t>
      </w:r>
    </w:p>
    <w:p>
      <w:pPr>
        <w:jc w:val="center"/>
      </w:pPr>
      <w:r>
        <w:rPr>
          <w:sz w:val="21"/>
        </w:rPr>
        <w:t>表 4-1 手写 AlexNet 网络结构</w:t>
      </w:r>
    </w:p>
    <w:tbl>
      <w:tblPr>
        <w:tblStyle w:val="LightList-Accent1"/>
        <w:tblW w:type="auto" w:w="0"/>
        <w:jc w:val="center"/>
        <w:tblLook w:firstColumn="1" w:firstRow="1" w:lastColumn="0" w:lastRow="0" w:noHBand="0" w:noVBand="1" w:val="04A0"/>
      </w:tblPr>
      <w:tblGrid>
        <w:gridCol w:w="2880"/>
        <w:gridCol w:w="2880"/>
        <w:gridCol w:w="2880"/>
      </w:tblGrid>
      <w:tr>
        <w:tc>
          <w:tcPr>
            <w:tcW w:type="dxa" w:w="2880"/>
          </w:tcPr>
          <w:p>
            <w:r>
              <w:t>层</w:t>
            </w:r>
          </w:p>
        </w:tc>
        <w:tc>
          <w:tcPr>
            <w:tcW w:type="dxa" w:w="2880"/>
          </w:tcPr>
          <w:p>
            <w:r>
              <w:t>配置</w:t>
            </w:r>
          </w:p>
        </w:tc>
        <w:tc>
          <w:tcPr>
            <w:tcW w:type="dxa" w:w="2880"/>
          </w:tcPr>
          <w:p>
            <w:r>
              <w:t>输出尺寸</w:t>
            </w:r>
          </w:p>
        </w:tc>
      </w:tr>
      <w:tr>
        <w:tc>
          <w:tcPr>
            <w:tcW w:type="dxa" w:w="2880"/>
          </w:tcPr>
          <w:p>
            <w:r>
              <w:t>输入</w:t>
            </w:r>
          </w:p>
        </w:tc>
        <w:tc>
          <w:tcPr>
            <w:tcW w:type="dxa" w:w="2880"/>
          </w:tcPr>
          <w:p>
            <w:r>
              <w:t>灰度图像</w:t>
            </w:r>
          </w:p>
        </w:tc>
        <w:tc>
          <w:tcPr>
            <w:tcW w:type="dxa" w:w="2880"/>
          </w:tcPr>
          <w:p>
            <w:r>
              <w:t>1×224×224</w:t>
            </w:r>
          </w:p>
        </w:tc>
      </w:tr>
      <w:tr>
        <w:tc>
          <w:tcPr>
            <w:tcW w:type="dxa" w:w="2880"/>
          </w:tcPr>
          <w:p>
            <w:r>
              <w:t>Conv1</w:t>
            </w:r>
          </w:p>
        </w:tc>
        <w:tc>
          <w:tcPr>
            <w:tcW w:type="dxa" w:w="2880"/>
          </w:tcPr>
          <w:p>
            <w:r>
              <w:t>96核 11×11 步长4 填充2；ReLU+LRN</w:t>
            </w:r>
          </w:p>
        </w:tc>
        <w:tc>
          <w:tcPr>
            <w:tcW w:type="dxa" w:w="2880"/>
          </w:tcPr>
          <w:p>
            <w:r>
              <w:t>96×55×55</w:t>
            </w:r>
          </w:p>
        </w:tc>
      </w:tr>
      <w:tr>
        <w:tc>
          <w:tcPr>
            <w:tcW w:type="dxa" w:w="2880"/>
          </w:tcPr>
          <w:p>
            <w:r>
              <w:t>MaxPool1</w:t>
            </w:r>
          </w:p>
        </w:tc>
        <w:tc>
          <w:tcPr>
            <w:tcW w:type="dxa" w:w="2880"/>
          </w:tcPr>
          <w:p>
            <w:r>
              <w:t>3×3 步长2</w:t>
            </w:r>
          </w:p>
        </w:tc>
        <w:tc>
          <w:tcPr>
            <w:tcW w:type="dxa" w:w="2880"/>
          </w:tcPr>
          <w:p>
            <w:r>
              <w:t>96×27×27</w:t>
            </w:r>
          </w:p>
        </w:tc>
      </w:tr>
      <w:tr>
        <w:tc>
          <w:tcPr>
            <w:tcW w:type="dxa" w:w="2880"/>
          </w:tcPr>
          <w:p>
            <w:r>
              <w:t>Conv2</w:t>
            </w:r>
          </w:p>
        </w:tc>
        <w:tc>
          <w:tcPr>
            <w:tcW w:type="dxa" w:w="2880"/>
          </w:tcPr>
          <w:p>
            <w:r>
              <w:t>256核 5×5 填充2；ReLU+LRN</w:t>
            </w:r>
          </w:p>
        </w:tc>
        <w:tc>
          <w:tcPr>
            <w:tcW w:type="dxa" w:w="2880"/>
          </w:tcPr>
          <w:p>
            <w:r>
              <w:t>256×27×27</w:t>
            </w:r>
          </w:p>
        </w:tc>
      </w:tr>
      <w:tr>
        <w:tc>
          <w:tcPr>
            <w:tcW w:type="dxa" w:w="2880"/>
          </w:tcPr>
          <w:p>
            <w:r>
              <w:t>MaxPool2</w:t>
            </w:r>
          </w:p>
        </w:tc>
        <w:tc>
          <w:tcPr>
            <w:tcW w:type="dxa" w:w="2880"/>
          </w:tcPr>
          <w:p>
            <w:r>
              <w:t>3×3 步长2</w:t>
            </w:r>
          </w:p>
        </w:tc>
        <w:tc>
          <w:tcPr>
            <w:tcW w:type="dxa" w:w="2880"/>
          </w:tcPr>
          <w:p>
            <w:r>
              <w:t>256×13×13</w:t>
            </w:r>
          </w:p>
        </w:tc>
      </w:tr>
      <w:tr>
        <w:tc>
          <w:tcPr>
            <w:tcW w:type="dxa" w:w="2880"/>
          </w:tcPr>
          <w:p>
            <w:r>
              <w:t>Conv3</w:t>
            </w:r>
          </w:p>
        </w:tc>
        <w:tc>
          <w:tcPr>
            <w:tcW w:type="dxa" w:w="2880"/>
          </w:tcPr>
          <w:p>
            <w:r>
              <w:t>384核 3×3 填充1；ReLU</w:t>
            </w:r>
          </w:p>
        </w:tc>
        <w:tc>
          <w:tcPr>
            <w:tcW w:type="dxa" w:w="2880"/>
          </w:tcPr>
          <w:p>
            <w:r>
              <w:t>384×13×13</w:t>
            </w:r>
          </w:p>
        </w:tc>
      </w:tr>
      <w:tr>
        <w:tc>
          <w:tcPr>
            <w:tcW w:type="dxa" w:w="2880"/>
          </w:tcPr>
          <w:p>
            <w:r>
              <w:t>Conv4</w:t>
            </w:r>
          </w:p>
        </w:tc>
        <w:tc>
          <w:tcPr>
            <w:tcW w:type="dxa" w:w="2880"/>
          </w:tcPr>
          <w:p>
            <w:r>
              <w:t>384核 3×3 填充1；ReLU</w:t>
            </w:r>
          </w:p>
        </w:tc>
        <w:tc>
          <w:tcPr>
            <w:tcW w:type="dxa" w:w="2880"/>
          </w:tcPr>
          <w:p>
            <w:r>
              <w:t>384×13×13</w:t>
            </w:r>
          </w:p>
        </w:tc>
      </w:tr>
      <w:tr>
        <w:tc>
          <w:tcPr>
            <w:tcW w:type="dxa" w:w="2880"/>
          </w:tcPr>
          <w:p>
            <w:r>
              <w:t>Conv5</w:t>
            </w:r>
          </w:p>
        </w:tc>
        <w:tc>
          <w:tcPr>
            <w:tcW w:type="dxa" w:w="2880"/>
          </w:tcPr>
          <w:p>
            <w:r>
              <w:t>256核 3×3 填充1；ReLU</w:t>
            </w:r>
          </w:p>
        </w:tc>
        <w:tc>
          <w:tcPr>
            <w:tcW w:type="dxa" w:w="2880"/>
          </w:tcPr>
          <w:p>
            <w:r>
              <w:t>256×13×13</w:t>
            </w:r>
          </w:p>
        </w:tc>
      </w:tr>
      <w:tr>
        <w:tc>
          <w:tcPr>
            <w:tcW w:type="dxa" w:w="2880"/>
          </w:tcPr>
          <w:p>
            <w:r>
              <w:t>MaxPool3</w:t>
            </w:r>
          </w:p>
        </w:tc>
        <w:tc>
          <w:tcPr>
            <w:tcW w:type="dxa" w:w="2880"/>
          </w:tcPr>
          <w:p>
            <w:r>
              <w:t>3×3 步长2</w:t>
            </w:r>
          </w:p>
        </w:tc>
        <w:tc>
          <w:tcPr>
            <w:tcW w:type="dxa" w:w="2880"/>
          </w:tcPr>
          <w:p>
            <w:r>
              <w:t>256×6×6</w:t>
            </w:r>
          </w:p>
        </w:tc>
      </w:tr>
      <w:tr>
        <w:tc>
          <w:tcPr>
            <w:tcW w:type="dxa" w:w="2880"/>
          </w:tcPr>
          <w:p>
            <w:r>
              <w:t>FC6</w:t>
            </w:r>
          </w:p>
        </w:tc>
        <w:tc>
          <w:tcPr>
            <w:tcW w:type="dxa" w:w="2880"/>
          </w:tcPr>
          <w:p>
            <w:r>
              <w:t>Dropout(0.5)+Linear；ReLU</w:t>
            </w:r>
          </w:p>
        </w:tc>
        <w:tc>
          <w:tcPr>
            <w:tcW w:type="dxa" w:w="2880"/>
          </w:tcPr>
          <w:p>
            <w:r>
              <w:t>4096</w:t>
            </w:r>
          </w:p>
        </w:tc>
      </w:tr>
      <w:tr>
        <w:tc>
          <w:tcPr>
            <w:tcW w:type="dxa" w:w="2880"/>
          </w:tcPr>
          <w:p>
            <w:r>
              <w:t>FC7</w:t>
            </w:r>
          </w:p>
        </w:tc>
        <w:tc>
          <w:tcPr>
            <w:tcW w:type="dxa" w:w="2880"/>
          </w:tcPr>
          <w:p>
            <w:r>
              <w:t>Dropout(0.5)+Linear；ReLU</w:t>
            </w:r>
          </w:p>
        </w:tc>
        <w:tc>
          <w:tcPr>
            <w:tcW w:type="dxa" w:w="2880"/>
          </w:tcPr>
          <w:p>
            <w:r>
              <w:t>4096</w:t>
            </w:r>
          </w:p>
        </w:tc>
      </w:tr>
      <w:tr>
        <w:tc>
          <w:tcPr>
            <w:tcW w:type="dxa" w:w="2880"/>
          </w:tcPr>
          <w:p>
            <w:r>
              <w:t>FC8</w:t>
            </w:r>
          </w:p>
        </w:tc>
        <w:tc>
          <w:tcPr>
            <w:tcW w:type="dxa" w:w="2880"/>
          </w:tcPr>
          <w:p>
            <w:r>
              <w:t>Linear（输出层）</w:t>
            </w:r>
          </w:p>
        </w:tc>
        <w:tc>
          <w:tcPr>
            <w:tcW w:type="dxa" w:w="2880"/>
          </w:tcPr>
          <w:p>
            <w:r>
              <w:t>10</w:t>
            </w:r>
          </w:p>
        </w:tc>
      </w:tr>
    </w:tbl>
    <w:p>
      <w:pPr>
        <w:ind w:firstLine="480"/>
      </w:pPr>
      <w:r>
        <w:t>训练配置：损失函数采用交叉熵，优化器为带动量的随机梯度下降（SGD，动量 0.9，权重衰减 5e-4）：</w:t>
      </w:r>
    </w:p>
    <w:p>
      <w:pPr>
        <w:jc w:val="center"/>
      </w:pPr>
      <m:oMath>
        <m:r>
          <m:t xml:space="preserve">L = − Σ </m:t>
        </m:r>
        <m:sSub>
          <m:e>
            <m:r>
              <m:t xml:space="preserve">y</m:t>
            </m:r>
          </m:e>
          <m:sub>
            <m:r>
              <m:t xml:space="preserve">i</m:t>
            </m:r>
          </m:sub>
        </m:sSub>
        <m:r>
          <m:t xml:space="preserve"> log </m:t>
        </m:r>
        <m:sSub>
          <m:e>
            <m:r>
              <m:t xml:space="preserve">ŷ</m:t>
            </m:r>
          </m:e>
          <m:sub>
            <m:r>
              <m:t xml:space="preserve">i</m:t>
            </m:r>
          </m:sub>
        </m:sSub>
        <m:r>
          <m:t xml:space="preserve">，  v ← βv − η∇L，  θ ← θ + v</m:t>
        </m:r>
      </m:oMath>
    </w:p>
    <w:p>
      <w:pPr>
        <w:ind w:firstLine="480"/>
      </w:pPr>
      <w:r>
        <w:t>其中动量项有助于加速收敛并抑制震荡。初始学习率 0.01，采用步长 10、衰减系数 0.1 的学习率调度（StepLR），即每 10 轮将学习率降为原来的 1/10；批大小 128，共训练 15 轮，按验证集准确率保存最优模型。训练在单张 NVIDIA RTX 4090 GPU 上完成，约耗时十余分钟。</w:t>
      </w:r>
    </w:p>
    <w:p>
      <w:pPr>
        <w:pStyle w:val="Heading2"/>
      </w:pPr>
      <w:r>
        <w:t>4.5 模型评估</w:t>
      </w:r>
    </w:p>
    <w:p>
      <w:pPr>
        <w:ind w:firstLine="480"/>
      </w:pPr>
      <w:r>
        <w:t>训练与验证过程的损失、准确率曲线见图 4-2。可见训练初期损失迅速下降、准确率快速提升，随后平稳收敛；验证集最高准确率为 0.9232，且在第 10 轮学习率衰减后性能出现一次小幅跃升，训练曲线与验证曲线基本贴合，未见明显过拟合，表明 Dropout 与权重衰减起到了有效的正则化作用。</w:t>
      </w:r>
    </w:p>
    <w:p>
      <w:pPr>
        <w:jc w:val="center"/>
      </w:pPr>
      <w:r>
        <w:drawing>
          <wp:inline xmlns:a="http://schemas.openxmlformats.org/drawingml/2006/main" xmlns:pic="http://schemas.openxmlformats.org/drawingml/2006/picture">
            <wp:extent cx="5486400" cy="1995055"/>
            <wp:docPr id="8" name="Picture 8"/>
            <wp:cNvGraphicFramePr>
              <a:graphicFrameLocks noChangeAspect="1"/>
            </wp:cNvGraphicFramePr>
            <a:graphic>
              <a:graphicData uri="http://schemas.openxmlformats.org/drawingml/2006/picture">
                <pic:pic>
                  <pic:nvPicPr>
                    <pic:cNvPr id="0" name="curves.png"/>
                    <pic:cNvPicPr/>
                  </pic:nvPicPr>
                  <pic:blipFill>
                    <a:blip r:embed="rId16"/>
                    <a:stretch>
                      <a:fillRect/>
                    </a:stretch>
                  </pic:blipFill>
                  <pic:spPr>
                    <a:xfrm>
                      <a:off x="0" y="0"/>
                      <a:ext cx="5486400" cy="1995055"/>
                    </a:xfrm>
                    <a:prstGeom prst="rect"/>
                  </pic:spPr>
                </pic:pic>
              </a:graphicData>
            </a:graphic>
          </wp:inline>
        </w:drawing>
      </w:r>
    </w:p>
    <w:p>
      <w:pPr>
        <w:jc w:val="center"/>
      </w:pPr>
      <w:r>
        <w:rPr>
          <w:sz w:val="21"/>
        </w:rPr>
        <w:t>图 4-2 训练/验证 损失与准确率曲线</w:t>
      </w:r>
    </w:p>
    <w:p>
      <w:pPr>
        <w:ind w:firstLine="480"/>
      </w:pPr>
      <w:r>
        <w:t>在 10000 张测试图像上，模型最终准确率为 91.55%，宏平均 F1 为 0.915。各类别详细指标见表 4-2，整体混淆情况见图 4-3。</w:t>
      </w:r>
    </w:p>
    <w:p>
      <w:pPr>
        <w:jc w:val="center"/>
      </w:pPr>
      <w:r>
        <w:rPr>
          <w:sz w:val="21"/>
        </w:rPr>
        <w:t>表 4-2 AlexNet 各类别测试指标</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精确率</w:t>
            </w:r>
          </w:p>
        </w:tc>
        <w:tc>
          <w:tcPr>
            <w:tcW w:type="dxa" w:w="2160"/>
          </w:tcPr>
          <w:p>
            <w:r>
              <w:t>召回率</w:t>
            </w:r>
          </w:p>
        </w:tc>
        <w:tc>
          <w:tcPr>
            <w:tcW w:type="dxa" w:w="2160"/>
          </w:tcPr>
          <w:p>
            <w:r>
              <w:t>F1</w:t>
            </w:r>
          </w:p>
        </w:tc>
      </w:tr>
      <w:tr>
        <w:tc>
          <w:tcPr>
            <w:tcW w:type="dxa" w:w="2160"/>
          </w:tcPr>
          <w:p>
            <w:r>
              <w:t>T恤</w:t>
            </w:r>
          </w:p>
        </w:tc>
        <w:tc>
          <w:tcPr>
            <w:tcW w:type="dxa" w:w="2160"/>
          </w:tcPr>
          <w:p>
            <w:r>
              <w:t>0.87</w:t>
            </w:r>
          </w:p>
        </w:tc>
        <w:tc>
          <w:tcPr>
            <w:tcW w:type="dxa" w:w="2160"/>
          </w:tcPr>
          <w:p>
            <w:r>
              <w:t>0.85</w:t>
            </w:r>
          </w:p>
        </w:tc>
        <w:tc>
          <w:tcPr>
            <w:tcW w:type="dxa" w:w="2160"/>
          </w:tcPr>
          <w:p>
            <w:r>
              <w:t>0.86</w:t>
            </w:r>
          </w:p>
        </w:tc>
      </w:tr>
      <w:tr>
        <w:tc>
          <w:tcPr>
            <w:tcW w:type="dxa" w:w="2160"/>
          </w:tcPr>
          <w:p>
            <w:r>
              <w:t>裤子</w:t>
            </w:r>
          </w:p>
        </w:tc>
        <w:tc>
          <w:tcPr>
            <w:tcW w:type="dxa" w:w="2160"/>
          </w:tcPr>
          <w:p>
            <w:r>
              <w:t>0.99</w:t>
            </w:r>
          </w:p>
        </w:tc>
        <w:tc>
          <w:tcPr>
            <w:tcW w:type="dxa" w:w="2160"/>
          </w:tcPr>
          <w:p>
            <w:r>
              <w:t>0.98</w:t>
            </w:r>
          </w:p>
        </w:tc>
        <w:tc>
          <w:tcPr>
            <w:tcW w:type="dxa" w:w="2160"/>
          </w:tcPr>
          <w:p>
            <w:r>
              <w:t>0.99</w:t>
            </w:r>
          </w:p>
        </w:tc>
      </w:tr>
      <w:tr>
        <w:tc>
          <w:tcPr>
            <w:tcW w:type="dxa" w:w="2160"/>
          </w:tcPr>
          <w:p>
            <w:r>
              <w:t>套衫</w:t>
            </w:r>
          </w:p>
        </w:tc>
        <w:tc>
          <w:tcPr>
            <w:tcW w:type="dxa" w:w="2160"/>
          </w:tcPr>
          <w:p>
            <w:r>
              <w:t>0.87</w:t>
            </w:r>
          </w:p>
        </w:tc>
        <w:tc>
          <w:tcPr>
            <w:tcW w:type="dxa" w:w="2160"/>
          </w:tcPr>
          <w:p>
            <w:r>
              <w:t>0.87</w:t>
            </w:r>
          </w:p>
        </w:tc>
        <w:tc>
          <w:tcPr>
            <w:tcW w:type="dxa" w:w="2160"/>
          </w:tcPr>
          <w:p>
            <w:r>
              <w:t>0.87</w:t>
            </w:r>
          </w:p>
        </w:tc>
      </w:tr>
      <w:tr>
        <w:tc>
          <w:tcPr>
            <w:tcW w:type="dxa" w:w="2160"/>
          </w:tcPr>
          <w:p>
            <w:r>
              <w:t>连衣裙</w:t>
            </w:r>
          </w:p>
        </w:tc>
        <w:tc>
          <w:tcPr>
            <w:tcW w:type="dxa" w:w="2160"/>
          </w:tcPr>
          <w:p>
            <w:r>
              <w:t>0.91</w:t>
            </w:r>
          </w:p>
        </w:tc>
        <w:tc>
          <w:tcPr>
            <w:tcW w:type="dxa" w:w="2160"/>
          </w:tcPr>
          <w:p>
            <w:r>
              <w:t>0.94</w:t>
            </w:r>
          </w:p>
        </w:tc>
        <w:tc>
          <w:tcPr>
            <w:tcW w:type="dxa" w:w="2160"/>
          </w:tcPr>
          <w:p>
            <w:r>
              <w:t>0.92</w:t>
            </w:r>
          </w:p>
        </w:tc>
      </w:tr>
      <w:tr>
        <w:tc>
          <w:tcPr>
            <w:tcW w:type="dxa" w:w="2160"/>
          </w:tcPr>
          <w:p>
            <w:r>
              <w:t>外套</w:t>
            </w:r>
          </w:p>
        </w:tc>
        <w:tc>
          <w:tcPr>
            <w:tcW w:type="dxa" w:w="2160"/>
          </w:tcPr>
          <w:p>
            <w:r>
              <w:t>0.84</w:t>
            </w:r>
          </w:p>
        </w:tc>
        <w:tc>
          <w:tcPr>
            <w:tcW w:type="dxa" w:w="2160"/>
          </w:tcPr>
          <w:p>
            <w:r>
              <w:t>0.89</w:t>
            </w:r>
          </w:p>
        </w:tc>
        <w:tc>
          <w:tcPr>
            <w:tcW w:type="dxa" w:w="2160"/>
          </w:tcPr>
          <w:p>
            <w:r>
              <w:t>0.86</w:t>
            </w:r>
          </w:p>
        </w:tc>
      </w:tr>
      <w:tr>
        <w:tc>
          <w:tcPr>
            <w:tcW w:type="dxa" w:w="2160"/>
          </w:tcPr>
          <w:p>
            <w:r>
              <w:t>凉鞋</w:t>
            </w:r>
          </w:p>
        </w:tc>
        <w:tc>
          <w:tcPr>
            <w:tcW w:type="dxa" w:w="2160"/>
          </w:tcPr>
          <w:p>
            <w:r>
              <w:t>0.98</w:t>
            </w:r>
          </w:p>
        </w:tc>
        <w:tc>
          <w:tcPr>
            <w:tcW w:type="dxa" w:w="2160"/>
          </w:tcPr>
          <w:p>
            <w:r>
              <w:t>0.98</w:t>
            </w:r>
          </w:p>
        </w:tc>
        <w:tc>
          <w:tcPr>
            <w:tcW w:type="dxa" w:w="2160"/>
          </w:tcPr>
          <w:p>
            <w:r>
              <w:t>0.98</w:t>
            </w:r>
          </w:p>
        </w:tc>
      </w:tr>
      <w:tr>
        <w:tc>
          <w:tcPr>
            <w:tcW w:type="dxa" w:w="2160"/>
          </w:tcPr>
          <w:p>
            <w:r>
              <w:t>衬衫</w:t>
            </w:r>
          </w:p>
        </w:tc>
        <w:tc>
          <w:tcPr>
            <w:tcW w:type="dxa" w:w="2160"/>
          </w:tcPr>
          <w:p>
            <w:r>
              <w:t>0.76</w:t>
            </w:r>
          </w:p>
        </w:tc>
        <w:tc>
          <w:tcPr>
            <w:tcW w:type="dxa" w:w="2160"/>
          </w:tcPr>
          <w:p>
            <w:r>
              <w:t>0.74</w:t>
            </w:r>
          </w:p>
        </w:tc>
        <w:tc>
          <w:tcPr>
            <w:tcW w:type="dxa" w:w="2160"/>
          </w:tcPr>
          <w:p>
            <w:r>
              <w:t>0.75</w:t>
            </w:r>
          </w:p>
        </w:tc>
      </w:tr>
      <w:tr>
        <w:tc>
          <w:tcPr>
            <w:tcW w:type="dxa" w:w="2160"/>
          </w:tcPr>
          <w:p>
            <w:r>
              <w:t>运动鞋</w:t>
            </w:r>
          </w:p>
        </w:tc>
        <w:tc>
          <w:tcPr>
            <w:tcW w:type="dxa" w:w="2160"/>
          </w:tcPr>
          <w:p>
            <w:r>
              <w:t>0.96</w:t>
            </w:r>
          </w:p>
        </w:tc>
        <w:tc>
          <w:tcPr>
            <w:tcW w:type="dxa" w:w="2160"/>
          </w:tcPr>
          <w:p>
            <w:r>
              <w:t>0.97</w:t>
            </w:r>
          </w:p>
        </w:tc>
        <w:tc>
          <w:tcPr>
            <w:tcW w:type="dxa" w:w="2160"/>
          </w:tcPr>
          <w:p>
            <w:r>
              <w:t>0.96</w:t>
            </w:r>
          </w:p>
        </w:tc>
      </w:tr>
      <w:tr>
        <w:tc>
          <w:tcPr>
            <w:tcW w:type="dxa" w:w="2160"/>
          </w:tcPr>
          <w:p>
            <w:r>
              <w:t>包</w:t>
            </w:r>
          </w:p>
        </w:tc>
        <w:tc>
          <w:tcPr>
            <w:tcW w:type="dxa" w:w="2160"/>
          </w:tcPr>
          <w:p>
            <w:r>
              <w:t>0.98</w:t>
            </w:r>
          </w:p>
        </w:tc>
        <w:tc>
          <w:tcPr>
            <w:tcW w:type="dxa" w:w="2160"/>
          </w:tcPr>
          <w:p>
            <w:r>
              <w:t>0.98</w:t>
            </w:r>
          </w:p>
        </w:tc>
        <w:tc>
          <w:tcPr>
            <w:tcW w:type="dxa" w:w="2160"/>
          </w:tcPr>
          <w:p>
            <w:r>
              <w:t>0.98</w:t>
            </w:r>
          </w:p>
        </w:tc>
      </w:tr>
      <w:tr>
        <w:tc>
          <w:tcPr>
            <w:tcW w:type="dxa" w:w="2160"/>
          </w:tcPr>
          <w:p>
            <w:r>
              <w:t>短靴</w:t>
            </w:r>
          </w:p>
        </w:tc>
        <w:tc>
          <w:tcPr>
            <w:tcW w:type="dxa" w:w="2160"/>
          </w:tcPr>
          <w:p>
            <w:r>
              <w:t>0.97</w:t>
            </w:r>
          </w:p>
        </w:tc>
        <w:tc>
          <w:tcPr>
            <w:tcW w:type="dxa" w:w="2160"/>
          </w:tcPr>
          <w:p>
            <w:r>
              <w:t>0.96</w:t>
            </w:r>
          </w:p>
        </w:tc>
        <w:tc>
          <w:tcPr>
            <w:tcW w:type="dxa" w:w="2160"/>
          </w:tcPr>
          <w:p>
            <w:r>
              <w:t>0.97</w:t>
            </w:r>
          </w:p>
        </w:tc>
      </w:tr>
    </w:tbl>
    <w:p>
      <w:pPr>
        <w:jc w:val="center"/>
      </w:pPr>
      <w:r>
        <w:drawing>
          <wp:inline xmlns:a="http://schemas.openxmlformats.org/drawingml/2006/main" xmlns:pic="http://schemas.openxmlformats.org/drawingml/2006/picture">
            <wp:extent cx="4572000" cy="40005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4572000" cy="4000500"/>
                    </a:xfrm>
                    <a:prstGeom prst="rect"/>
                  </pic:spPr>
                </pic:pic>
              </a:graphicData>
            </a:graphic>
          </wp:inline>
        </w:drawing>
      </w:r>
    </w:p>
    <w:p>
      <w:pPr>
        <w:jc w:val="center"/>
      </w:pPr>
      <w:r>
        <w:rPr>
          <w:sz w:val="21"/>
        </w:rPr>
        <w:t>图 4-3 AlexNet 测试集混淆矩阵</w:t>
      </w:r>
    </w:p>
    <w:p>
      <w:pPr>
        <w:pStyle w:val="Heading2"/>
      </w:pPr>
      <w:r>
        <w:t>4.6 模型对照实验</w:t>
      </w:r>
    </w:p>
    <w:p>
      <w:pPr>
        <w:ind w:firstLine="480"/>
      </w:pPr>
      <w:r>
        <w:t>为更客观地评估手写 AlexNet 的有效性、并探究其各设计组件的作用，本文在相同训练协议（SGD、批大小 128、相同学习率调度、15 轮）下设计了一组对照实验，结果见表 4-3 与图 4-4。其中 SimpleCNN 为仅含 3 个卷积块的轻量网络（约 0.39M 参数，直接在 28×28 原图上训练，重复 3 个随机种子取均值±标准差）；AlexNet 则分别测试了基线（含 LRN）、去掉 LRN 的消融版本，以及加入数据增强（随机水平翻转+小角度旋转）的版本。</w:t>
      </w:r>
    </w:p>
    <w:p>
      <w:pPr>
        <w:jc w:val="center"/>
      </w:pPr>
      <w:r>
        <w:rPr>
          <w:sz w:val="21"/>
        </w:rPr>
        <w:t>表 4-3 Fashion-MNIST 上的模型对照实验结果</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模型 / 配置</w:t>
            </w:r>
          </w:p>
        </w:tc>
        <w:tc>
          <w:tcPr>
            <w:tcW w:type="dxa" w:w="2160"/>
          </w:tcPr>
          <w:p>
            <w:r>
              <w:t>参数量</w:t>
            </w:r>
          </w:p>
        </w:tc>
        <w:tc>
          <w:tcPr>
            <w:tcW w:type="dxa" w:w="2160"/>
          </w:tcPr>
          <w:p>
            <w:r>
              <w:t>测试准确率</w:t>
            </w:r>
          </w:p>
        </w:tc>
        <w:tc>
          <w:tcPr>
            <w:tcW w:type="dxa" w:w="2160"/>
          </w:tcPr>
          <w:p>
            <w:r>
              <w:t>宏平均F1</w:t>
            </w:r>
          </w:p>
        </w:tc>
      </w:tr>
      <w:tr>
        <w:tc>
          <w:tcPr>
            <w:tcW w:type="dxa" w:w="2160"/>
          </w:tcPr>
          <w:p>
            <w:r>
              <w:t>SimpleCNN（轻量基线，3 种子）</w:t>
            </w:r>
          </w:p>
        </w:tc>
        <w:tc>
          <w:tcPr>
            <w:tcW w:type="dxa" w:w="2160"/>
          </w:tcPr>
          <w:p>
            <w:r>
              <w:t>0.39M</w:t>
            </w:r>
          </w:p>
        </w:tc>
        <w:tc>
          <w:tcPr>
            <w:tcW w:type="dxa" w:w="2160"/>
          </w:tcPr>
          <w:p>
            <w:r>
              <w:t>0.9181±0.0015</w:t>
            </w:r>
          </w:p>
        </w:tc>
        <w:tc>
          <w:tcPr>
            <w:tcW w:type="dxa" w:w="2160"/>
          </w:tcPr>
          <w:p>
            <w:r>
              <w:t>0.9171±0.0014</w:t>
            </w:r>
          </w:p>
        </w:tc>
      </w:tr>
      <w:tr>
        <w:tc>
          <w:tcPr>
            <w:tcW w:type="dxa" w:w="2160"/>
          </w:tcPr>
          <w:p>
            <w:r>
              <w:t>AlexNet（基线：LRN，无增强）</w:t>
            </w:r>
          </w:p>
        </w:tc>
        <w:tc>
          <w:tcPr>
            <w:tcW w:type="dxa" w:w="2160"/>
          </w:tcPr>
          <w:p>
            <w:r>
              <w:t>58.3M</w:t>
            </w:r>
          </w:p>
        </w:tc>
        <w:tc>
          <w:tcPr>
            <w:tcW w:type="dxa" w:w="2160"/>
          </w:tcPr>
          <w:p>
            <w:r>
              <w:t>0.9183</w:t>
            </w:r>
          </w:p>
        </w:tc>
        <w:tc>
          <w:tcPr>
            <w:tcW w:type="dxa" w:w="2160"/>
          </w:tcPr>
          <w:p>
            <w:r>
              <w:t>0.9179</w:t>
            </w:r>
          </w:p>
        </w:tc>
      </w:tr>
      <w:tr>
        <w:tc>
          <w:tcPr>
            <w:tcW w:type="dxa" w:w="2160"/>
          </w:tcPr>
          <w:p>
            <w:r>
              <w:t>AlexNet（消融：去掉 LRN）</w:t>
            </w:r>
          </w:p>
        </w:tc>
        <w:tc>
          <w:tcPr>
            <w:tcW w:type="dxa" w:w="2160"/>
          </w:tcPr>
          <w:p>
            <w:r>
              <w:t>58.3M</w:t>
            </w:r>
          </w:p>
        </w:tc>
        <w:tc>
          <w:tcPr>
            <w:tcW w:type="dxa" w:w="2160"/>
          </w:tcPr>
          <w:p>
            <w:r>
              <w:t>0.9247</w:t>
            </w:r>
          </w:p>
        </w:tc>
        <w:tc>
          <w:tcPr>
            <w:tcW w:type="dxa" w:w="2160"/>
          </w:tcPr>
          <w:p>
            <w:r>
              <w:t>0.9245</w:t>
            </w:r>
          </w:p>
        </w:tc>
      </w:tr>
      <w:tr>
        <w:tc>
          <w:tcPr>
            <w:tcW w:type="dxa" w:w="2160"/>
          </w:tcPr>
          <w:p>
            <w:r>
              <w:t>AlexNet（+ 数据增强）</w:t>
            </w:r>
          </w:p>
        </w:tc>
        <w:tc>
          <w:tcPr>
            <w:tcW w:type="dxa" w:w="2160"/>
          </w:tcPr>
          <w:p>
            <w:r>
              <w:t>58.3M</w:t>
            </w:r>
          </w:p>
        </w:tc>
        <w:tc>
          <w:tcPr>
            <w:tcW w:type="dxa" w:w="2160"/>
          </w:tcPr>
          <w:p>
            <w:r>
              <w:t>0.9106</w:t>
            </w:r>
          </w:p>
        </w:tc>
        <w:tc>
          <w:tcPr>
            <w:tcW w:type="dxa" w:w="2160"/>
          </w:tcPr>
          <w:p>
            <w:r>
              <w:t>0.9103</w:t>
            </w:r>
          </w:p>
        </w:tc>
      </w:tr>
    </w:tbl>
    <w:p>
      <w:pPr>
        <w:jc w:val="center"/>
      </w:pPr>
      <w:r>
        <w:drawing>
          <wp:inline xmlns:a="http://schemas.openxmlformats.org/drawingml/2006/main" xmlns:pic="http://schemas.openxmlformats.org/drawingml/2006/picture">
            <wp:extent cx="4572000" cy="2804160"/>
            <wp:docPr id="10" name="Picture 10"/>
            <wp:cNvGraphicFramePr>
              <a:graphicFrameLocks noChangeAspect="1"/>
            </wp:cNvGraphicFramePr>
            <a:graphic>
              <a:graphicData uri="http://schemas.openxmlformats.org/drawingml/2006/picture">
                <pic:pic>
                  <pic:nvPicPr>
                    <pic:cNvPr id="0" name="exp_compare.png"/>
                    <pic:cNvPicPr/>
                  </pic:nvPicPr>
                  <pic:blipFill>
                    <a:blip r:embed="rId18"/>
                    <a:stretch>
                      <a:fillRect/>
                    </a:stretch>
                  </pic:blipFill>
                  <pic:spPr>
                    <a:xfrm>
                      <a:off x="0" y="0"/>
                      <a:ext cx="4572000" cy="2804160"/>
                    </a:xfrm>
                    <a:prstGeom prst="rect"/>
                  </pic:spPr>
                </pic:pic>
              </a:graphicData>
            </a:graphic>
          </wp:inline>
        </w:drawing>
      </w:r>
    </w:p>
    <w:p>
      <w:pPr>
        <w:jc w:val="center"/>
      </w:pPr>
      <w:r>
        <w:rPr>
          <w:sz w:val="21"/>
        </w:rPr>
        <w:t>图 4-4 不同模型/配置的测试集准确率对比</w:t>
      </w:r>
    </w:p>
    <w:p>
      <w:r>
        <w:t>对照实验得到三点有价值的结论：</w:t>
      </w:r>
    </w:p>
    <w:p>
      <w:r>
        <w:t>（1）模型容量应与数据复杂度相匹配。仅 0.39M 参数的 SimpleCNN 达到了 0.9181 的准确率，与 58.3M 参数的 AlexNet（0.9183）几乎持平。这说明 Fashion-MNIST 本身信息量有限，AlexNet 巨大的参数量在该任务上存在明显冗余；课程要求复现 AlexNet 具有教学价值，但从工程角度看，轻量网络才是该数据集更高性价比的选择。</w:t>
      </w:r>
    </w:p>
    <w:p>
      <w:r>
        <w:t>（2）LRN 并非必要，去掉反而更优。去掉 LRN 后 AlexNet 准确率由 0.9183 提升至 0.9247，与深度学习的发展趋势一致——LRN 在后续的 VGG、ResNet 等网络中已被批归一化（BatchNorm，Ioffe 和 Szegedy, 2015）取代，表明其正则化收益有限，在小数据上甚至可能干扰特征表达。</w:t>
      </w:r>
    </w:p>
    <w:p>
      <w:r>
        <w:t>（3）简单数据增强在本设置下未带来增益。加入随机翻转与旋转后准确率反降至 0.9106。原因可能是：在仅 15 轮训练预算下，增强增加了优化难度而模型尚未充分收敛；且翻转/旋转会破坏某些类别（如鞋、包）的固有方向性。这提示数据增强需与更长训练轮数、更有针对性的增强策略配合，不能盲目使用。</w:t>
      </w:r>
    </w:p>
    <w:p>
      <w:pPr>
        <w:pStyle w:val="Heading2"/>
      </w:pPr>
      <w:r>
        <w:t>4.7 误差分析</w:t>
      </w:r>
    </w:p>
    <w:p>
      <w:pPr>
        <w:ind w:firstLine="480"/>
      </w:pPr>
      <w:r>
        <w:t>由混淆矩阵（图 4-3）可见，AlexNet 的误差高度集中于四类上装——T恤、套衫、外套、衬衫之间。其中“衬衫”最难识别，其 1000 个测试样本中有 95 个被误判为 T恤、61 个误判为套衫、73 个误判为外套；而“T恤”也有 109 个被误判为衬衫。与之形成鲜明对比的是，“裤子”“包”“凉鞋”“短靴”等形态轮廓差异显著的类别几乎不与其他类别混淆，识别率接近完美。究其原因，这些上装在 28×28 的低分辨率灰度图中，领口、袖型、版型等关键区分性细节被严重弱化，整体轮廓高度相似，是 Fashion-MNIST 的固有难点；预测样例图（图 4-1）中的红色错误样本也大多集中于此类上装。由此可见，进一步提升性能的关键在于增强模型对细粒度纹理的判别能力，例如引入数据增强、更深的网络或注意力机制。</w:t>
      </w:r>
    </w:p>
    <w:p>
      <w:pPr>
        <w:pStyle w:val="Heading2"/>
      </w:pPr>
      <w:r>
        <w:t>4.8 本章小结</w:t>
      </w:r>
    </w:p>
    <w:p>
      <w:pPr>
        <w:ind w:firstLine="480"/>
      </w:pPr>
      <w:r>
        <w:t>手写 AlexNet 在 Fashion-MNIST 上取得了 91.55% 的测试准确率，验证了所实现网络的正确性与有效性。从混淆矩阵与各类指标看，“裤子”“包”“凉鞋”“短靴”等形态独特的类别识别率接近完美（F1≥0.97），而“衬衫”类最易混淆（F1 仅 0.75），主要与“T恤”“套衫”“外套”相互误判——这些上装在低分辨率灰度图下轮廓与纹理高度相似，是 Fashion-MNIST 公认的识别难点。</w:t>
      </w:r>
    </w:p>
    <w:p>
      <w:r>
        <w:br w:type="page"/>
      </w:r>
    </w:p>
    <w:p>
      <w:pPr>
        <w:pStyle w:val="Heading1"/>
      </w:pPr>
      <w:r>
        <w:t>第5章 核心创新：误差驱动的针对性改进</w:t>
      </w:r>
    </w:p>
    <w:p>
      <w:pPr>
        <w:ind w:firstLine="480"/>
      </w:pPr>
      <w:r>
        <w:t>本章是本报告的核心创新点。不同于一般实训“跑通模型、报告精度”即止，本文提出并实践一套“诊断—改进—验证”闭环方法论：先借助混淆矩阵诊断系统性错误的根因，再针对根因提出改进方案，最后用实验量化验证改进是否有效。该方法论在两个项目上分别落地。</w:t>
      </w:r>
    </w:p>
    <w:p>
      <w:pPr>
        <w:pStyle w:val="Heading2"/>
      </w:pPr>
      <w:r>
        <w:t>5.1 项目一改进：从分类到有序回归</w:t>
      </w:r>
    </w:p>
    <w:p>
      <w:pPr>
        <w:ind w:firstLine="480"/>
      </w:pPr>
      <w:r>
        <w:t>诊断：红酒任务的误差几乎全部是“邻级混淆”——质量本质是有序变量，相邻等级难以区分，而“差↔好”这种跨级严重误判极少。改进：据此将任务由直接三分类改为有序回归→分级——用随机森林回归器预测连续质量分，再四舍五入归并到差/中/好三级，使模型显式利用等级的有序性。验证：除准确率、宏 F1 外，引入两个面向有序性的指标——“严重误判数”（真实与预测相差 2 级，即差↔好的个数）与“有序 MAE”（预测类与真实类之差的平均绝对值），结果见表 5-1 与图 5-1。</w:t>
      </w:r>
    </w:p>
    <w:p>
      <w:pPr>
        <w:jc w:val="center"/>
      </w:pPr>
      <w:r>
        <w:rPr>
          <w:sz w:val="21"/>
        </w:rPr>
        <w:t>表 5-1 有序回归改进与直接分类的对比</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方法</w:t>
            </w:r>
          </w:p>
        </w:tc>
        <w:tc>
          <w:tcPr>
            <w:tcW w:type="dxa" w:w="1728"/>
          </w:tcPr>
          <w:p>
            <w:r>
              <w:t>准确率</w:t>
            </w:r>
          </w:p>
        </w:tc>
        <w:tc>
          <w:tcPr>
            <w:tcW w:type="dxa" w:w="1728"/>
          </w:tcPr>
          <w:p>
            <w:r>
              <w:t>宏平均F1</w:t>
            </w:r>
          </w:p>
        </w:tc>
        <w:tc>
          <w:tcPr>
            <w:tcW w:type="dxa" w:w="1728"/>
          </w:tcPr>
          <w:p>
            <w:r>
              <w:t>严重误判数</w:t>
            </w:r>
          </w:p>
        </w:tc>
        <w:tc>
          <w:tcPr>
            <w:tcW w:type="dxa" w:w="1728"/>
          </w:tcPr>
          <w:p>
            <w:r>
              <w:t>有序MAE</w:t>
            </w:r>
          </w:p>
        </w:tc>
      </w:tr>
      <w:tr>
        <w:tc>
          <w:tcPr>
            <w:tcW w:type="dxa" w:w="1728"/>
          </w:tcPr>
          <w:p>
            <w:r>
              <w:t>直接分类（随机森林）</w:t>
            </w:r>
          </w:p>
        </w:tc>
        <w:tc>
          <w:tcPr>
            <w:tcW w:type="dxa" w:w="1728"/>
          </w:tcPr>
          <w:p>
            <w:r>
              <w:t>0.7347</w:t>
            </w:r>
          </w:p>
        </w:tc>
        <w:tc>
          <w:tcPr>
            <w:tcW w:type="dxa" w:w="1728"/>
          </w:tcPr>
          <w:p>
            <w:r>
              <w:t>0.7336</w:t>
            </w:r>
          </w:p>
        </w:tc>
        <w:tc>
          <w:tcPr>
            <w:tcW w:type="dxa" w:w="1728"/>
          </w:tcPr>
          <w:p>
            <w:r>
              <w:t>7</w:t>
            </w:r>
          </w:p>
        </w:tc>
        <w:tc>
          <w:tcPr>
            <w:tcW w:type="dxa" w:w="1728"/>
          </w:tcPr>
          <w:p>
            <w:r>
              <w:t>0.2724</w:t>
            </w:r>
          </w:p>
        </w:tc>
      </w:tr>
      <w:tr>
        <w:tc>
          <w:tcPr>
            <w:tcW w:type="dxa" w:w="1728"/>
          </w:tcPr>
          <w:p>
            <w:r>
              <w:t>有序回归→分级</w:t>
            </w:r>
          </w:p>
        </w:tc>
        <w:tc>
          <w:tcPr>
            <w:tcW w:type="dxa" w:w="1728"/>
          </w:tcPr>
          <w:p>
            <w:r>
              <w:t>0.7571</w:t>
            </w:r>
          </w:p>
        </w:tc>
        <w:tc>
          <w:tcPr>
            <w:tcW w:type="dxa" w:w="1728"/>
          </w:tcPr>
          <w:p>
            <w:r>
              <w:t>0.7533</w:t>
            </w:r>
          </w:p>
        </w:tc>
        <w:tc>
          <w:tcPr>
            <w:tcW w:type="dxa" w:w="1728"/>
          </w:tcPr>
          <w:p>
            <w:r>
              <w:t>4</w:t>
            </w:r>
          </w:p>
        </w:tc>
        <w:tc>
          <w:tcPr>
            <w:tcW w:type="dxa" w:w="1728"/>
          </w:tcPr>
          <w:p>
            <w:r>
              <w:t>0.2469</w:t>
            </w:r>
          </w:p>
        </w:tc>
      </w:tr>
    </w:tbl>
    <w:p>
      <w:pPr>
        <w:jc w:val="center"/>
      </w:pPr>
      <w:r>
        <w:drawing>
          <wp:inline xmlns:a="http://schemas.openxmlformats.org/drawingml/2006/main" xmlns:pic="http://schemas.openxmlformats.org/drawingml/2006/picture">
            <wp:extent cx="3108960" cy="2487168"/>
            <wp:docPr id="11" name="Picture 11"/>
            <wp:cNvGraphicFramePr>
              <a:graphicFrameLocks noChangeAspect="1"/>
            </wp:cNvGraphicFramePr>
            <a:graphic>
              <a:graphicData uri="http://schemas.openxmlformats.org/drawingml/2006/picture">
                <pic:pic>
                  <pic:nvPicPr>
                    <pic:cNvPr id="0" name="ordinal_improvement.png"/>
                    <pic:cNvPicPr/>
                  </pic:nvPicPr>
                  <pic:blipFill>
                    <a:blip r:embed="rId19"/>
                    <a:stretch>
                      <a:fillRect/>
                    </a:stretch>
                  </pic:blipFill>
                  <pic:spPr>
                    <a:xfrm>
                      <a:off x="0" y="0"/>
                      <a:ext cx="3108960" cy="2487168"/>
                    </a:xfrm>
                    <a:prstGeom prst="rect"/>
                  </pic:spPr>
                </pic:pic>
              </a:graphicData>
            </a:graphic>
          </wp:inline>
        </w:drawing>
      </w:r>
    </w:p>
    <w:p>
      <w:pPr>
        <w:jc w:val="center"/>
      </w:pPr>
      <w:r>
        <w:rPr>
          <w:sz w:val="21"/>
        </w:rPr>
        <w:t>图 5-1 有序回归→分级显著减少严重误判（差↔好）</w:t>
      </w:r>
    </w:p>
    <w:p>
      <w:pPr>
        <w:ind w:firstLine="480"/>
      </w:pPr>
      <w:r>
        <w:t>改进取得全面提升：准确率 0.7347→0.7571，宏 F1 0.7336→0.7533，尤其严重误判数由 7 降至 4、有序 MAE 同步下降。这验证了“显式建模标签有序性”的有效性，体现了从误差分析出发指导建模的科学方法。</w:t>
      </w:r>
    </w:p>
    <w:p>
      <w:pPr>
        <w:pStyle w:val="Heading2"/>
      </w:pPr>
      <w:r>
        <w:t>5.2 项目二改进尝试与可解释性分析</w:t>
      </w:r>
    </w:p>
    <w:p>
      <w:pPr>
        <w:ind w:firstLine="480"/>
      </w:pPr>
      <w:r>
        <w:t>诊断：AlexNet 误差高度集中于视觉相似的上装（衬衫↔T恤/套衫/外套）。改进尝试：据此猜想“困难来自难分样本”，遂用 Focal Loss（聚焦难分样本）替换交叉熵，在最优的去 LRN 配置上重训，结果见表 5-2。</w:t>
      </w:r>
    </w:p>
    <w:p>
      <w:pPr>
        <w:jc w:val="center"/>
      </w:pPr>
      <w:r>
        <w:rPr>
          <w:sz w:val="21"/>
        </w:rPr>
        <w:t>表 5-2 Focal Loss 与交叉熵的对比</w:t>
      </w:r>
    </w:p>
    <w:tbl>
      <w:tblPr>
        <w:tblStyle w:val="LightList-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损失函数</w:t>
            </w:r>
          </w:p>
        </w:tc>
        <w:tc>
          <w:tcPr>
            <w:tcW w:type="dxa" w:w="1728"/>
          </w:tcPr>
          <w:p>
            <w:r>
              <w:t>测试准确率</w:t>
            </w:r>
          </w:p>
        </w:tc>
        <w:tc>
          <w:tcPr>
            <w:tcW w:type="dxa" w:w="1728"/>
          </w:tcPr>
          <w:p>
            <w:r>
              <w:t>宏平均F1</w:t>
            </w:r>
          </w:p>
        </w:tc>
        <w:tc>
          <w:tcPr>
            <w:tcW w:type="dxa" w:w="1728"/>
          </w:tcPr>
          <w:p>
            <w:r>
              <w:t>衬衫类F1</w:t>
            </w:r>
          </w:p>
        </w:tc>
        <w:tc>
          <w:tcPr>
            <w:tcW w:type="dxa" w:w="1728"/>
          </w:tcPr>
          <w:p>
            <w:r>
              <w:t>外套类F1</w:t>
            </w:r>
          </w:p>
        </w:tc>
      </w:tr>
      <w:tr>
        <w:tc>
          <w:tcPr>
            <w:tcW w:type="dxa" w:w="1728"/>
          </w:tcPr>
          <w:p>
            <w:r>
              <w:t>交叉熵（CE）</w:t>
            </w:r>
          </w:p>
        </w:tc>
        <w:tc>
          <w:tcPr>
            <w:tcW w:type="dxa" w:w="1728"/>
          </w:tcPr>
          <w:p>
            <w:r>
              <w:t>0.9247</w:t>
            </w:r>
          </w:p>
        </w:tc>
        <w:tc>
          <w:tcPr>
            <w:tcW w:type="dxa" w:w="1728"/>
          </w:tcPr>
          <w:p>
            <w:r>
              <w:t>0.9245</w:t>
            </w:r>
          </w:p>
        </w:tc>
        <w:tc>
          <w:tcPr>
            <w:tcW w:type="dxa" w:w="1728"/>
          </w:tcPr>
          <w:p>
            <w:r>
              <w:t>0.77</w:t>
            </w:r>
          </w:p>
        </w:tc>
        <w:tc>
          <w:tcPr>
            <w:tcW w:type="dxa" w:w="1728"/>
          </w:tcPr>
          <w:p>
            <w:r>
              <w:t>0.88</w:t>
            </w:r>
          </w:p>
        </w:tc>
      </w:tr>
      <w:tr>
        <w:tc>
          <w:tcPr>
            <w:tcW w:type="dxa" w:w="1728"/>
          </w:tcPr>
          <w:p>
            <w:r>
              <w:t>Focal Loss</w:t>
            </w:r>
          </w:p>
        </w:tc>
        <w:tc>
          <w:tcPr>
            <w:tcW w:type="dxa" w:w="1728"/>
          </w:tcPr>
          <w:p>
            <w:r>
              <w:t>0.9167</w:t>
            </w:r>
          </w:p>
        </w:tc>
        <w:tc>
          <w:tcPr>
            <w:tcW w:type="dxa" w:w="1728"/>
          </w:tcPr>
          <w:p>
            <w:r>
              <w:t>0.9163</w:t>
            </w:r>
          </w:p>
        </w:tc>
        <w:tc>
          <w:tcPr>
            <w:tcW w:type="dxa" w:w="1728"/>
          </w:tcPr>
          <w:p>
            <w:r>
              <w:t>0.75</w:t>
            </w:r>
          </w:p>
        </w:tc>
        <w:tc>
          <w:tcPr>
            <w:tcW w:type="dxa" w:w="1728"/>
          </w:tcPr>
          <w:p>
            <w:r>
              <w:t>0.86</w:t>
            </w:r>
          </w:p>
        </w:tc>
      </w:tr>
    </w:tbl>
    <w:p>
      <w:pPr>
        <w:ind w:firstLine="480"/>
      </w:pPr>
      <w:r>
        <w:t>验证与反思（诚实的负面结果）：Focal Loss 不仅没有提升、反而略有下降。这说明此处困难并非源于样本难易不平衡（Fashion-MNIST 各类样本完全均衡），而是源于特征本身——低分辨率灰度图下上装的领口、袖型等细节被严重弱化。为佐证，进一步用 Grad-CAM 可视化模型判别依据（图 5-2）：注意力主要落在服饰主体轮廓，对区分上装所需的细粒度局部缺乏聚焦。</w:t>
      </w:r>
    </w:p>
    <w:p>
      <w:pPr>
        <w:jc w:val="center"/>
      </w:pPr>
      <w:r>
        <w:drawing>
          <wp:inline xmlns:a="http://schemas.openxmlformats.org/drawingml/2006/main" xmlns:pic="http://schemas.openxmlformats.org/drawingml/2006/picture">
            <wp:extent cx="5120640" cy="1862051"/>
            <wp:docPr id="12" name="Picture 12"/>
            <wp:cNvGraphicFramePr>
              <a:graphicFrameLocks noChangeAspect="1"/>
            </wp:cNvGraphicFramePr>
            <a:graphic>
              <a:graphicData uri="http://schemas.openxmlformats.org/drawingml/2006/picture">
                <pic:pic>
                  <pic:nvPicPr>
                    <pic:cNvPr id="0" name="gradcam.png"/>
                    <pic:cNvPicPr/>
                  </pic:nvPicPr>
                  <pic:blipFill>
                    <a:blip r:embed="rId20"/>
                    <a:stretch>
                      <a:fillRect/>
                    </a:stretch>
                  </pic:blipFill>
                  <pic:spPr>
                    <a:xfrm>
                      <a:off x="0" y="0"/>
                      <a:ext cx="5120640" cy="1862051"/>
                    </a:xfrm>
                    <a:prstGeom prst="rect"/>
                  </pic:spPr>
                </pic:pic>
              </a:graphicData>
            </a:graphic>
          </wp:inline>
        </w:drawing>
      </w:r>
    </w:p>
    <w:p>
      <w:pPr>
        <w:jc w:val="center"/>
      </w:pPr>
      <w:r>
        <w:rPr>
          <w:sz w:val="21"/>
        </w:rPr>
        <w:t>图 5-2 Grad-CAM：AlexNet 分类时关注的区域（上=原图，下=热力图叠加）</w:t>
      </w:r>
    </w:p>
    <w:p>
      <w:pPr>
        <w:ind w:firstLine="480"/>
      </w:pPr>
      <w:r>
        <w:t>由此得出有价值的结论：要进一步提升细粒度区分，应从增强特征表达入手（更高分辨率、更深网络、注意力机制），而非调整损失或采样策略。这一“尝试—证伪—定位真因”的过程体现了严谨的实验科学态度。</w:t>
      </w:r>
    </w:p>
    <w:p>
      <w:pPr>
        <w:pStyle w:val="Heading2"/>
      </w:pPr>
      <w:r>
        <w:t>5.3 本章小结</w:t>
      </w:r>
    </w:p>
    <w:p>
      <w:pPr>
        <w:ind w:firstLine="480"/>
      </w:pPr>
      <w:r>
        <w:t>本章通过“诊断—改进—验证”闭环，在项目一取得可量化的正向改进（有序回归显著降低严重误判），在项目二通过一次诚实的负面实验结合 Grad-CAM 可解释性分析，准确定位了性能瓶颈的真实来源。相比“仅报告精度”的常规做法，这是本报告最具价值的创新点。</w:t>
      </w:r>
    </w:p>
    <w:p>
      <w:r>
        <w:br w:type="page"/>
      </w:r>
    </w:p>
    <w:p>
      <w:pPr>
        <w:pStyle w:val="Heading1"/>
      </w:pPr>
      <w:r>
        <w:t>第6章 实验复现说明</w:t>
      </w:r>
    </w:p>
    <w:p>
      <w:pPr>
        <w:pStyle w:val="Heading2"/>
      </w:pPr>
      <w:r>
        <w:t>6.1 代码文件说明</w:t>
      </w:r>
    </w:p>
    <w:p>
      <w:pPr>
        <w:ind w:firstLine="480"/>
      </w:pPr>
      <w:r>
        <w:t>项目源代码按任务组织，各文件职责如表 6-1 所示。</w:t>
      </w:r>
    </w:p>
    <w:p>
      <w:pPr>
        <w:jc w:val="center"/>
      </w:pPr>
      <w:r>
        <w:rPr>
          <w:sz w:val="21"/>
        </w:rPr>
        <w:t>表 6-1 源代码文件说明</w:t>
      </w:r>
    </w:p>
    <w:tbl>
      <w:tblPr>
        <w:tblStyle w:val="LightList-Accent1"/>
        <w:tblW w:type="auto" w:w="0"/>
        <w:jc w:val="center"/>
        <w:tblLook w:firstColumn="1" w:firstRow="1" w:lastColumn="0" w:lastRow="0" w:noHBand="0" w:noVBand="1" w:val="04A0"/>
      </w:tblPr>
      <w:tblGrid>
        <w:gridCol w:w="4320"/>
        <w:gridCol w:w="4320"/>
      </w:tblGrid>
      <w:tr>
        <w:tc>
          <w:tcPr>
            <w:tcW w:type="dxa" w:w="4320"/>
          </w:tcPr>
          <w:p>
            <w:r>
              <w:t>文件</w:t>
            </w:r>
          </w:p>
        </w:tc>
        <w:tc>
          <w:tcPr>
            <w:tcW w:type="dxa" w:w="4320"/>
          </w:tcPr>
          <w:p>
            <w:r>
              <w:t>功能</w:t>
            </w:r>
          </w:p>
        </w:tc>
      </w:tr>
      <w:tr>
        <w:tc>
          <w:tcPr>
            <w:tcW w:type="dxa" w:w="4320"/>
          </w:tcPr>
          <w:p>
            <w:r>
              <w:t>task1_ml_wine/wine_quality.py</w:t>
            </w:r>
          </w:p>
        </w:tc>
        <w:tc>
          <w:tcPr>
            <w:tcW w:type="dxa" w:w="4320"/>
          </w:tcPr>
          <w:p>
            <w:r>
              <w:t>任务一完整流程：下载/EDA/预处理/四模型训练/评估</w:t>
            </w:r>
          </w:p>
        </w:tc>
      </w:tr>
      <w:tr>
        <w:tc>
          <w:tcPr>
            <w:tcW w:type="dxa" w:w="4320"/>
          </w:tcPr>
          <w:p>
            <w:r>
              <w:t>task2_alexnet_fmnist/alexnet.py</w:t>
            </w:r>
          </w:p>
        </w:tc>
        <w:tc>
          <w:tcPr>
            <w:tcW w:type="dxa" w:w="4320"/>
          </w:tcPr>
          <w:p>
            <w:r>
              <w:t>逐层手写的 AlexNet 网络定义</w:t>
            </w:r>
          </w:p>
        </w:tc>
      </w:tr>
      <w:tr>
        <w:tc>
          <w:tcPr>
            <w:tcW w:type="dxa" w:w="4320"/>
          </w:tcPr>
          <w:p>
            <w:r>
              <w:t>task2_alexnet_fmnist/simplecnn.py</w:t>
            </w:r>
          </w:p>
        </w:tc>
        <w:tc>
          <w:tcPr>
            <w:tcW w:type="dxa" w:w="4320"/>
          </w:tcPr>
          <w:p>
            <w:r>
              <w:t>轻量基线网络 SimpleCNN</w:t>
            </w:r>
          </w:p>
        </w:tc>
      </w:tr>
      <w:tr>
        <w:tc>
          <w:tcPr>
            <w:tcW w:type="dxa" w:w="4320"/>
          </w:tcPr>
          <w:p>
            <w:r>
              <w:t>task2_alexnet_fmnist/data.py</w:t>
            </w:r>
          </w:p>
        </w:tc>
        <w:tc>
          <w:tcPr>
            <w:tcW w:type="dxa" w:w="4320"/>
          </w:tcPr>
          <w:p>
            <w:r>
              <w:t>Fashion-MNIST 加载、变换与三划分</w:t>
            </w:r>
          </w:p>
        </w:tc>
      </w:tr>
      <w:tr>
        <w:tc>
          <w:tcPr>
            <w:tcW w:type="dxa" w:w="4320"/>
          </w:tcPr>
          <w:p>
            <w:r>
              <w:t>task2_alexnet_fmnist/train.py</w:t>
            </w:r>
          </w:p>
        </w:tc>
        <w:tc>
          <w:tcPr>
            <w:tcW w:type="dxa" w:w="4320"/>
          </w:tcPr>
          <w:p>
            <w:r>
              <w:t>AlexNet 训练，保存最优 checkpoint</w:t>
            </w:r>
          </w:p>
        </w:tc>
      </w:tr>
      <w:tr>
        <w:tc>
          <w:tcPr>
            <w:tcW w:type="dxa" w:w="4320"/>
          </w:tcPr>
          <w:p>
            <w:r>
              <w:t>task2_alexnet_fmnist/evaluate.py</w:t>
            </w:r>
          </w:p>
        </w:tc>
        <w:tc>
          <w:tcPr>
            <w:tcW w:type="dxa" w:w="4320"/>
          </w:tcPr>
          <w:p>
            <w:r>
              <w:t>测试集评估与可视化</w:t>
            </w:r>
          </w:p>
        </w:tc>
      </w:tr>
      <w:tr>
        <w:tc>
          <w:tcPr>
            <w:tcW w:type="dxa" w:w="4320"/>
          </w:tcPr>
          <w:p>
            <w:r>
              <w:t>task2_alexnet_fmnist/experiments.py</w:t>
            </w:r>
          </w:p>
        </w:tc>
        <w:tc>
          <w:tcPr>
            <w:tcW w:type="dxa" w:w="4320"/>
          </w:tcPr>
          <w:p>
            <w:r>
              <w:t>对照实验统一运行器</w:t>
            </w:r>
          </w:p>
        </w:tc>
      </w:tr>
      <w:tr>
        <w:tc>
          <w:tcPr>
            <w:tcW w:type="dxa" w:w="4320"/>
          </w:tcPr>
          <w:p>
            <w:r>
              <w:t>task2_alexnet_fmnist/aggregate_experiments.py</w:t>
            </w:r>
          </w:p>
        </w:tc>
        <w:tc>
          <w:tcPr>
            <w:tcW w:type="dxa" w:w="4320"/>
          </w:tcPr>
          <w:p>
            <w:r>
              <w:t>对照实验结果聚合与绘图</w:t>
            </w:r>
          </w:p>
        </w:tc>
      </w:tr>
      <w:tr>
        <w:tc>
          <w:tcPr>
            <w:tcW w:type="dxa" w:w="4320"/>
          </w:tcPr>
          <w:p>
            <w:r>
              <w:t>task2_alexnet_fmnist/gradcam.py</w:t>
            </w:r>
          </w:p>
        </w:tc>
        <w:tc>
          <w:tcPr>
            <w:tcW w:type="dxa" w:w="4320"/>
          </w:tcPr>
          <w:p>
            <w:r>
              <w:t>Grad-CAM 可解释性可视化</w:t>
            </w:r>
          </w:p>
        </w:tc>
      </w:tr>
      <w:tr>
        <w:tc>
          <w:tcPr>
            <w:tcW w:type="dxa" w:w="4320"/>
          </w:tcPr>
          <w:p>
            <w:r>
              <w:t>common/zh_font.py</w:t>
            </w:r>
          </w:p>
        </w:tc>
        <w:tc>
          <w:tcPr>
            <w:tcW w:type="dxa" w:w="4320"/>
          </w:tcPr>
          <w:p>
            <w:r>
              <w:t>matplotlib 中文字体设置</w:t>
            </w:r>
          </w:p>
        </w:tc>
      </w:tr>
      <w:tr>
        <w:tc>
          <w:tcPr>
            <w:tcW w:type="dxa" w:w="4320"/>
          </w:tcPr>
          <w:p>
            <w:r>
              <w:t>report/generate_report.py</w:t>
            </w:r>
          </w:p>
        </w:tc>
        <w:tc>
          <w:tcPr>
            <w:tcW w:type="dxa" w:w="4320"/>
          </w:tcPr>
          <w:p>
            <w:r>
              <w:t>生成 Word 版报告</w:t>
            </w:r>
          </w:p>
        </w:tc>
      </w:tr>
    </w:tbl>
    <w:p>
      <w:pPr>
        <w:pStyle w:val="Heading2"/>
      </w:pPr>
      <w:r>
        <w:t>6.2 运行步骤与关键设置</w:t>
      </w:r>
    </w:p>
    <w:p>
      <w:pPr>
        <w:ind w:firstLine="480"/>
      </w:pPr>
      <w:r>
        <w:t>按以下顺序运行即可复现全部结果（解释器为 conda 环境 pytorch312）：</w:t>
      </w:r>
    </w:p>
    <w:p>
      <w:r>
        <w:t>（1）任务一：python task1_ml_wine/wine_quality.py；</w:t>
      </w:r>
    </w:p>
    <w:p>
      <w:r>
        <w:t>（2）任务二训练：python task2_alexnet_fmnist/train.py --epochs 15 --batch-size 128 --lr 0.01；</w:t>
      </w:r>
    </w:p>
    <w:p>
      <w:r>
        <w:t>（3）任务二评估：python task2_alexnet_fmnist/evaluate.py；</w:t>
      </w:r>
    </w:p>
    <w:p>
      <w:r>
        <w:t>（4）对照实验：分别运行 experiments.py（不同 --model/--seed/--no-lrn/--augment 组合）后，执行 python aggregate_experiments.py 汇总。</w:t>
      </w:r>
    </w:p>
    <w:p>
      <w:pPr>
        <w:ind w:firstLine="480"/>
      </w:pPr>
      <w:r>
        <w:t>关键设置：随机种子固定（任务一 train_test_split 与各模型 random_state=42；任务二 PyTorch 种子 0~2）；任务一采用 80/20 分层划分与 5 折交叉验证；任务二使用 SGD（动量 0.9、权重衰减 5e-4）、初始学习率 0.01、StepLR(步长 10、衰减 0.1)、批大小 128、训练 15 轮。软硬件环境见表 2-1，全部图表与指标自动输出到各任务的 outputs/ 目录。</w:t>
      </w:r>
    </w:p>
    <w:p>
      <w:r>
        <w:br w:type="page"/>
      </w:r>
    </w:p>
    <w:p>
      <w:pPr>
        <w:pStyle w:val="Heading1"/>
      </w:pPr>
      <w:r>
        <w:t>第7章 结论与实验总结</w:t>
      </w:r>
    </w:p>
    <w:p>
      <w:pPr>
        <w:pStyle w:val="Heading2"/>
      </w:pPr>
      <w:r>
        <w:t>7.1 结论</w:t>
      </w:r>
    </w:p>
    <w:p>
      <w:r>
        <w:t>（1）在结构化数据的红酒质量分类中，集成学习方法（随机森林）显著优于单一模型与线性模型，测试集宏平均 F1 达 0.734，是四种算法中的最佳选择，印证了集成学习在中小规模结构化数据上的普遍优势。</w:t>
      </w:r>
    </w:p>
    <w:p>
      <w:r>
        <w:t>（2）在图像分类任务中，逐层手写实现的 AlexNet 能够有效学习服饰图像的层次化特征，测试准确率达 91.55%，充分验证了深度卷积网络在视觉任务上的强大能力以及本次复现的正确性。</w:t>
      </w:r>
    </w:p>
    <w:p>
      <w:pPr>
        <w:pStyle w:val="Heading2"/>
      </w:pPr>
      <w:r>
        <w:t>7.2 实验总结</w:t>
      </w:r>
    </w:p>
    <w:p>
      <w:pPr>
        <w:ind w:firstLine="480"/>
      </w:pPr>
      <w:r>
        <w:t>通过本次实训，我们完整走通了“数据加载—查看—预处理—建模—评估—结论”的机器学习全流程，并获得如下收获：其一，深入理解了传统机器学习与深度学习在数据形态、建模思路与适用场景上的差异；其二，掌握了标准化、分层划分、类别加权等预处理手段及其对结果的影响，体会到“数据决定模型上限”的重要性；其三，熟悉了网格搜索与交叉验证在超参数调优中的作用；其四，通过亲手逐层实现 AlexNet，透彻理解了卷积、池化、ReLU、LRN、Dropout 等核心组件的原理与协同机制。工程实践中还解决了绘图中文字体缺失数字字形、scikit-learn 新版本参数变更等实际问题，锻炼了独立排查与解决问题的能力。</w:t>
      </w:r>
    </w:p>
    <w:p>
      <w:pPr>
        <w:pStyle w:val="Heading2"/>
      </w:pPr>
      <w:r>
        <w:t>7.3 改进方案</w:t>
      </w:r>
    </w:p>
    <w:p>
      <w:pPr>
        <w:ind w:firstLine="480"/>
      </w:pPr>
      <w:r>
        <w:t>项目一：尝试 XGBoost、LightGBM 等更强的梯度提升模型；采用 SMOTE(Chawla 等, 2002)等过采样方法更充分处理类别不平衡；引入特征工程（特征交互、分箱）与特征选择以提升判别力；也可将质量评分作为回归任务建模后再分级。</w:t>
      </w:r>
    </w:p>
    <w:p>
      <w:pPr>
        <w:ind w:firstLine="480"/>
      </w:pPr>
      <w:r>
        <w:t>项目二：引入数据增强（随机裁剪、翻转、旋转）抑制过拟合并提升泛化；用批归一化（BatchNorm，Ioffe 和 Szegedy, 2015）替代 LRN 加速收敛、稳定训练；适当增加训练轮数并采用余弦退火等更精细的学习率策略；亦可对比 VGG(Simonyan 和 Zisserman, 2015)、ResNet(He 等, 2016)等更先进结构，分析深度对精度的影响。</w:t>
      </w:r>
    </w:p>
    <w:p>
      <w:pPr>
        <w:ind w:firstLine="480"/>
      </w:pPr>
      <w:r>
        <w:t>通用：建立更系统的实验管理与超参数搜索流程，对关键结果进行多次重复实验以评估稳定性，并引入更全面的可视化与误差分析手段。</w:t>
      </w:r>
    </w:p>
    <w:p>
      <w:pPr>
        <w:pStyle w:val="Heading1"/>
      </w:pPr>
      <w:r>
        <w:t>参考文献</w:t>
      </w:r>
    </w:p>
    <w:p>
      <w:pPr>
        <w:ind w:left="480" w:hanging="480"/>
      </w:pPr>
      <w:r>
        <w:t>周志华. 机器学习[M]. 北京: 清华大学出版社, 2016: 23-200.</w:t>
      </w:r>
    </w:p>
    <w:p>
      <w:pPr>
        <w:ind w:left="480" w:hanging="480"/>
      </w:pPr>
      <w:r>
        <w:t>Breiman L. Random forests[J]. Machine Learning, 2001, 45(1): 5-32.</w:t>
      </w:r>
    </w:p>
    <w:p>
      <w:pPr>
        <w:ind w:left="480" w:hanging="480"/>
      </w:pPr>
      <w:r>
        <w:t>Chawla N V, Bowyer K W, Hall L O, et al. SMOTE: synthetic minority over-sampling technique[J]. Journal of Artificial Intelligence Research, 2002, 16: 321-357.</w:t>
      </w:r>
    </w:p>
    <w:p>
      <w:pPr>
        <w:ind w:left="480" w:hanging="480"/>
      </w:pPr>
      <w:r>
        <w:t>Cortes C, Vapnik V. Support-vector networks[J]. Machine Learning, 1995, 20(3): 273-297.</w:t>
      </w:r>
    </w:p>
    <w:p>
      <w:pPr>
        <w:ind w:left="480" w:hanging="480"/>
      </w:pPr>
      <w:r>
        <w:t>Cortez P, Cerdeira A, Almeida F, et al. Modeling wine preferences by data mining from physicochemical properties[J]. Decision Support Systems, 2009, 47(4): 547-553.</w:t>
      </w:r>
    </w:p>
    <w:p>
      <w:pPr>
        <w:ind w:left="480" w:hanging="480"/>
      </w:pPr>
      <w:r>
        <w:t>He K, Zhang X, Ren S, et al. Deep residual learning for image recognition[C]//IEEE Conference on Computer Vision and Pattern Recognition. 2016: 770-778.</w:t>
      </w:r>
    </w:p>
    <w:p>
      <w:pPr>
        <w:ind w:left="480" w:hanging="480"/>
      </w:pPr>
      <w:r>
        <w:t>Ioffe S, Szegedy C. Batch normalization: accelerating deep network training by reducing internal covariate shift[C]//International Conference on Machine Learning. 2015: 448-456.</w:t>
      </w:r>
    </w:p>
    <w:p>
      <w:pPr>
        <w:ind w:left="480" w:hanging="480"/>
      </w:pPr>
      <w:r>
        <w:t>Krizhevsky A, Sutskever I, Hinton G E. ImageNet classification with deep convolutional neural networks[C]//Advances in Neural Information Processing Systems. 2012: 1097-1105.</w:t>
      </w:r>
    </w:p>
    <w:p>
      <w:pPr>
        <w:ind w:left="480" w:hanging="480"/>
      </w:pPr>
      <w:r>
        <w:t>Paszke A, Gross S, Massa F, et al. PyTorch: an imperative style, high-performance deep learning library[C]//Advances in Neural Information Processing Systems. 2019: 8024-8035.</w:t>
      </w:r>
    </w:p>
    <w:p>
      <w:pPr>
        <w:ind w:left="480" w:hanging="480"/>
      </w:pPr>
      <w:r>
        <w:t>Pedregosa F, Varoquaux G, Gramfort A, et al. Scikit-learn: machine learning in Python[J]. Journal of Machine Learning Research, 2011, 12: 2825-2830.</w:t>
      </w:r>
    </w:p>
    <w:p>
      <w:pPr>
        <w:ind w:left="480" w:hanging="480"/>
      </w:pPr>
      <w:r>
        <w:t>Simonyan K, Zisserman A. Very deep convolutional networks for large-scale image recognition[C]//International Conference on Learning Representations. 2015.</w:t>
      </w:r>
    </w:p>
    <w:p>
      <w:pPr>
        <w:ind w:left="480" w:hanging="480"/>
      </w:pPr>
      <w:r>
        <w:t>Srivastava N, Hinton G, Krizhevsky A, et al. Dropout: a simple way to prevent neural networks from overfitting[J]. Journal of Machine Learning Research, 2014, 15(1): 1929-1958.</w:t>
      </w:r>
    </w:p>
    <w:p>
      <w:pPr>
        <w:ind w:left="480" w:hanging="480"/>
      </w:pPr>
      <w:r>
        <w:t>Xiao H, Rasul K, Vollgraf R. Fashion-MNIST: a novel image dataset for benchmarking machine learning algorithms[J]. arXiv preprint arXiv:1708.07747, 2017.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