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小组成员：雷正、蔡铭飞、冼嘉谦</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0.915。两个项目完整覆盖了数据加载、可视化、预处理、模型建立、模型评估与结论分析的全流程，验证了集成学习在结构化数据上的优势以及深度卷积网络在图像识别上的有效性，并提出了若干改进方向。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Cortes 和 Vapnik（1995）正式提出，凭借坚实的统计学习理论基础和优秀的小样本泛化能力，长期是分类任务的重要工具；以随机森林（Breiman, 2001）、梯度提升树（GBDT、XGBoost、LightGBM）为代表的集成学习方法，通过组合多个弱学习器进一步提升了精度与鲁棒性，至今仍是结构化数据竞赛中的主流方案。在深度学习方面，Krizhevsky 等人（2012）提出的 AlexNet 在 ImageNet 竞赛中以显著优势夺冠，掀起了深度卷积网络的研究热潮；此后 VGG（Simonyan 和 Zisserman, 2015）、GoogLeNet、ResNet（He 等, 2016）等更深、更高效的网络结构相继涌现，不断刷新图像识别的精度上限。本实训以经典且最具代表性的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5649721"/>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5649721"/>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周志华, 2016）。</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支持向量机的基本思想是在特征空间中寻找一个最大间隔超平面以分隔不同类别，在约束 yᵢ(wᵀxᵢ+b) ≥ 1−ξᵢ 下，其优化目标为：</w:t>
      </w:r>
    </w:p>
    <w:p>
      <w:pPr>
        <w:jc w:val="center"/>
      </w:pPr>
      <m:oMath>
        <m:r>
          <m:t xml:space="preserve">min  </m:t>
        </m:r>
        <m:f>
          <m:num>
            <m:r>
              <m:t xml:space="preserve">1</m:t>
            </m:r>
          </m:num>
          <m:den>
            <m:r>
              <m:t xml:space="preserve">2</m:t>
            </m:r>
          </m:den>
        </m:f>
        <m:sSup>
          <m:e>
            <m:r>
              <m:t xml:space="preserve">‖w‖</m:t>
            </m:r>
          </m:e>
          <m:sup>
            <m:r>
              <m:t xml:space="preserve">2</m:t>
            </m:r>
          </m:sup>
        </m:sSup>
        <m:r>
          <m:t xml:space="preserve"> + C </m:t>
        </m:r>
        <m:r>
          <m:t xml:space="preserve">Σ</m:t>
        </m:r>
        <m:sSub>
          <m:e>
            <m:r>
              <m:t xml:space="preserve">ξ</m:t>
            </m:r>
          </m:e>
          <m:sub>
            <m:r>
              <m:t xml:space="preserve">i</m:t>
            </m:r>
          </m:sub>
        </m:sSub>
      </m:oMath>
    </w:p>
    <w:p>
      <w:pPr>
        <w:ind w:firstLine="480"/>
      </w:pPr>
      <w:r>
        <w:t>其中 C 为惩罚系数、ξᵢ 为松弛变量。对于非线性可分问题，SVM 通过核函数将样本映射到高维空间，本实训采用径向基（RBF）核：</w:t>
      </w:r>
    </w:p>
    <w:p>
      <w:pPr>
        <w:jc w:val="center"/>
      </w:pPr>
      <m:oMath>
        <m:r>
          <m:t xml:space="preserve">K(x, x′) = exp(−γ</m:t>
        </m:r>
        <m:sSup>
          <m:e>
            <m:r>
              <m:t xml:space="preserve">‖x−x′‖</m:t>
            </m:r>
          </m:e>
          <m:sup>
            <m:r>
              <m:t xml:space="preserve">2</m:t>
            </m:r>
          </m:sup>
        </m:sSup>
        <m:r>
          <m:t xml:space="preserve">)</m:t>
        </m:r>
      </m:oMath>
    </w:p>
    <w:p>
      <w:pPr>
        <w:pStyle w:val="Heading3"/>
      </w:pPr>
      <w:r>
        <w:t>2.2.2 决策树</w:t>
      </w:r>
    </w:p>
    <w:p>
      <w:pPr>
        <w:ind w:firstLine="480"/>
      </w:pPr>
      <w:r>
        <w:t>决策树通过递归地选择最优特征对样本空间进行划分，形成树状的判别结构。划分依据通常为基尼不纯度：</w:t>
      </w:r>
    </w:p>
    <w:p>
      <w:pPr>
        <w:jc w:val="center"/>
      </w:pPr>
      <m:oMath>
        <m:r>
          <m:t xml:space="preserve">Gini(D) = 1 − </m:t>
        </m:r>
        <m:r>
          <m:t xml:space="preserve">Σ</m:t>
        </m:r>
        <m:sSubSup>
          <m:e>
            <m:r>
              <m:t xml:space="preserve">p</m:t>
            </m:r>
          </m:e>
          <m:sub>
            <m:r>
              <m:t xml:space="preserve">k</m:t>
            </m:r>
          </m:sub>
          <m:sup>
            <m:r>
              <m:t xml:space="preserve">2</m:t>
            </m:r>
          </m:sup>
        </m:sSubSup>
      </m:oMath>
    </w:p>
    <w:p>
      <w:pPr>
        <w:ind w:firstLine="480"/>
      </w:pPr>
      <w:r>
        <w:t>其中 pₖ 为类别 k 在节点中的占比（周志华, 2016）。算法每次选择使子节点不纯度下降最大的特征进行分裂，具有良好的可解释性，但单棵树容易过拟合。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w:t>
      </w:r>
    </w:p>
    <w:p>
      <w:pPr>
        <w:jc w:val="center"/>
      </w:pPr>
      <m:oMath>
        <m:r>
          <m:t xml:space="preserve">P(y=k|x) = </m:t>
        </m:r>
        <m:f>
          <m:num>
            <m:sSup>
              <m:e>
                <m:r>
                  <m:t xml:space="preserve">e</m:t>
                </m:r>
              </m:e>
              <m:sup>
                <m:sSub>
                  <m:e>
                    <m:r>
                      <m:t xml:space="preserve">w</m:t>
                    </m:r>
                  </m:e>
                  <m:sub>
                    <m:r>
                      <m:t xml:space="preserve">k</m:t>
                    </m:r>
                  </m:sub>
                </m:sSub>
                <m:r>
                  <m:t xml:space="preserve">ᵀx</m:t>
                </m:r>
              </m:sup>
            </m:sSup>
          </m:num>
          <m:den>
            <m:r>
              <m:t xml:space="preserve">Σ</m:t>
            </m:r>
            <m:sSup>
              <m:e>
                <m:r>
                  <m:t xml:space="preserve">e</m:t>
                </m:r>
              </m:e>
              <m:sup>
                <m:sSub>
                  <m:e>
                    <m:r>
                      <m:t xml:space="preserve">w</m:t>
                    </m:r>
                  </m:e>
                  <m:sub>
                    <m:r>
                      <m:t xml:space="preserve">j</m:t>
                    </m:r>
                  </m:sub>
                </m:sSub>
                <m:r>
                  <m:t xml:space="preserve">ᵀx</m:t>
                </m:r>
              </m:sup>
            </m:sSup>
          </m:den>
        </m:f>
      </m:oMath>
    </w:p>
    <w:p>
      <w:pPr>
        <w:ind w:firstLine="480"/>
      </w:pPr>
      <w:r>
        <w:t>并以交叉熵为损失函数进行参数估计（周志华, 2016）。其结构简单、训练高效，常作为分类任务的基线模型。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P，输出尺寸计算见下式。</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（5）Dropout：训练时以一定概率随机置零神经元输出，有效抑制过拟合（Srivastava 等, 2014）。</w:t>
      </w:r>
    </w:p>
    <w:p>
      <w:r>
        <w:t>（6）全连接层：将提取到的高层特征映射到类别空间，输出分类结果。</w:t>
      </w:r>
    </w:p>
    <w:p>
      <w:pPr>
        <w:jc w:val="center"/>
      </w:pPr>
      <m:oMath>
        <m:r>
          <m:t xml:space="preserve">O = ⌊</m:t>
        </m:r>
        <m:f>
          <m:num>
            <m:r>
              <m:t xml:space="preserve">W − K + 2P</m:t>
            </m:r>
          </m:num>
          <m:den>
            <m:r>
              <m:t xml:space="preserve">S</m:t>
            </m:r>
          </m:den>
        </m:f>
        <m:r>
          <m:t xml:space="preserve">⌋ + 1</m:t>
        </m:r>
      </m:oMath>
    </w:p>
    <w:p>
      <w:pPr>
        <w:ind w:firstLine="480"/>
      </w:pPr>
      <w:r>
        <w:t>AlexNet（Krizhevsky 等, 2012）由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m:oMath>
        <m:r>
          <m:t xml:space="preserve">准确率 = </m:t>
        </m:r>
        <m:f>
          <m:num>
            <m:r>
              <m:t xml:space="preserve">TP + TN</m:t>
            </m:r>
          </m:num>
          <m:den>
            <m:r>
              <m:t xml:space="preserve">TP + TN + FP + FN</m:t>
            </m:r>
          </m:den>
        </m:f>
      </m:oMath>
    </w:p>
    <w:p>
      <w:pPr>
        <w:jc w:val="center"/>
      </w:pPr>
      <m:oMath>
        <m:r>
          <m:t xml:space="preserve">精确率 = </m:t>
        </m:r>
        <m:f>
          <m:num>
            <m:r>
              <m:t xml:space="preserve">TP</m:t>
            </m:r>
          </m:num>
          <m:den>
            <m:r>
              <m:t xml:space="preserve">TP + FP</m:t>
            </m:r>
          </m:den>
        </m:f>
        <m:r>
          <m:t xml:space="preserve">，  召回率 = </m:t>
        </m:r>
        <m:f>
          <m:num>
            <m:r>
              <m:t xml:space="preserve">TP</m:t>
            </m:r>
          </m:num>
          <m:den>
            <m:r>
              <m:t xml:space="preserve">TP + FN</m:t>
            </m:r>
          </m:den>
        </m:f>
      </m:oMath>
    </w:p>
    <w:p>
      <w:pPr>
        <w:jc w:val="center"/>
      </w:pPr>
      <m:oMath>
        <m:r>
          <m:t xml:space="preserve">F1 = </m:t>
        </m:r>
        <m:f>
          <m:num>
            <m:r>
              <m:t xml:space="preserve">2 × 精确率 × 召回率</m:t>
            </m:r>
          </m:num>
          <m:den>
            <m:r>
              <m:t xml:space="preserve">精确率 + 召回率</m:t>
            </m:r>
          </m:den>
        </m:f>
      </m:oMath>
    </w:p>
    <w:p>
      <w:pPr>
        <w:ind w:firstLine="480"/>
      </w:pPr>
      <w:r>
        <w:t>对于多分类问题，常计算各类别指标的算术平均，即宏平均（Macro-average），它对每个类别一视同仁，能更好地反映模型在不平衡数据上的综合表现（周志华, 2016）。混淆矩阵则以矩阵形式展示各类别的预测分布，可直观分析模型的混淆情况。</w:t>
      </w:r>
    </w:p>
    <w:p>
      <w:pPr>
        <w:pStyle w:val="Heading2"/>
      </w:pPr>
      <w:r>
        <w:t>2.5 实验环境配置</w:t>
      </w:r>
    </w:p>
    <w:p>
      <w:pPr>
        <w:ind w:firstLine="480"/>
      </w:pPr>
      <w:r>
        <w:t>本实训的全部实验均在同一硬件与软件环境下完成，具体配置如表 2-1 所示。项目一的机器学习模型基于 scikit-learn 实现，项目二的 AlexNet 基于 PyTorch 实现并使用 GPU 加速训练。</w:t>
      </w:r>
    </w:p>
    <w:p>
      <w:pPr>
        <w:jc w:val="center"/>
      </w:pPr>
      <w:r>
        <w:rPr>
          <w:sz w:val="21"/>
        </w:rPr>
        <w:t>表 2-1 实验环境配置</w:t>
      </w:r>
    </w:p>
    <w:tbl>
      <w:tblPr>
        <w:tblStyle w:val="LightList-Accent1"/>
        <w:tblW w:type="auto" w:w="0"/>
        <w:jc w:val="center"/>
        <w:tblLook w:firstColumn="1" w:firstRow="1" w:lastColumn="0" w:lastRow="0" w:noHBand="0" w:noVBand="1" w:val="04A0"/>
      </w:tblPr>
      <w:tblGrid>
        <w:gridCol w:w="4320"/>
        <w:gridCol w:w="4320"/>
      </w:tblGrid>
      <w:tr>
        <w:tc>
          <w:tcPr>
            <w:tcW w:type="dxa" w:w="4320"/>
          </w:tcPr>
          <w:p>
            <w:r>
              <w:t>项目</w:t>
            </w:r>
          </w:p>
        </w:tc>
        <w:tc>
          <w:tcPr>
            <w:tcW w:type="dxa" w:w="4320"/>
          </w:tcPr>
          <w:p>
            <w:r>
              <w:t>配置</w:t>
            </w:r>
          </w:p>
        </w:tc>
      </w:tr>
      <w:tr>
        <w:tc>
          <w:tcPr>
            <w:tcW w:type="dxa" w:w="4320"/>
          </w:tcPr>
          <w:p>
            <w:r>
              <w:t>操作系统</w:t>
            </w:r>
          </w:p>
        </w:tc>
        <w:tc>
          <w:tcPr>
            <w:tcW w:type="dxa" w:w="4320"/>
          </w:tcPr>
          <w:p>
            <w:r>
              <w:t>Linux (Ubuntu)</w:t>
            </w:r>
          </w:p>
        </w:tc>
      </w:tr>
      <w:tr>
        <w:tc>
          <w:tcPr>
            <w:tcW w:type="dxa" w:w="4320"/>
          </w:tcPr>
          <w:p>
            <w:r>
              <w:t>编程语言</w:t>
            </w:r>
          </w:p>
        </w:tc>
        <w:tc>
          <w:tcPr>
            <w:tcW w:type="dxa" w:w="4320"/>
          </w:tcPr>
          <w:p>
            <w:r>
              <w:t>Python 3.12</w:t>
            </w:r>
          </w:p>
        </w:tc>
      </w:tr>
      <w:tr>
        <w:tc>
          <w:tcPr>
            <w:tcW w:type="dxa" w:w="4320"/>
          </w:tcPr>
          <w:p>
            <w:r>
              <w:t>深度学习框架</w:t>
            </w:r>
          </w:p>
        </w:tc>
        <w:tc>
          <w:tcPr>
            <w:tcW w:type="dxa" w:w="4320"/>
          </w:tcPr>
          <w:p>
            <w:r>
              <w:t>PyTorch 2.7.1（CUDA 11.8）+ torchvision 0.22.1</w:t>
            </w:r>
          </w:p>
        </w:tc>
      </w:tr>
      <w:tr>
        <w:tc>
          <w:tcPr>
            <w:tcW w:type="dxa" w:w="4320"/>
          </w:tcPr>
          <w:p>
            <w:r>
              <w:t>机器学习库</w:t>
            </w:r>
          </w:p>
        </w:tc>
        <w:tc>
          <w:tcPr>
            <w:tcW w:type="dxa" w:w="4320"/>
          </w:tcPr>
          <w:p>
            <w:r>
              <w:t>scikit-learn 1.8.0</w:t>
            </w:r>
          </w:p>
        </w:tc>
      </w:tr>
      <w:tr>
        <w:tc>
          <w:tcPr>
            <w:tcW w:type="dxa" w:w="4320"/>
          </w:tcPr>
          <w:p>
            <w:r>
              <w:t>数据处理</w:t>
            </w:r>
          </w:p>
        </w:tc>
        <w:tc>
          <w:tcPr>
            <w:tcW w:type="dxa" w:w="4320"/>
          </w:tcPr>
          <w:p>
            <w:r>
              <w:t>pandas 3.0.2、numpy 2.4.3</w:t>
            </w:r>
          </w:p>
        </w:tc>
      </w:tr>
      <w:tr>
        <w:tc>
          <w:tcPr>
            <w:tcW w:type="dxa" w:w="4320"/>
          </w:tcPr>
          <w:p>
            <w:r>
              <w:t>可视化</w:t>
            </w:r>
          </w:p>
        </w:tc>
        <w:tc>
          <w:tcPr>
            <w:tcW w:type="dxa" w:w="4320"/>
          </w:tcPr>
          <w:p>
            <w:r>
              <w:t>matplotlib 3.10.8、seaborn</w:t>
            </w:r>
          </w:p>
        </w:tc>
      </w:tr>
      <w:tr>
        <w:tc>
          <w:tcPr>
            <w:tcW w:type="dxa" w:w="4320"/>
          </w:tcPr>
          <w:p>
            <w:r>
              <w:t>GPU</w:t>
            </w:r>
          </w:p>
        </w:tc>
        <w:tc>
          <w:tcPr>
            <w:tcW w:type="dxa" w:w="4320"/>
          </w:tcPr>
          <w:p>
            <w:r>
              <w:t>NVIDIA GeForce RTX 4090（24GB）</w:t>
            </w:r>
          </w:p>
        </w:tc>
      </w:tr>
    </w:tbl>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Set，Cortez 等, 2009），来源网址为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ind w:firstLine="480"/>
      </w:pPr>
      <w:r>
        <w:t>关于标签分箱的依据，表 3-2 给出了原始质量评分的完整分布及三分类归并方案。</w:t>
      </w:r>
    </w:p>
    <w:p>
      <w:pPr>
        <w:jc w:val="center"/>
      </w:pPr>
      <w:r>
        <w:rPr>
          <w:sz w:val="21"/>
        </w:rPr>
        <w:t>表 3-2 原始质量评分分布与三分类归并方案</w:t>
      </w:r>
    </w:p>
    <w:tbl>
      <w:tblPr>
        <w:tblStyle w:val="LightList-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原始评分</w:t>
            </w:r>
          </w:p>
        </w:tc>
        <w:tc>
          <w:tcPr>
            <w:tcW w:type="dxa" w:w="960"/>
          </w:tcPr>
          <w:p>
            <w:r>
              <w:t>3</w:t>
            </w:r>
          </w:p>
        </w:tc>
        <w:tc>
          <w:tcPr>
            <w:tcW w:type="dxa" w:w="960"/>
          </w:tcPr>
          <w:p>
            <w:r>
              <w:t>4</w:t>
            </w:r>
          </w:p>
        </w:tc>
        <w:tc>
          <w:tcPr>
            <w:tcW w:type="dxa" w:w="960"/>
          </w:tcPr>
          <w:p>
            <w:r>
              <w:t>5</w:t>
            </w:r>
          </w:p>
        </w:tc>
        <w:tc>
          <w:tcPr>
            <w:tcW w:type="dxa" w:w="960"/>
          </w:tcPr>
          <w:p>
            <w:r>
              <w:t>6</w:t>
            </w:r>
          </w:p>
        </w:tc>
        <w:tc>
          <w:tcPr>
            <w:tcW w:type="dxa" w:w="960"/>
          </w:tcPr>
          <w:p>
            <w:r>
              <w:t>7</w:t>
            </w:r>
          </w:p>
        </w:tc>
        <w:tc>
          <w:tcPr>
            <w:tcW w:type="dxa" w:w="960"/>
          </w:tcPr>
          <w:p>
            <w:r>
              <w:t>8</w:t>
            </w:r>
          </w:p>
        </w:tc>
        <w:tc>
          <w:tcPr>
            <w:tcW w:type="dxa" w:w="960"/>
          </w:tcPr>
          <w:p>
            <w:r>
              <w:t>9</w:t>
            </w:r>
          </w:p>
        </w:tc>
        <w:tc>
          <w:tcPr>
            <w:tcW w:type="dxa" w:w="960"/>
          </w:tcPr>
          <w:p>
            <w:r>
              <w:t>合计</w:t>
            </w:r>
          </w:p>
        </w:tc>
      </w:tr>
      <w:tr>
        <w:tc>
          <w:tcPr>
            <w:tcW w:type="dxa" w:w="960"/>
          </w:tcPr>
          <w:p>
            <w:r>
              <w:t>样本数</w:t>
            </w:r>
          </w:p>
        </w:tc>
        <w:tc>
          <w:tcPr>
            <w:tcW w:type="dxa" w:w="960"/>
          </w:tcPr>
          <w:p>
            <w:r>
              <w:t>20</w:t>
            </w:r>
          </w:p>
        </w:tc>
        <w:tc>
          <w:tcPr>
            <w:tcW w:type="dxa" w:w="960"/>
          </w:tcPr>
          <w:p>
            <w:r>
              <w:t>163</w:t>
            </w:r>
          </w:p>
        </w:tc>
        <w:tc>
          <w:tcPr>
            <w:tcW w:type="dxa" w:w="960"/>
          </w:tcPr>
          <w:p>
            <w:r>
              <w:t>1457</w:t>
            </w:r>
          </w:p>
        </w:tc>
        <w:tc>
          <w:tcPr>
            <w:tcW w:type="dxa" w:w="960"/>
          </w:tcPr>
          <w:p>
            <w:r>
              <w:t>2198</w:t>
            </w:r>
          </w:p>
        </w:tc>
        <w:tc>
          <w:tcPr>
            <w:tcW w:type="dxa" w:w="960"/>
          </w:tcPr>
          <w:p>
            <w:r>
              <w:t>880</w:t>
            </w:r>
          </w:p>
        </w:tc>
        <w:tc>
          <w:tcPr>
            <w:tcW w:type="dxa" w:w="960"/>
          </w:tcPr>
          <w:p>
            <w:r>
              <w:t>175</w:t>
            </w:r>
          </w:p>
        </w:tc>
        <w:tc>
          <w:tcPr>
            <w:tcW w:type="dxa" w:w="960"/>
          </w:tcPr>
          <w:p>
            <w:r>
              <w:t>5</w:t>
            </w:r>
          </w:p>
        </w:tc>
        <w:tc>
          <w:tcPr>
            <w:tcW w:type="dxa" w:w="960"/>
          </w:tcPr>
          <w:p>
            <w:r>
              <w:t>4898</w:t>
            </w:r>
          </w:p>
        </w:tc>
      </w:tr>
      <w:tr>
        <w:tc>
          <w:tcPr>
            <w:tcW w:type="dxa" w:w="960"/>
          </w:tcPr>
          <w:p>
            <w:r>
              <w:t>归并类别</w:t>
            </w:r>
          </w:p>
        </w:tc>
        <w:tc>
          <w:tcPr>
            <w:tcW w:type="dxa" w:w="960"/>
          </w:tcPr>
          <w:p>
            <w:r>
              <w:t>差(≤5)：1640</w:t>
            </w:r>
          </w:p>
        </w:tc>
        <w:tc>
          <w:tcPr>
            <w:tcW w:type="dxa" w:w="960"/>
          </w:tcPr>
          <w:p>
            <w:r/>
          </w:p>
        </w:tc>
        <w:tc>
          <w:tcPr>
            <w:tcW w:type="dxa" w:w="960"/>
          </w:tcPr>
          <w:p>
            <w:r/>
          </w:p>
        </w:tc>
        <w:tc>
          <w:tcPr>
            <w:tcW w:type="dxa" w:w="960"/>
          </w:tcPr>
          <w:p>
            <w:r>
              <w:t>中：2198</w:t>
            </w:r>
          </w:p>
        </w:tc>
        <w:tc>
          <w:tcPr>
            <w:tcW w:type="dxa" w:w="960"/>
          </w:tcPr>
          <w:p>
            <w:r>
              <w:t>好(≥7)：1060</w:t>
            </w:r>
          </w:p>
        </w:tc>
        <w:tc>
          <w:tcPr>
            <w:tcW w:type="dxa" w:w="960"/>
          </w:tcPr>
          <w:p>
            <w:r/>
          </w:p>
        </w:tc>
        <w:tc>
          <w:tcPr>
            <w:tcW w:type="dxa" w:w="960"/>
          </w:tcPr>
          <w:p>
            <w:r/>
          </w:p>
        </w:tc>
        <w:tc>
          <w:tcPr>
            <w:tcW w:type="dxa" w:w="960"/>
          </w:tcPr>
          <w:p>
            <w:r/>
          </w:p>
        </w:tc>
      </w:tr>
    </w:tbl>
    <w:p>
      <w:pPr>
        <w:ind w:firstLine="480"/>
      </w:pPr>
      <w:r>
        <w:t>如表 3-2 所示，原始评分高度集中于 5、6、7 三档（合计占 92.6%），而 3、4、8、9 分的样本极少（最少的 9 分仅 5 例）。若直接进行七分类，这些极少数类几乎无法被有效学习、评价也极不稳定；若简化为二分类，又会丢失“中等品质”这一重要档次。因此，本文参照课程“3 分类”要求并结合数据的实际分布，将评分按≤5/=6/≥7 归并为差/中/好三类——既保证每个类别都有足够样本（最少 1060 例），又符合葡萄酒质量“低/中/高”分级的实际语义，是兼顾可学习性与业务含义的合理选择。</w:t>
      </w:r>
    </w:p>
    <w:p>
      <w:pPr>
        <w:pStyle w:val="Heading2"/>
      </w:pPr>
      <w:r>
        <w:t>3.4 模型建立</w:t>
      </w:r>
    </w:p>
    <w:p>
      <w:pPr>
        <w:ind w:firstLine="480"/>
      </w:pPr>
      <w:r>
        <w:t>选取支持向量机、决策树、随机森林、逻辑回归四种代表性算法（原理见 2.2 节），借助 scikit-learn（Pedregosa 等, 2011）提供的 GridSearchCV，通过五折交叉验证结合网格搜索（评分准则为宏平均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3-3。</w:t>
      </w:r>
    </w:p>
    <w:p>
      <w:pPr>
        <w:jc w:val="center"/>
      </w:pPr>
      <w:r>
        <w:rPr>
          <w:sz w:val="21"/>
        </w:rPr>
        <w:t>表 3-3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3-4 与图 3-3。</w:t>
      </w:r>
    </w:p>
    <w:p>
      <w:pPr>
        <w:jc w:val="center"/>
      </w:pPr>
      <w:r>
        <w:rPr>
          <w:sz w:val="21"/>
        </w:rPr>
        <w:t>表 3-4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3-5）及其混淆矩阵（图 3-4）。</w:t>
      </w:r>
    </w:p>
    <w:p>
      <w:pPr>
        <w:jc w:val="center"/>
      </w:pPr>
      <w:r>
        <w:rPr>
          <w:sz w:val="21"/>
        </w:rPr>
        <w:t>表 3-5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误差分析</w:t>
      </w:r>
    </w:p>
    <w:p>
      <w:pPr>
        <w:ind w:firstLine="480"/>
      </w:pPr>
      <w:r>
        <w:t>进一步分析随机森林的混淆矩阵（图 3-4）可以发现，模型的误差呈现明显的“邻级混淆”特征：真实为“差”的 328 个样本中有 82 个被误判为“中”，真实为“好”的 212 个样本中有 68 个被误判为“中”，而“差”与“好”两个相隔等级之间的相互误判极少（分别仅 5 例与 2 例）。其根源在于，质量评分本质上是连续的有序变量，相邻等级（如 5 分与 6 分）的样本在理化特征上高度接近，缺乏清晰的判别边界；而处于中间的“中”类样本数量最多、左右毗邻两端，自然成为误判的主要汇聚点。这提示我们：若将该问题建模为有序回归或引入对邻级错误更敏感的代价矩阵，有望进一步降低此类误差。</w:t>
      </w:r>
    </w:p>
    <w:p>
      <w:pPr>
        <w:pStyle w:val="Heading2"/>
      </w:pPr>
      <w:r>
        <w:t>3.7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数据集（Xiao 等, 2017），由德国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训练配置：损失函数采用交叉熵，优化器为带动量的随机梯度下降（SGD，动量 0.9，权重衰减 5e-4）：</w:t>
      </w:r>
    </w:p>
    <w:p>
      <w:pPr>
        <w:jc w:val="center"/>
      </w:pPr>
      <m:oMath>
        <m:r>
          <m:t xml:space="preserve">L = − Σ </m:t>
        </m:r>
        <m:sSub>
          <m:e>
            <m:r>
              <m:t xml:space="preserve">y</m:t>
            </m:r>
          </m:e>
          <m:sub>
            <m:r>
              <m:t xml:space="preserve">i</m:t>
            </m:r>
          </m:sub>
        </m:sSub>
        <m:r>
          <m:t xml:space="preserve"> log </m:t>
        </m:r>
        <m:sSub>
          <m:e>
            <m:r>
              <m:t xml:space="preserve">ŷ</m:t>
            </m:r>
          </m:e>
          <m:sub>
            <m:r>
              <m:t xml:space="preserve">i</m:t>
            </m:r>
          </m:sub>
        </m:sSub>
        <m:r>
          <m:t xml:space="preserve">，  v ← βv − η∇L，  θ ← θ + v</m:t>
        </m:r>
      </m:oMath>
    </w:p>
    <w:p>
      <w:pPr>
        <w:ind w:firstLine="480"/>
      </w:pPr>
      <w:r>
        <w:t>其中动量项有助于加速收敛并抑制震荡。初始学习率 0.01，采用步长 10、衰减系数 0.1 的学习率调度（StepLR），即每 10 轮将学习率降为原来的 1/10；批大小 128，共训练 15 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模型对照实验</w:t>
      </w:r>
    </w:p>
    <w:p>
      <w:pPr>
        <w:ind w:firstLine="480"/>
      </w:pPr>
      <w:r>
        <w:t>为更客观地评估手写 AlexNet 的有效性、并探究其各设计组件的作用，本文在相同训练协议（SGD、批大小 128、相同学习率调度、15 轮）下设计了一组对照实验，结果见表 4-3 与图 4-4。其中 SimpleCNN 为仅含 3 个卷积块的轻量网络（约 0.39M 参数，直接在 28×28 原图上训练，重复 3 个随机种子取均值±标准差）；AlexNet 则分别测试了基线（含 LRN）、去掉 LRN 的消融版本，以及加入数据增强（随机水平翻转+小角度旋转）的版本。</w:t>
      </w:r>
    </w:p>
    <w:p>
      <w:pPr>
        <w:jc w:val="center"/>
      </w:pPr>
      <w:r>
        <w:rPr>
          <w:sz w:val="21"/>
        </w:rPr>
        <w:t>表 4-3 Fashion-MNIST 上的模型对照实验结果</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 / 配置</w:t>
            </w:r>
          </w:p>
        </w:tc>
        <w:tc>
          <w:tcPr>
            <w:tcW w:type="dxa" w:w="2160"/>
          </w:tcPr>
          <w:p>
            <w:r>
              <w:t>参数量</w:t>
            </w:r>
          </w:p>
        </w:tc>
        <w:tc>
          <w:tcPr>
            <w:tcW w:type="dxa" w:w="2160"/>
          </w:tcPr>
          <w:p>
            <w:r>
              <w:t>测试准确率</w:t>
            </w:r>
          </w:p>
        </w:tc>
        <w:tc>
          <w:tcPr>
            <w:tcW w:type="dxa" w:w="2160"/>
          </w:tcPr>
          <w:p>
            <w:r>
              <w:t>宏平均F1</w:t>
            </w:r>
          </w:p>
        </w:tc>
      </w:tr>
      <w:tr>
        <w:tc>
          <w:tcPr>
            <w:tcW w:type="dxa" w:w="2160"/>
          </w:tcPr>
          <w:p>
            <w:r>
              <w:t>SimpleCNN（轻量基线，3 种子）</w:t>
            </w:r>
          </w:p>
        </w:tc>
        <w:tc>
          <w:tcPr>
            <w:tcW w:type="dxa" w:w="2160"/>
          </w:tcPr>
          <w:p>
            <w:r>
              <w:t>0.39M</w:t>
            </w:r>
          </w:p>
        </w:tc>
        <w:tc>
          <w:tcPr>
            <w:tcW w:type="dxa" w:w="2160"/>
          </w:tcPr>
          <w:p>
            <w:r>
              <w:t>0.9181±0.0015</w:t>
            </w:r>
          </w:p>
        </w:tc>
        <w:tc>
          <w:tcPr>
            <w:tcW w:type="dxa" w:w="2160"/>
          </w:tcPr>
          <w:p>
            <w:r>
              <w:t>0.9171±0.0014</w:t>
            </w:r>
          </w:p>
        </w:tc>
      </w:tr>
      <w:tr>
        <w:tc>
          <w:tcPr>
            <w:tcW w:type="dxa" w:w="2160"/>
          </w:tcPr>
          <w:p>
            <w:r>
              <w:t>AlexNet（基线：LRN，无增强）</w:t>
            </w:r>
          </w:p>
        </w:tc>
        <w:tc>
          <w:tcPr>
            <w:tcW w:type="dxa" w:w="2160"/>
          </w:tcPr>
          <w:p>
            <w:r>
              <w:t>58.3M</w:t>
            </w:r>
          </w:p>
        </w:tc>
        <w:tc>
          <w:tcPr>
            <w:tcW w:type="dxa" w:w="2160"/>
          </w:tcPr>
          <w:p>
            <w:r>
              <w:t>0.9183</w:t>
            </w:r>
          </w:p>
        </w:tc>
        <w:tc>
          <w:tcPr>
            <w:tcW w:type="dxa" w:w="2160"/>
          </w:tcPr>
          <w:p>
            <w:r>
              <w:t>0.9179</w:t>
            </w:r>
          </w:p>
        </w:tc>
      </w:tr>
      <w:tr>
        <w:tc>
          <w:tcPr>
            <w:tcW w:type="dxa" w:w="2160"/>
          </w:tcPr>
          <w:p>
            <w:r>
              <w:t>AlexNet（消融：去掉 LRN）</w:t>
            </w:r>
          </w:p>
        </w:tc>
        <w:tc>
          <w:tcPr>
            <w:tcW w:type="dxa" w:w="2160"/>
          </w:tcPr>
          <w:p>
            <w:r>
              <w:t>58.3M</w:t>
            </w:r>
          </w:p>
        </w:tc>
        <w:tc>
          <w:tcPr>
            <w:tcW w:type="dxa" w:w="2160"/>
          </w:tcPr>
          <w:p>
            <w:r>
              <w:t>0.9247</w:t>
            </w:r>
          </w:p>
        </w:tc>
        <w:tc>
          <w:tcPr>
            <w:tcW w:type="dxa" w:w="2160"/>
          </w:tcPr>
          <w:p>
            <w:r>
              <w:t>0.9245</w:t>
            </w:r>
          </w:p>
        </w:tc>
      </w:tr>
      <w:tr>
        <w:tc>
          <w:tcPr>
            <w:tcW w:type="dxa" w:w="2160"/>
          </w:tcPr>
          <w:p>
            <w:r>
              <w:t>AlexNet（+ 数据增强）</w:t>
            </w:r>
          </w:p>
        </w:tc>
        <w:tc>
          <w:tcPr>
            <w:tcW w:type="dxa" w:w="2160"/>
          </w:tcPr>
          <w:p>
            <w:r>
              <w:t>58.3M</w:t>
            </w:r>
          </w:p>
        </w:tc>
        <w:tc>
          <w:tcPr>
            <w:tcW w:type="dxa" w:w="2160"/>
          </w:tcPr>
          <w:p>
            <w:r>
              <w:t>0.9106</w:t>
            </w:r>
          </w:p>
        </w:tc>
        <w:tc>
          <w:tcPr>
            <w:tcW w:type="dxa" w:w="2160"/>
          </w:tcPr>
          <w:p>
            <w:r>
              <w:t>0.9103</w:t>
            </w:r>
          </w:p>
        </w:tc>
      </w:tr>
    </w:tbl>
    <w:p>
      <w:pPr>
        <w:jc w:val="center"/>
      </w:pPr>
      <w:r>
        <w:drawing>
          <wp:inline xmlns:a="http://schemas.openxmlformats.org/drawingml/2006/main" xmlns:pic="http://schemas.openxmlformats.org/drawingml/2006/picture">
            <wp:extent cx="4572000" cy="2804160"/>
            <wp:docPr id="10" name="Picture 10"/>
            <wp:cNvGraphicFramePr>
              <a:graphicFrameLocks noChangeAspect="1"/>
            </wp:cNvGraphicFramePr>
            <a:graphic>
              <a:graphicData uri="http://schemas.openxmlformats.org/drawingml/2006/picture">
                <pic:pic>
                  <pic:nvPicPr>
                    <pic:cNvPr id="0" name="exp_compare.png"/>
                    <pic:cNvPicPr/>
                  </pic:nvPicPr>
                  <pic:blipFill>
                    <a:blip r:embed="rId18"/>
                    <a:stretch>
                      <a:fillRect/>
                    </a:stretch>
                  </pic:blipFill>
                  <pic:spPr>
                    <a:xfrm>
                      <a:off x="0" y="0"/>
                      <a:ext cx="4572000" cy="2804160"/>
                    </a:xfrm>
                    <a:prstGeom prst="rect"/>
                  </pic:spPr>
                </pic:pic>
              </a:graphicData>
            </a:graphic>
          </wp:inline>
        </w:drawing>
      </w:r>
    </w:p>
    <w:p>
      <w:pPr>
        <w:jc w:val="center"/>
      </w:pPr>
      <w:r>
        <w:rPr>
          <w:sz w:val="21"/>
        </w:rPr>
        <w:t>图 4-4 不同模型/配置的测试集准确率对比</w:t>
      </w:r>
    </w:p>
    <w:p>
      <w:r>
        <w:t>对照实验得到三点有价值的结论：</w:t>
      </w:r>
    </w:p>
    <w:p>
      <w:r>
        <w:t>（1）模型容量应与数据复杂度相匹配。仅 0.39M 参数的 SimpleCNN 达到了 0.9181 的准确率，与 58.3M 参数的 AlexNet（0.9183）几乎持平。这说明 Fashion-MNIST 本身信息量有限，AlexNet 巨大的参数量在该任务上存在明显冗余；课程要求复现 AlexNet 具有教学价值，但从工程角度看，轻量网络才是该数据集更高性价比的选择。</w:t>
      </w:r>
    </w:p>
    <w:p>
      <w:r>
        <w:t>（2）LRN 并非必要，去掉反而更优。去掉 LRN 后 AlexNet 准确率由 0.9183 提升至 0.9247，与深度学习的发展趋势一致——LRN 在后续的 VGG、ResNet 等网络中已被批归一化（BatchNorm，Ioffe 和 Szegedy, 2015）取代，表明其正则化收益有限，在小数据上甚至可能干扰特征表达。</w:t>
      </w:r>
    </w:p>
    <w:p>
      <w:r>
        <w:t>（3）简单数据增强在本设置下未带来增益。加入随机翻转与旋转后准确率反降至 0.9106。原因可能是：在仅 15 轮训练预算下，增强增加了优化难度而模型尚未充分收敛；且翻转/旋转会破坏某些类别（如鞋、包）的固有方向性。这提示数据增强需与更长训练轮数、更有针对性的增强策略配合，不能盲目使用。</w:t>
      </w:r>
    </w:p>
    <w:p>
      <w:pPr>
        <w:pStyle w:val="Heading2"/>
      </w:pPr>
      <w:r>
        <w:t>4.7 误差分析</w:t>
      </w:r>
    </w:p>
    <w:p>
      <w:pPr>
        <w:ind w:firstLine="480"/>
      </w:pPr>
      <w:r>
        <w:t>由混淆矩阵（图 4-3）可见，AlexNet 的误差高度集中于四类上装——T恤、套衫、外套、衬衫之间。其中“衬衫”最难识别，其 1000 个测试样本中有 95 个被误判为 T恤、61 个误判为套衫、73 个误判为外套；而“T恤”也有 109 个被误判为衬衫。与之形成鲜明对比的是，“裤子”“包”“凉鞋”“短靴”等形态轮廓差异显著的类别几乎不与其他类别混淆，识别率接近完美。究其原因，这些上装在 28×28 的低分辨率灰度图中，领口、袖型、版型等关键区分性细节被严重弱化，整体轮廓高度相似，是 Fashion-MNIST 的固有难点；预测样例图（图 4-1）中的红色错误样本也大多集中于此类上装。由此可见，进一步提升性能的关键在于增强模型对细粒度纹理的判别能力，例如引入数据增强、更深的网络或注意力机制。</w:t>
      </w:r>
    </w:p>
    <w:p>
      <w:pPr>
        <w:pStyle w:val="Heading2"/>
      </w:pPr>
      <w:r>
        <w:t>4.8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实验复现说明</w:t>
      </w:r>
    </w:p>
    <w:p>
      <w:pPr>
        <w:pStyle w:val="Heading2"/>
      </w:pPr>
      <w:r>
        <w:t>5.1 代码文件说明</w:t>
      </w:r>
    </w:p>
    <w:p>
      <w:pPr>
        <w:ind w:firstLine="480"/>
      </w:pPr>
      <w:r>
        <w:t>项目源代码按任务组织，各文件职责如表 5-1 所示。</w:t>
      </w:r>
    </w:p>
    <w:p>
      <w:pPr>
        <w:jc w:val="center"/>
      </w:pPr>
      <w:r>
        <w:rPr>
          <w:sz w:val="21"/>
        </w:rPr>
        <w:t>表 5-1 源代码文件说明</w:t>
      </w:r>
    </w:p>
    <w:tbl>
      <w:tblPr>
        <w:tblStyle w:val="LightList-Accent1"/>
        <w:tblW w:type="auto" w:w="0"/>
        <w:jc w:val="center"/>
        <w:tblLook w:firstColumn="1" w:firstRow="1" w:lastColumn="0" w:lastRow="0" w:noHBand="0" w:noVBand="1" w:val="04A0"/>
      </w:tblPr>
      <w:tblGrid>
        <w:gridCol w:w="4320"/>
        <w:gridCol w:w="4320"/>
      </w:tblGrid>
      <w:tr>
        <w:tc>
          <w:tcPr>
            <w:tcW w:type="dxa" w:w="4320"/>
          </w:tcPr>
          <w:p>
            <w:r>
              <w:t>文件</w:t>
            </w:r>
          </w:p>
        </w:tc>
        <w:tc>
          <w:tcPr>
            <w:tcW w:type="dxa" w:w="4320"/>
          </w:tcPr>
          <w:p>
            <w:r>
              <w:t>功能</w:t>
            </w:r>
          </w:p>
        </w:tc>
      </w:tr>
      <w:tr>
        <w:tc>
          <w:tcPr>
            <w:tcW w:type="dxa" w:w="4320"/>
          </w:tcPr>
          <w:p>
            <w:r>
              <w:t>task1_ml_wine/wine_quality.py</w:t>
            </w:r>
          </w:p>
        </w:tc>
        <w:tc>
          <w:tcPr>
            <w:tcW w:type="dxa" w:w="4320"/>
          </w:tcPr>
          <w:p>
            <w:r>
              <w:t>任务一完整流程：下载/EDA/预处理/四模型训练/评估</w:t>
            </w:r>
          </w:p>
        </w:tc>
      </w:tr>
      <w:tr>
        <w:tc>
          <w:tcPr>
            <w:tcW w:type="dxa" w:w="4320"/>
          </w:tcPr>
          <w:p>
            <w:r>
              <w:t>task2_alexnet_fmnist/alexnet.py</w:t>
            </w:r>
          </w:p>
        </w:tc>
        <w:tc>
          <w:tcPr>
            <w:tcW w:type="dxa" w:w="4320"/>
          </w:tcPr>
          <w:p>
            <w:r>
              <w:t>逐层手写的 AlexNet 网络定义</w:t>
            </w:r>
          </w:p>
        </w:tc>
      </w:tr>
      <w:tr>
        <w:tc>
          <w:tcPr>
            <w:tcW w:type="dxa" w:w="4320"/>
          </w:tcPr>
          <w:p>
            <w:r>
              <w:t>task2_alexnet_fmnist/simplecnn.py</w:t>
            </w:r>
          </w:p>
        </w:tc>
        <w:tc>
          <w:tcPr>
            <w:tcW w:type="dxa" w:w="4320"/>
          </w:tcPr>
          <w:p>
            <w:r>
              <w:t>轻量基线网络 SimpleCNN</w:t>
            </w:r>
          </w:p>
        </w:tc>
      </w:tr>
      <w:tr>
        <w:tc>
          <w:tcPr>
            <w:tcW w:type="dxa" w:w="4320"/>
          </w:tcPr>
          <w:p>
            <w:r>
              <w:t>task2_alexnet_fmnist/data.py</w:t>
            </w:r>
          </w:p>
        </w:tc>
        <w:tc>
          <w:tcPr>
            <w:tcW w:type="dxa" w:w="4320"/>
          </w:tcPr>
          <w:p>
            <w:r>
              <w:t>Fashion-MNIST 加载、变换与三划分</w:t>
            </w:r>
          </w:p>
        </w:tc>
      </w:tr>
      <w:tr>
        <w:tc>
          <w:tcPr>
            <w:tcW w:type="dxa" w:w="4320"/>
          </w:tcPr>
          <w:p>
            <w:r>
              <w:t>task2_alexnet_fmnist/train.py</w:t>
            </w:r>
          </w:p>
        </w:tc>
        <w:tc>
          <w:tcPr>
            <w:tcW w:type="dxa" w:w="4320"/>
          </w:tcPr>
          <w:p>
            <w:r>
              <w:t>AlexNet 训练，保存最优 checkpoint</w:t>
            </w:r>
          </w:p>
        </w:tc>
      </w:tr>
      <w:tr>
        <w:tc>
          <w:tcPr>
            <w:tcW w:type="dxa" w:w="4320"/>
          </w:tcPr>
          <w:p>
            <w:r>
              <w:t>task2_alexnet_fmnist/evaluate.py</w:t>
            </w:r>
          </w:p>
        </w:tc>
        <w:tc>
          <w:tcPr>
            <w:tcW w:type="dxa" w:w="4320"/>
          </w:tcPr>
          <w:p>
            <w:r>
              <w:t>测试集评估与可视化</w:t>
            </w:r>
          </w:p>
        </w:tc>
      </w:tr>
      <w:tr>
        <w:tc>
          <w:tcPr>
            <w:tcW w:type="dxa" w:w="4320"/>
          </w:tcPr>
          <w:p>
            <w:r>
              <w:t>task2_alexnet_fmnist/experiments.py</w:t>
            </w:r>
          </w:p>
        </w:tc>
        <w:tc>
          <w:tcPr>
            <w:tcW w:type="dxa" w:w="4320"/>
          </w:tcPr>
          <w:p>
            <w:r>
              <w:t>对照实验统一运行器</w:t>
            </w:r>
          </w:p>
        </w:tc>
      </w:tr>
      <w:tr>
        <w:tc>
          <w:tcPr>
            <w:tcW w:type="dxa" w:w="4320"/>
          </w:tcPr>
          <w:p>
            <w:r>
              <w:t>task2_alexnet_fmnist/aggregate_experiments.py</w:t>
            </w:r>
          </w:p>
        </w:tc>
        <w:tc>
          <w:tcPr>
            <w:tcW w:type="dxa" w:w="4320"/>
          </w:tcPr>
          <w:p>
            <w:r>
              <w:t>对照实验结果聚合与绘图</w:t>
            </w:r>
          </w:p>
        </w:tc>
      </w:tr>
      <w:tr>
        <w:tc>
          <w:tcPr>
            <w:tcW w:type="dxa" w:w="4320"/>
          </w:tcPr>
          <w:p>
            <w:r>
              <w:t>common/zh_font.py</w:t>
            </w:r>
          </w:p>
        </w:tc>
        <w:tc>
          <w:tcPr>
            <w:tcW w:type="dxa" w:w="4320"/>
          </w:tcPr>
          <w:p>
            <w:r>
              <w:t>matplotlib 中文字体设置</w:t>
            </w:r>
          </w:p>
        </w:tc>
      </w:tr>
      <w:tr>
        <w:tc>
          <w:tcPr>
            <w:tcW w:type="dxa" w:w="4320"/>
          </w:tcPr>
          <w:p>
            <w:r>
              <w:t>report/generate_report.py</w:t>
            </w:r>
          </w:p>
        </w:tc>
        <w:tc>
          <w:tcPr>
            <w:tcW w:type="dxa" w:w="4320"/>
          </w:tcPr>
          <w:p>
            <w:r>
              <w:t>生成 Word 版报告</w:t>
            </w:r>
          </w:p>
        </w:tc>
      </w:tr>
    </w:tbl>
    <w:p>
      <w:pPr>
        <w:pStyle w:val="Heading2"/>
      </w:pPr>
      <w:r>
        <w:t>5.2 运行步骤与关键设置</w:t>
      </w:r>
    </w:p>
    <w:p>
      <w:pPr>
        <w:ind w:firstLine="480"/>
      </w:pPr>
      <w:r>
        <w:t>按以下顺序运行即可复现全部结果（解释器为 conda 环境 pytorch312）：</w:t>
      </w:r>
    </w:p>
    <w:p>
      <w:r>
        <w:t>（1）任务一：python task1_ml_wine/wine_quality.py；</w:t>
      </w:r>
    </w:p>
    <w:p>
      <w:r>
        <w:t>（2）任务二训练：python task2_alexnet_fmnist/train.py --epochs 15 --batch-size 128 --lr 0.01；</w:t>
      </w:r>
    </w:p>
    <w:p>
      <w:r>
        <w:t>（3）任务二评估：python task2_alexnet_fmnist/evaluate.py；</w:t>
      </w:r>
    </w:p>
    <w:p>
      <w:r>
        <w:t>（4）对照实验：分别运行 experiments.py（不同 --model/--seed/--no-lrn/--augment 组合）后，执行 python aggregate_experiments.py 汇总。</w:t>
      </w:r>
    </w:p>
    <w:p>
      <w:pPr>
        <w:ind w:firstLine="480"/>
      </w:pPr>
      <w:r>
        <w:t>关键设置：随机种子固定（任务一 train_test_split 与各模型 random_state=42；任务二 PyTorch 种子 0~2）；任务一采用 80/20 分层划分与 5 折交叉验证；任务二使用 SGD（动量 0.9、权重衰减 5e-4）、初始学习率 0.01、StepLR(步长 10、衰减 0.1)、批大小 128、训练 15 轮。软硬件环境见表 2-1，全部图表与指标自动输出到各任务的 outputs/ 目录。</w:t>
      </w:r>
    </w:p>
    <w:p>
      <w:r>
        <w:br w:type="page"/>
      </w:r>
    </w:p>
    <w:p>
      <w:pPr>
        <w:pStyle w:val="Heading1"/>
      </w:pPr>
      <w:r>
        <w:t>第6章 结论与实验总结</w:t>
      </w:r>
    </w:p>
    <w:p>
      <w:pPr>
        <w:pStyle w:val="Heading2"/>
      </w:pPr>
      <w:r>
        <w:t>6.1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6.2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6.3 改进方案</w:t>
      </w:r>
    </w:p>
    <w:p>
      <w:pPr>
        <w:ind w:firstLine="480"/>
      </w:pPr>
      <w:r>
        <w:t>项目一：尝试 XGBoost、LightGBM 等更强的梯度提升模型；采用 SMOTE（Chawla 等, 2002）等过采样方法更充分处理类别不平衡；引入特征工程（特征交互、分箱）与特征选择以提升判别力；也可将质量评分作为回归任务建模后再分级。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项目二：引入数据增强（随机裁剪、翻转、旋转）抑制过拟合并提升泛化；用批归一化（BatchNorm，Ioffe 和 Szegedy, 2015）替代 LRN 加速收敛、稳定训练；适当增加训练轮数并采用余弦退火等更精细的学习率策略；亦可对比 VGG（Simonyan 和 Zisserman, 2015）、ResNet（He 等, 2016）等更先进结构，分析深度对精度的影响。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pPr>
        <w:ind w:left="480" w:hanging="480"/>
      </w:pPr>
      <w:r>
        <w:t>周志华. 机器学习[M]. 北京: 清华大学出版社, 2016: 23-200.</w:t>
      </w:r>
    </w:p>
    <w:p>
      <w:pPr>
        <w:ind w:left="480" w:hanging="480"/>
      </w:pPr>
      <w:r>
        <w:t>Breiman L. Random forests[J]. Machine Learning, 2001, 45(1): 5-32.</w:t>
      </w:r>
    </w:p>
    <w:p>
      <w:pPr>
        <w:ind w:left="480" w:hanging="480"/>
      </w:pPr>
      <w:r>
        <w:t>Chawla N V, Bowyer K W, Hall L O, et al. SMOTE: synthetic minority over-sampling technique[J]. Journal of Artificial Intelligence Research, 2002, 16: 321-357.</w:t>
      </w:r>
    </w:p>
    <w:p>
      <w:pPr>
        <w:ind w:left="480" w:hanging="480"/>
      </w:pPr>
      <w:r>
        <w:t>Cortes C, Vapnik V. Support-vector networks[J]. Machine Learning, 1995, 20(3): 273-297.</w:t>
      </w:r>
    </w:p>
    <w:p>
      <w:pPr>
        <w:ind w:left="480" w:hanging="480"/>
      </w:pPr>
      <w:r>
        <w:t>Cortez P, Cerdeira A, Almeida F, et al. Modeling wine preferences by data mining from physicochemical properties[J]. Decision Support Systems, 2009, 47(4): 547-553.</w:t>
      </w:r>
    </w:p>
    <w:p>
      <w:pPr>
        <w:ind w:left="480" w:hanging="480"/>
      </w:pPr>
      <w:r>
        <w:t>He K, Zhang X, Ren S, et al. Deep residual learning for image recognition[C]//IEEE Conference on Computer Vision and Pattern Recognition. 2016: 770-778.</w:t>
      </w:r>
    </w:p>
    <w:p>
      <w:pPr>
        <w:ind w:left="480" w:hanging="480"/>
      </w:pPr>
      <w:r>
        <w:t>Ioffe S, Szegedy C. Batch normalization: accelerating deep network training by reducing internal covariate shift[C]//International Conference on Machine Learning. 2015: 448-456.</w:t>
      </w:r>
    </w:p>
    <w:p>
      <w:pPr>
        <w:ind w:left="480" w:hanging="480"/>
      </w:pPr>
      <w:r>
        <w:t>Krizhevsky A, Sutskever I, Hinton G E. ImageNet classification with deep convolutional neural networks[C]//Advances in Neural Information Processing Systems. 2012: 1097-1105.</w:t>
      </w:r>
    </w:p>
    <w:p>
      <w:pPr>
        <w:ind w:left="480" w:hanging="480"/>
      </w:pPr>
      <w:r>
        <w:t>Paszke A, Gross S, Massa F, et al. PyTorch: an imperative style, high-performance deep learning library[C]//Advances in Neural Information Processing Systems. 2019: 8024-8035.</w:t>
      </w:r>
    </w:p>
    <w:p>
      <w:pPr>
        <w:ind w:left="480" w:hanging="480"/>
      </w:pPr>
      <w:r>
        <w:t>Pedregosa F, Varoquaux G, Gramfort A, et al. Scikit-learn: machine learning in Python[J]. Journal of Machine Learning Research, 2011, 12: 2825-2830.</w:t>
      </w:r>
    </w:p>
    <w:p>
      <w:pPr>
        <w:ind w:left="480" w:hanging="480"/>
      </w:pPr>
      <w:r>
        <w:t>Simonyan K, Zisserman A. Very deep convolutional networks for large-scale image recognition[C]//International Conference on Learning Representations. 2015.</w:t>
      </w:r>
    </w:p>
    <w:p>
      <w:pPr>
        <w:ind w:left="480" w:hanging="480"/>
      </w:pPr>
      <w:r>
        <w:t>Srivastava N, Hinton G, Krizhevsky A, et al. Dropout: a simple way to prevent neural networks from overfitting[J]. Journal of Machine Learning Research, 2014, 15(1): 1929-1958.</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