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小组成员：雷正、蔡铭飞、冼嘉谦</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数据集上完成十分类任务，基线测试准确率 91.55%。在此基础上，本文进一步提出“诊断—改进—验证”的误差驱动改进方法论：项目一据“邻级混淆”改用有序回归分级，将严重误判减少 43%；项目二据误差分析与可解释性证据，采用 BatchNorm、数据增强与更长训练，将准确率提升至 94.38%。两个项目完整覆盖了数据加载、可视化、预处理、建模、评估与结论的全流程，验证了集成学习与深度卷积网络的有效性，并通过对照与消融实验积累了模型调优与工程实现的经验。</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Cortes 和 Vapnik (1995)正式提出，凭借坚实的统计学习理论基础和优秀的小样本泛化能力，长期是分类任务的重要工具；以随机森林(Breiman, 2001)、梯度提升树（GBDT、XGBoost、LightGBM）为代表的集成学习方法，通过组合多个弱学习器进一步提升了精度与鲁棒性，至今仍是结构化数据竞赛中的主流方案。在深度学习方面，Krizhevsky 等 (2012)提出的 AlexNet 在 ImageNet 竞赛中以显著优势夺冠，掀起了深度卷积网络的研究热潮；此后 VGG(Simonyan 和 Zisserman, 2015)、GoogLeNet、ResNet(He 等, 2016)等更深、更高效的网络结构相继涌现，不断刷新图像识别的精度上限。本实训以经典且最具代表性的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4389120" cy="5649721"/>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389120" cy="5649721"/>
                    </a:xfrm>
                    <a:prstGeom prst="rect"/>
                  </pic:spPr>
                </pic:pic>
              </a:graphicData>
            </a:graphic>
          </wp:inline>
        </w:drawing>
      </w:r>
    </w:p>
    <w:p>
      <w:pPr>
        <w:jc w:val="center"/>
      </w:pPr>
      <w:r>
        <w:rPr>
          <w:sz w:val="21"/>
        </w:rPr>
        <w:t>图 1-1 机器学习项目统一研究流程</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周志华, 2016)。</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在节点中的占比(周志华, 2016)。算法每次选择使子节点不纯度下降最大的特征进行分裂，具有良好的可解释性，但单棵树容易过拟合。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并以交叉熵为损失函数进行参数估计(周志华, 2016)。其结构简单、训练高效，常作为分类任务的基线模型。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（5）Dropout：训练时以一定概率随机置零神经元输出，有效抑制过拟合(Srivastava 等, 2014)。</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AlexNet(Krizhevsky 等, 2012)由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对于多分类问题，常计算各类别指标的算术平均，即宏平均（Macro-average），它对每个类别一视同仁，能更好地反映模型在不平衡数据上的综合表现(周志华, 2016)。混淆矩阵则以矩阵形式展示各类别的预测分布，可直观分析模型的混淆情况。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实现，项目二的 AlexNet 基于 PyTorch 实现并使用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Set）(Cortez 等, 2009)，来源网址为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ind w:firstLine="480"/>
      </w:pPr>
      <w:r>
        <w:t>关于标签分箱的依据，表 3-2 给出了原始质量评分的完整分布及三分类归并方案。</w:t>
      </w:r>
    </w:p>
    <w:p>
      <w:pPr>
        <w:jc w:val="center"/>
      </w:pPr>
      <w:r>
        <w:rPr>
          <w:sz w:val="21"/>
        </w:rPr>
        <w:t>表 3-2 原始质量评分分布与三分类归并方案</w:t>
      </w:r>
    </w:p>
    <w:tbl>
      <w:tblPr>
        <w:tblStyle w:val="LightList-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原始评分</w:t>
            </w:r>
          </w:p>
        </w:tc>
        <w:tc>
          <w:tcPr>
            <w:tcW w:type="dxa" w:w="960"/>
          </w:tcPr>
          <w:p>
            <w:r>
              <w:t>3</w:t>
            </w:r>
          </w:p>
        </w:tc>
        <w:tc>
          <w:tcPr>
            <w:tcW w:type="dxa" w:w="960"/>
          </w:tcPr>
          <w:p>
            <w:r>
              <w:t>4</w:t>
            </w:r>
          </w:p>
        </w:tc>
        <w:tc>
          <w:tcPr>
            <w:tcW w:type="dxa" w:w="960"/>
          </w:tcPr>
          <w:p>
            <w:r>
              <w:t>5</w:t>
            </w:r>
          </w:p>
        </w:tc>
        <w:tc>
          <w:tcPr>
            <w:tcW w:type="dxa" w:w="960"/>
          </w:tcPr>
          <w:p>
            <w:r>
              <w:t>6</w:t>
            </w:r>
          </w:p>
        </w:tc>
        <w:tc>
          <w:tcPr>
            <w:tcW w:type="dxa" w:w="960"/>
          </w:tcPr>
          <w:p>
            <w:r>
              <w:t>7</w:t>
            </w:r>
          </w:p>
        </w:tc>
        <w:tc>
          <w:tcPr>
            <w:tcW w:type="dxa" w:w="960"/>
          </w:tcPr>
          <w:p>
            <w:r>
              <w:t>8</w:t>
            </w:r>
          </w:p>
        </w:tc>
        <w:tc>
          <w:tcPr>
            <w:tcW w:type="dxa" w:w="960"/>
          </w:tcPr>
          <w:p>
            <w:r>
              <w:t>9</w:t>
            </w:r>
          </w:p>
        </w:tc>
        <w:tc>
          <w:tcPr>
            <w:tcW w:type="dxa" w:w="960"/>
          </w:tcPr>
          <w:p>
            <w:r>
              <w:t>合计</w:t>
            </w:r>
          </w:p>
        </w:tc>
      </w:tr>
      <w:tr>
        <w:tc>
          <w:tcPr>
            <w:tcW w:type="dxa" w:w="960"/>
          </w:tcPr>
          <w:p>
            <w:r>
              <w:t>样本数</w:t>
            </w:r>
          </w:p>
        </w:tc>
        <w:tc>
          <w:tcPr>
            <w:tcW w:type="dxa" w:w="960"/>
          </w:tcPr>
          <w:p>
            <w:r>
              <w:t>20</w:t>
            </w:r>
          </w:p>
        </w:tc>
        <w:tc>
          <w:tcPr>
            <w:tcW w:type="dxa" w:w="960"/>
          </w:tcPr>
          <w:p>
            <w:r>
              <w:t>163</w:t>
            </w:r>
          </w:p>
        </w:tc>
        <w:tc>
          <w:tcPr>
            <w:tcW w:type="dxa" w:w="960"/>
          </w:tcPr>
          <w:p>
            <w:r>
              <w:t>1457</w:t>
            </w:r>
          </w:p>
        </w:tc>
        <w:tc>
          <w:tcPr>
            <w:tcW w:type="dxa" w:w="960"/>
          </w:tcPr>
          <w:p>
            <w:r>
              <w:t>2198</w:t>
            </w:r>
          </w:p>
        </w:tc>
        <w:tc>
          <w:tcPr>
            <w:tcW w:type="dxa" w:w="960"/>
          </w:tcPr>
          <w:p>
            <w:r>
              <w:t>880</w:t>
            </w:r>
          </w:p>
        </w:tc>
        <w:tc>
          <w:tcPr>
            <w:tcW w:type="dxa" w:w="960"/>
          </w:tcPr>
          <w:p>
            <w:r>
              <w:t>175</w:t>
            </w:r>
          </w:p>
        </w:tc>
        <w:tc>
          <w:tcPr>
            <w:tcW w:type="dxa" w:w="960"/>
          </w:tcPr>
          <w:p>
            <w:r>
              <w:t>5</w:t>
            </w:r>
          </w:p>
        </w:tc>
        <w:tc>
          <w:tcPr>
            <w:tcW w:type="dxa" w:w="960"/>
          </w:tcPr>
          <w:p>
            <w:r>
              <w:t>4898</w:t>
            </w:r>
          </w:p>
        </w:tc>
      </w:tr>
      <w:tr>
        <w:tc>
          <w:tcPr>
            <w:tcW w:type="dxa" w:w="960"/>
          </w:tcPr>
          <w:p>
            <w:r>
              <w:t>归并类别</w:t>
            </w:r>
          </w:p>
        </w:tc>
        <w:tc>
          <w:tcPr>
            <w:tcW w:type="dxa" w:w="960"/>
          </w:tcPr>
          <w:p>
            <w:r>
              <w:t>差(≤5)：1640</w:t>
            </w:r>
          </w:p>
        </w:tc>
        <w:tc>
          <w:tcPr>
            <w:tcW w:type="dxa" w:w="960"/>
          </w:tcPr>
          <w:p>
            <w:r/>
          </w:p>
        </w:tc>
        <w:tc>
          <w:tcPr>
            <w:tcW w:type="dxa" w:w="960"/>
          </w:tcPr>
          <w:p>
            <w:r/>
          </w:p>
        </w:tc>
        <w:tc>
          <w:tcPr>
            <w:tcW w:type="dxa" w:w="960"/>
          </w:tcPr>
          <w:p>
            <w:r>
              <w:t>中：2198</w:t>
            </w:r>
          </w:p>
        </w:tc>
        <w:tc>
          <w:tcPr>
            <w:tcW w:type="dxa" w:w="960"/>
          </w:tcPr>
          <w:p>
            <w:r>
              <w:t>好(≥7)：1060</w:t>
            </w:r>
          </w:p>
        </w:tc>
        <w:tc>
          <w:tcPr>
            <w:tcW w:type="dxa" w:w="960"/>
          </w:tcPr>
          <w:p>
            <w:r/>
          </w:p>
        </w:tc>
        <w:tc>
          <w:tcPr>
            <w:tcW w:type="dxa" w:w="960"/>
          </w:tcPr>
          <w:p>
            <w:r/>
          </w:p>
        </w:tc>
        <w:tc>
          <w:tcPr>
            <w:tcW w:type="dxa" w:w="960"/>
          </w:tcPr>
          <w:p>
            <w:r/>
          </w:p>
        </w:tc>
      </w:tr>
    </w:tbl>
    <w:p>
      <w:pPr>
        <w:ind w:firstLine="480"/>
      </w:pPr>
      <w:r>
        <w:t>如表 3-2 所示，原始评分高度集中于 5、6、7 三档（合计占 92.6%），而 3、4、8、9 分的样本极少（最少的 9 分仅 5 例）。若直接进行七分类，这些极少数类几乎无法被有效学习、评价也极不稳定；若简化为二分类，又会丢失“中等品质”这一重要档次。因此，本文参照课程“3 分类”要求并结合数据的实际分布，将评分按≤5/=6/≥7 归并为差/中/好三类——既保证每个类别都有足够样本（最少 1060 例），又符合葡萄酒质量“低/中/高”分级的实际语义，是兼顾可学习性与业务含义的合理选择。</w:t>
      </w:r>
    </w:p>
    <w:p>
      <w:pPr>
        <w:pStyle w:val="Heading2"/>
      </w:pPr>
      <w:r>
        <w:t>3.4 模型建立</w:t>
      </w:r>
    </w:p>
    <w:p>
      <w:pPr>
        <w:ind w:firstLine="480"/>
      </w:pPr>
      <w:r>
        <w:t>选取支持向量机、决策树、随机森林、逻辑回归四种代表性算法（原理见 2.2 节），借助 scikit-learn(Pedregosa 等, 2011)提供的 GridSearchCV，通过五折交叉验证结合网格搜索（评分准则为宏平均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3-3。</w:t>
      </w:r>
    </w:p>
    <w:p>
      <w:pPr>
        <w:jc w:val="center"/>
      </w:pPr>
      <w:r>
        <w:rPr>
          <w:sz w:val="21"/>
        </w:rPr>
        <w:t>表 3-3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3-4 与图 3-3。</w:t>
      </w:r>
    </w:p>
    <w:p>
      <w:pPr>
        <w:jc w:val="center"/>
      </w:pPr>
      <w:r>
        <w:rPr>
          <w:sz w:val="21"/>
        </w:rPr>
        <w:t>表 3-4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3-3 各模型测试集指标对比</w:t>
      </w:r>
    </w:p>
    <w:p>
      <w:pPr>
        <w:ind w:firstLine="480"/>
      </w:pPr>
      <w:r>
        <w:t>由表 3-3 可见，随机森林在四项指标上全面领先，其次为决策树与 SVM，逻辑回归表现最差。为进一步分析最优模型，给出随机森林各类别详细指标（表 3-5）及其混淆矩阵（图 3-4）。</w:t>
      </w:r>
    </w:p>
    <w:p>
      <w:pPr>
        <w:jc w:val="center"/>
      </w:pPr>
      <w:r>
        <w:rPr>
          <w:sz w:val="21"/>
        </w:rPr>
        <w:t>表 3-5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00400" cy="2560320"/>
                    </a:xfrm>
                    <a:prstGeom prst="rect"/>
                  </pic:spPr>
                </pic:pic>
              </a:graphicData>
            </a:graphic>
          </wp:inline>
        </w:drawing>
      </w:r>
    </w:p>
    <w:p>
      <w:pPr>
        <w:jc w:val="center"/>
      </w:pPr>
      <w:r>
        <w:rPr>
          <w:sz w:val="21"/>
        </w:rPr>
        <w:t>图 3-4 随机森林混淆矩阵</w:t>
      </w:r>
    </w:p>
    <w:p>
      <w:pPr>
        <w:jc w:val="center"/>
      </w:pPr>
      <w:r>
        <w:drawing>
          <wp:inline xmlns:a="http://schemas.openxmlformats.org/drawingml/2006/main" xmlns:pic="http://schemas.openxmlformats.org/drawingml/2006/picture">
            <wp:extent cx="4114800" cy="293914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114800" cy="2939143"/>
                    </a:xfrm>
                    <a:prstGeom prst="rect"/>
                  </pic:spPr>
                </pic:pic>
              </a:graphicData>
            </a:graphic>
          </wp:inline>
        </w:drawing>
      </w:r>
    </w:p>
    <w:p>
      <w:pPr>
        <w:jc w:val="center"/>
      </w:pPr>
      <w:r>
        <w:rPr>
          <w:sz w:val="21"/>
        </w:rPr>
        <w:t>图 3-5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3-4）可以发现，模型的误差呈现明显的“邻级混淆”特征：真实为“差”的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数据集(Xiao 等, 2017)，由德国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0.01，采用步长 10、衰减系数 0.1 的学习率调度（StepLR），即每 10 轮将学习率降为原来的 1/10；批大小 128，共训练 15 轮，按验证集准确率保存最优模型。训练在单张 NVIDIA RTX 4090 GPU 上完成，约耗时十余分钟。</w:t>
      </w:r>
    </w:p>
    <w:p>
      <w:pPr>
        <w:pStyle w:val="Heading2"/>
      </w:pPr>
      <w:r>
        <w:t>4.5 模型评估</w:t>
      </w:r>
    </w:p>
    <w:p>
      <w:pPr>
        <w:ind w:firstLine="480"/>
      </w:pPr>
      <w:r>
        <w:t>训练与验证过程的损失、准确率曲线见图 4-2。可见训练初期损失迅速下降、准确率快速提升，随后平稳收敛；验证集最高准确率为 0.9232，且在第 10 轮学习率衰减后性能出现一次小幅跃升，训练曲线与验证曲线基本贴合，未见明显过拟合，表明 Dropout 与权重衰减起到了有效的正则化作用。</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4-2 训练/验证 损失与准确率曲线</w:t>
      </w:r>
    </w:p>
    <w:p>
      <w:pPr>
        <w:ind w:firstLine="480"/>
      </w:pPr>
      <w:r>
        <w:t>在 10000 张测试图像上，模型最终准确率为 91.55%，宏平均 F1 为 0.915。各类别详细指标见表 4-2，整体混淆情况见图 4-3。</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4-3 AlexNet 测试集混淆矩阵</w:t>
      </w:r>
    </w:p>
    <w:p>
      <w:pPr>
        <w:pStyle w:val="Heading2"/>
      </w:pPr>
      <w:r>
        <w:t>4.6 模型对照实验</w:t>
      </w:r>
    </w:p>
    <w:p>
      <w:pPr>
        <w:ind w:firstLine="480"/>
      </w:pPr>
      <w:r>
        <w:t>为更客观地评估手写 AlexNet 的有效性、并探究其各设计组件的作用，本文在相同训练协议（SGD、批大小 128、相同学习率调度、15 轮）下设计了一组对照实验，结果见表 4-3 与图 4-4。其中 SimpleCNN 为仅含 3 个卷积块的轻量网络（约 0.39M 参数，直接在 28×28 原图上训练，重复 3 个随机种子取均值±标准差）；AlexNet 则分别测试了基线（含 LRN）、去掉 LRN 的消融版本，以及加入数据增强（随机水平翻转+小角度旋转）的版本。</w:t>
      </w:r>
    </w:p>
    <w:p>
      <w:pPr>
        <w:jc w:val="center"/>
      </w:pPr>
      <w:r>
        <w:rPr>
          <w:sz w:val="21"/>
        </w:rPr>
        <w:t>表 4-3 Fashion-MNIST 上的模型对照实验结果</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 / 配置</w:t>
            </w:r>
          </w:p>
        </w:tc>
        <w:tc>
          <w:tcPr>
            <w:tcW w:type="dxa" w:w="2160"/>
          </w:tcPr>
          <w:p>
            <w:r>
              <w:t>参数量</w:t>
            </w:r>
          </w:p>
        </w:tc>
        <w:tc>
          <w:tcPr>
            <w:tcW w:type="dxa" w:w="2160"/>
          </w:tcPr>
          <w:p>
            <w:r>
              <w:t>测试准确率</w:t>
            </w:r>
          </w:p>
        </w:tc>
        <w:tc>
          <w:tcPr>
            <w:tcW w:type="dxa" w:w="2160"/>
          </w:tcPr>
          <w:p>
            <w:r>
              <w:t>宏平均F1</w:t>
            </w:r>
          </w:p>
        </w:tc>
      </w:tr>
      <w:tr>
        <w:tc>
          <w:tcPr>
            <w:tcW w:type="dxa" w:w="2160"/>
          </w:tcPr>
          <w:p>
            <w:r>
              <w:t>SimpleCNN（轻量基线，3 种子）</w:t>
            </w:r>
          </w:p>
        </w:tc>
        <w:tc>
          <w:tcPr>
            <w:tcW w:type="dxa" w:w="2160"/>
          </w:tcPr>
          <w:p>
            <w:r>
              <w:t>0.39M</w:t>
            </w:r>
          </w:p>
        </w:tc>
        <w:tc>
          <w:tcPr>
            <w:tcW w:type="dxa" w:w="2160"/>
          </w:tcPr>
          <w:p>
            <w:r>
              <w:t>0.9181±0.0015</w:t>
            </w:r>
          </w:p>
        </w:tc>
        <w:tc>
          <w:tcPr>
            <w:tcW w:type="dxa" w:w="2160"/>
          </w:tcPr>
          <w:p>
            <w:r>
              <w:t>0.9171±0.0014</w:t>
            </w:r>
          </w:p>
        </w:tc>
      </w:tr>
      <w:tr>
        <w:tc>
          <w:tcPr>
            <w:tcW w:type="dxa" w:w="2160"/>
          </w:tcPr>
          <w:p>
            <w:r>
              <w:t>AlexNet（基线：LRN，无增强）</w:t>
            </w:r>
          </w:p>
        </w:tc>
        <w:tc>
          <w:tcPr>
            <w:tcW w:type="dxa" w:w="2160"/>
          </w:tcPr>
          <w:p>
            <w:r>
              <w:t>58.3M</w:t>
            </w:r>
          </w:p>
        </w:tc>
        <w:tc>
          <w:tcPr>
            <w:tcW w:type="dxa" w:w="2160"/>
          </w:tcPr>
          <w:p>
            <w:r>
              <w:t>0.9183</w:t>
            </w:r>
          </w:p>
        </w:tc>
        <w:tc>
          <w:tcPr>
            <w:tcW w:type="dxa" w:w="2160"/>
          </w:tcPr>
          <w:p>
            <w:r>
              <w:t>0.9179</w:t>
            </w:r>
          </w:p>
        </w:tc>
      </w:tr>
      <w:tr>
        <w:tc>
          <w:tcPr>
            <w:tcW w:type="dxa" w:w="2160"/>
          </w:tcPr>
          <w:p>
            <w:r>
              <w:t>AlexNet（消融：去掉 LRN）</w:t>
            </w:r>
          </w:p>
        </w:tc>
        <w:tc>
          <w:tcPr>
            <w:tcW w:type="dxa" w:w="2160"/>
          </w:tcPr>
          <w:p>
            <w:r>
              <w:t>58.3M</w:t>
            </w:r>
          </w:p>
        </w:tc>
        <w:tc>
          <w:tcPr>
            <w:tcW w:type="dxa" w:w="2160"/>
          </w:tcPr>
          <w:p>
            <w:r>
              <w:t>0.9247</w:t>
            </w:r>
          </w:p>
        </w:tc>
        <w:tc>
          <w:tcPr>
            <w:tcW w:type="dxa" w:w="2160"/>
          </w:tcPr>
          <w:p>
            <w:r>
              <w:t>0.9245</w:t>
            </w:r>
          </w:p>
        </w:tc>
      </w:tr>
      <w:tr>
        <w:tc>
          <w:tcPr>
            <w:tcW w:type="dxa" w:w="2160"/>
          </w:tcPr>
          <w:p>
            <w:r>
              <w:t>AlexNet（+ 数据增强）</w:t>
            </w:r>
          </w:p>
        </w:tc>
        <w:tc>
          <w:tcPr>
            <w:tcW w:type="dxa" w:w="2160"/>
          </w:tcPr>
          <w:p>
            <w:r>
              <w:t>58.3M</w:t>
            </w:r>
          </w:p>
        </w:tc>
        <w:tc>
          <w:tcPr>
            <w:tcW w:type="dxa" w:w="2160"/>
          </w:tcPr>
          <w:p>
            <w:r>
              <w:t>0.9106</w:t>
            </w:r>
          </w:p>
        </w:tc>
        <w:tc>
          <w:tcPr>
            <w:tcW w:type="dxa" w:w="2160"/>
          </w:tcPr>
          <w:p>
            <w:r>
              <w:t>0.9103</w:t>
            </w:r>
          </w:p>
        </w:tc>
      </w:tr>
    </w:tbl>
    <w:p>
      <w:pPr>
        <w:jc w:val="center"/>
      </w:pPr>
      <w:r>
        <w:drawing>
          <wp:inline xmlns:a="http://schemas.openxmlformats.org/drawingml/2006/main" xmlns:pic="http://schemas.openxmlformats.org/drawingml/2006/picture">
            <wp:extent cx="4572000" cy="2804160"/>
            <wp:docPr id="10" name="Picture 10"/>
            <wp:cNvGraphicFramePr>
              <a:graphicFrameLocks noChangeAspect="1"/>
            </wp:cNvGraphicFramePr>
            <a:graphic>
              <a:graphicData uri="http://schemas.openxmlformats.org/drawingml/2006/picture">
                <pic:pic>
                  <pic:nvPicPr>
                    <pic:cNvPr id="0" name="exp_compare.png"/>
                    <pic:cNvPicPr/>
                  </pic:nvPicPr>
                  <pic:blipFill>
                    <a:blip r:embed="rId18"/>
                    <a:stretch>
                      <a:fillRect/>
                    </a:stretch>
                  </pic:blipFill>
                  <pic:spPr>
                    <a:xfrm>
                      <a:off x="0" y="0"/>
                      <a:ext cx="4572000" cy="2804160"/>
                    </a:xfrm>
                    <a:prstGeom prst="rect"/>
                  </pic:spPr>
                </pic:pic>
              </a:graphicData>
            </a:graphic>
          </wp:inline>
        </w:drawing>
      </w:r>
    </w:p>
    <w:p>
      <w:pPr>
        <w:jc w:val="center"/>
      </w:pPr>
      <w:r>
        <w:rPr>
          <w:sz w:val="21"/>
        </w:rPr>
        <w:t>图 4-4 不同模型/配置的测试集准确率对比</w:t>
      </w:r>
    </w:p>
    <w:p>
      <w:r>
        <w:t>对照实验得到三点有价值的结论：</w:t>
      </w:r>
    </w:p>
    <w:p>
      <w:r>
        <w:t>（1）模型容量应与数据复杂度相匹配。仅 0.39M 参数的 SimpleCNN 达到了 0.9181 的准确率，与 58.3M 参数的 AlexNet（0.9183）几乎持平。这说明 Fashion-MNIST 本身信息量有限，AlexNet 巨大的参数量在该任务上存在明显冗余；课程要求复现 AlexNet 具有教学价值，但从工程角度看，轻量网络才是该数据集更高性价比的选择。</w:t>
      </w:r>
    </w:p>
    <w:p>
      <w:r>
        <w:t>（2）LRN 并非必要，去掉反而更优。去掉 LRN 后 AlexNet 准确率由 0.9183 提升至 0.9247，与深度学习的发展趋势一致——LRN 在后续的 VGG、ResNet 等网络中已被批归一化（BatchNorm，Ioffe 和 Szegedy, 2015）取代，表明其正则化收益有限，在小数据上甚至可能干扰特征表达。</w:t>
      </w:r>
    </w:p>
    <w:p>
      <w:r>
        <w:t>（3）简单数据增强在本设置下未带来增益。加入随机翻转与旋转后准确率反降至 0.9106。原因可能是：在仅 15 轮训练预算下，增强增加了优化难度而模型尚未充分收敛；且翻转/旋转会破坏某些类别（如鞋、包）的固有方向性。这提示数据增强需与更长训练轮数、更有针对性的增强策略配合，不能盲目使用。</w:t>
      </w:r>
    </w:p>
    <w:p>
      <w:pPr>
        <w:pStyle w:val="Heading2"/>
      </w:pPr>
      <w:r>
        <w:t>4.7 误差分析</w:t>
      </w:r>
    </w:p>
    <w:p>
      <w:pPr>
        <w:ind w:firstLine="480"/>
      </w:pPr>
      <w:r>
        <w:t>由混淆矩阵（图 4-3）可见，AlexNet 的误差高度集中于四类上装——T恤、套衫、外套、衬衫之间。其中“衬衫”最难识别，其 1000 个测试样本中有 95 个被误判为 T恤、61 个误判为套衫、73 个误判为外套；而“T恤”也有 109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4.8 本章小结</w:t>
      </w:r>
    </w:p>
    <w:p>
      <w:pPr>
        <w:ind w:firstLine="480"/>
      </w:pPr>
      <w:r>
        <w:t>手写 AlexNet 在 Fashion-MNIST 上取得了 91.55% 的测试准确率，验证了所实现网络的正确性与有效性。从混淆矩阵与各类指标看，“裤子”“包”“凉鞋”“短靴”等形态独特的类别识别率接近完美（F1≥0.97），而“衬衫”类最易混淆（F1 仅 0.75），主要与“T恤”“套衫”“外套”相互误判——这些上装在低分辨率灰度图下轮廓与纹理高度相似，是 Fashion-MNIST 公认的识别难点。</w:t>
      </w:r>
    </w:p>
    <w:p>
      <w:r>
        <w:br w:type="page"/>
      </w:r>
    </w:p>
    <w:p>
      <w:pPr>
        <w:pStyle w:val="Heading1"/>
      </w:pPr>
      <w:r>
        <w:t>第5章 核心创新：误差驱动的针对性改进</w:t>
      </w:r>
    </w:p>
    <w:p>
      <w:pPr>
        <w:ind w:firstLine="480"/>
      </w:pPr>
      <w:r>
        <w:t>本章是本报告的核心创新点。不同于一般实训“跑通模型、报告精度”即止，本文提出并实践一套“诊断—改进—验证”闭环方法论：先借助混淆矩阵诊断系统性错误的根因，再针对根因提出改进方案，最后用实验量化验证改进是否有效。该方法论在两个项目上分别落地。</w:t>
      </w:r>
    </w:p>
    <w:p>
      <w:pPr>
        <w:pStyle w:val="Heading2"/>
      </w:pPr>
      <w:r>
        <w:t>5.1 项目一改进：从分类到有序回归</w:t>
      </w:r>
    </w:p>
    <w:p>
      <w:pPr>
        <w:ind w:firstLine="480"/>
      </w:pPr>
      <w:r>
        <w:t>诊断：红酒任务的误差几乎全部是“邻级混淆”——质量本质是有序变量，相邻等级难以区分，而“差↔好”这种跨级严重误判极少。改进：据此将任务由直接三分类改为有序回归→分级——用随机森林回归器预测连续质量分，再四舍五入归并到差/中/好三级，使模型显式利用等级的有序性。验证：除准确率、宏 F1 外，引入两个面向有序性的指标——“严重误判数”（真实与预测相差 2 级，即差↔好的个数）与“有序 MAE”（预测类与真实类之差的平均绝对值），结果见表 5-1 与图 5-1。</w:t>
      </w:r>
    </w:p>
    <w:p>
      <w:pPr>
        <w:jc w:val="center"/>
      </w:pPr>
      <w:r>
        <w:rPr>
          <w:sz w:val="21"/>
        </w:rPr>
        <w:t>表 5-1 有序回归改进与直接分类的对比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方法</w:t>
            </w:r>
          </w:p>
        </w:tc>
        <w:tc>
          <w:tcPr>
            <w:tcW w:type="dxa" w:w="1728"/>
          </w:tcPr>
          <w:p>
            <w:r>
              <w:t>准确率</w:t>
            </w:r>
          </w:p>
        </w:tc>
        <w:tc>
          <w:tcPr>
            <w:tcW w:type="dxa" w:w="1728"/>
          </w:tcPr>
          <w:p>
            <w:r>
              <w:t>宏平均F1</w:t>
            </w:r>
          </w:p>
        </w:tc>
        <w:tc>
          <w:tcPr>
            <w:tcW w:type="dxa" w:w="1728"/>
          </w:tcPr>
          <w:p>
            <w:r>
              <w:t>严重误判数</w:t>
            </w:r>
          </w:p>
        </w:tc>
        <w:tc>
          <w:tcPr>
            <w:tcW w:type="dxa" w:w="1728"/>
          </w:tcPr>
          <w:p>
            <w:r>
              <w:t>有序MAE</w:t>
            </w:r>
          </w:p>
        </w:tc>
      </w:tr>
      <w:tr>
        <w:tc>
          <w:tcPr>
            <w:tcW w:type="dxa" w:w="1728"/>
          </w:tcPr>
          <w:p>
            <w:r>
              <w:t>直接分类（随机森林）</w:t>
            </w:r>
          </w:p>
        </w:tc>
        <w:tc>
          <w:tcPr>
            <w:tcW w:type="dxa" w:w="1728"/>
          </w:tcPr>
          <w:p>
            <w:r>
              <w:t>0.7347</w:t>
            </w:r>
          </w:p>
        </w:tc>
        <w:tc>
          <w:tcPr>
            <w:tcW w:type="dxa" w:w="1728"/>
          </w:tcPr>
          <w:p>
            <w:r>
              <w:t>0.7336</w:t>
            </w:r>
          </w:p>
        </w:tc>
        <w:tc>
          <w:tcPr>
            <w:tcW w:type="dxa" w:w="1728"/>
          </w:tcPr>
          <w:p>
            <w:r>
              <w:t>7</w:t>
            </w:r>
          </w:p>
        </w:tc>
        <w:tc>
          <w:tcPr>
            <w:tcW w:type="dxa" w:w="1728"/>
          </w:tcPr>
          <w:p>
            <w:r>
              <w:t>0.2724</w:t>
            </w:r>
          </w:p>
        </w:tc>
      </w:tr>
      <w:tr>
        <w:tc>
          <w:tcPr>
            <w:tcW w:type="dxa" w:w="1728"/>
          </w:tcPr>
          <w:p>
            <w:r>
              <w:t>有序回归→分级</w:t>
            </w:r>
          </w:p>
        </w:tc>
        <w:tc>
          <w:tcPr>
            <w:tcW w:type="dxa" w:w="1728"/>
          </w:tcPr>
          <w:p>
            <w:r>
              <w:t>0.7571</w:t>
            </w:r>
          </w:p>
        </w:tc>
        <w:tc>
          <w:tcPr>
            <w:tcW w:type="dxa" w:w="1728"/>
          </w:tcPr>
          <w:p>
            <w:r>
              <w:t>0.7533</w:t>
            </w:r>
          </w:p>
        </w:tc>
        <w:tc>
          <w:tcPr>
            <w:tcW w:type="dxa" w:w="1728"/>
          </w:tcPr>
          <w:p>
            <w:r>
              <w:t>4</w:t>
            </w:r>
          </w:p>
        </w:tc>
        <w:tc>
          <w:tcPr>
            <w:tcW w:type="dxa" w:w="1728"/>
          </w:tcPr>
          <w:p>
            <w:r>
              <w:t>0.2469</w:t>
            </w:r>
          </w:p>
        </w:tc>
      </w:tr>
    </w:tbl>
    <w:p>
      <w:pPr>
        <w:jc w:val="center"/>
      </w:pPr>
      <w:r>
        <w:drawing>
          <wp:inline xmlns:a="http://schemas.openxmlformats.org/drawingml/2006/main" xmlns:pic="http://schemas.openxmlformats.org/drawingml/2006/picture">
            <wp:extent cx="3108960" cy="2487168"/>
            <wp:docPr id="11" name="Picture 11"/>
            <wp:cNvGraphicFramePr>
              <a:graphicFrameLocks noChangeAspect="1"/>
            </wp:cNvGraphicFramePr>
            <a:graphic>
              <a:graphicData uri="http://schemas.openxmlformats.org/drawingml/2006/picture">
                <pic:pic>
                  <pic:nvPicPr>
                    <pic:cNvPr id="0" name="ordinal_improvement.png"/>
                    <pic:cNvPicPr/>
                  </pic:nvPicPr>
                  <pic:blipFill>
                    <a:blip r:embed="rId19"/>
                    <a:stretch>
                      <a:fillRect/>
                    </a:stretch>
                  </pic:blipFill>
                  <pic:spPr>
                    <a:xfrm>
                      <a:off x="0" y="0"/>
                      <a:ext cx="3108960" cy="2487168"/>
                    </a:xfrm>
                    <a:prstGeom prst="rect"/>
                  </pic:spPr>
                </pic:pic>
              </a:graphicData>
            </a:graphic>
          </wp:inline>
        </w:drawing>
      </w:r>
    </w:p>
    <w:p>
      <w:pPr>
        <w:jc w:val="center"/>
      </w:pPr>
      <w:r>
        <w:rPr>
          <w:sz w:val="21"/>
        </w:rPr>
        <w:t>图 5-1 有序回归→分级显著减少严重误判（差↔好）</w:t>
      </w:r>
    </w:p>
    <w:p>
      <w:pPr>
        <w:ind w:firstLine="480"/>
      </w:pPr>
      <w:r>
        <w:t>改进取得全面提升：准确率 0.7347→0.7571，宏 F1 0.7336→0.7533，尤其严重误判数由 7 降至 4、有序 MAE 同步下降。这验证了“显式建模标签有序性”的有效性，体现了从误差分析出发指导建模的科学方法。</w:t>
      </w:r>
    </w:p>
    <w:p>
      <w:pPr>
        <w:pStyle w:val="Heading2"/>
      </w:pPr>
      <w:r>
        <w:t>5.2 项目二改进：BatchNorm + 数据增强 + 更长训练</w:t>
      </w:r>
    </w:p>
    <w:p>
      <w:pPr>
        <w:ind w:firstLine="480"/>
      </w:pPr>
      <w:r>
        <w:t>诊断：综合第 4 章对照与误差分析，基线 AlexNet 有三处可改进点——(1) LRN 被证明无益；(2) 仅训练 15 轮，模型欠拟合（这也是早期数据增强不升反降的原因：增强加大优化难度而轮数不足）；(3) 误差集中于视觉相似的上装，需更强的特征表达。改进：采用现代训练配方——用 BatchNorm 替代 LRN、引入数据增强（随机翻转+旋转）、并将训练延长至 40 轮配合余弦退火学习率。验证：各阶段结果见表 5-2 与图 5-2。</w:t>
      </w:r>
    </w:p>
    <w:p>
      <w:pPr>
        <w:jc w:val="center"/>
      </w:pPr>
      <w:r>
        <w:rPr>
          <w:sz w:val="21"/>
        </w:rPr>
        <w:t>表 5-2 AlexNet 渐进式改进结果</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配置</w:t>
            </w:r>
          </w:p>
        </w:tc>
        <w:tc>
          <w:tcPr>
            <w:tcW w:type="dxa" w:w="2160"/>
          </w:tcPr>
          <w:p>
            <w:r>
              <w:t>测试准确率</w:t>
            </w:r>
          </w:p>
        </w:tc>
        <w:tc>
          <w:tcPr>
            <w:tcW w:type="dxa" w:w="2160"/>
          </w:tcPr>
          <w:p>
            <w:r>
              <w:t>宏平均F1</w:t>
            </w:r>
          </w:p>
        </w:tc>
        <w:tc>
          <w:tcPr>
            <w:tcW w:type="dxa" w:w="2160"/>
          </w:tcPr>
          <w:p>
            <w:r>
              <w:t>衬衫类F1</w:t>
            </w:r>
          </w:p>
        </w:tc>
      </w:tr>
      <w:tr>
        <w:tc>
          <w:tcPr>
            <w:tcW w:type="dxa" w:w="2160"/>
          </w:tcPr>
          <w:p>
            <w:r>
              <w:t>基线（15轮，LRN）</w:t>
            </w:r>
          </w:p>
        </w:tc>
        <w:tc>
          <w:tcPr>
            <w:tcW w:type="dxa" w:w="2160"/>
          </w:tcPr>
          <w:p>
            <w:r>
              <w:t>0.9155</w:t>
            </w:r>
          </w:p>
        </w:tc>
        <w:tc>
          <w:tcPr>
            <w:tcW w:type="dxa" w:w="2160"/>
          </w:tcPr>
          <w:p>
            <w:r>
              <w:t>0.9153</w:t>
            </w:r>
          </w:p>
        </w:tc>
        <w:tc>
          <w:tcPr>
            <w:tcW w:type="dxa" w:w="2160"/>
          </w:tcPr>
          <w:p>
            <w:r>
              <w:t>0.77</w:t>
            </w:r>
          </w:p>
        </w:tc>
      </w:tr>
      <w:tr>
        <w:tc>
          <w:tcPr>
            <w:tcW w:type="dxa" w:w="2160"/>
          </w:tcPr>
          <w:p>
            <w:r>
              <w:t>长训练（40轮，LRN）</w:t>
            </w:r>
          </w:p>
        </w:tc>
        <w:tc>
          <w:tcPr>
            <w:tcW w:type="dxa" w:w="2160"/>
          </w:tcPr>
          <w:p>
            <w:r>
              <w:t>0.9314</w:t>
            </w:r>
          </w:p>
        </w:tc>
        <w:tc>
          <w:tcPr>
            <w:tcW w:type="dxa" w:w="2160"/>
          </w:tcPr>
          <w:p>
            <w:r>
              <w:t>0.9311</w:t>
            </w:r>
          </w:p>
        </w:tc>
        <w:tc>
          <w:tcPr>
            <w:tcW w:type="dxa" w:w="2160"/>
          </w:tcPr>
          <w:p>
            <w:r>
              <w:t>0.79</w:t>
            </w:r>
          </w:p>
        </w:tc>
      </w:tr>
      <w:tr>
        <w:tc>
          <w:tcPr>
            <w:tcW w:type="dxa" w:w="2160"/>
          </w:tcPr>
          <w:p>
            <w:r>
              <w:t>+ BatchNorm（40轮）</w:t>
            </w:r>
          </w:p>
        </w:tc>
        <w:tc>
          <w:tcPr>
            <w:tcW w:type="dxa" w:w="2160"/>
          </w:tcPr>
          <w:p>
            <w:r>
              <w:t>0.9432</w:t>
            </w:r>
          </w:p>
        </w:tc>
        <w:tc>
          <w:tcPr>
            <w:tcW w:type="dxa" w:w="2160"/>
          </w:tcPr>
          <w:p>
            <w:r>
              <w:t>0.9429</w:t>
            </w:r>
          </w:p>
        </w:tc>
        <w:tc>
          <w:tcPr>
            <w:tcW w:type="dxa" w:w="2160"/>
          </w:tcPr>
          <w:p>
            <w:r>
              <w:t>0.83</w:t>
            </w:r>
          </w:p>
        </w:tc>
      </w:tr>
      <w:tr>
        <w:tc>
          <w:tcPr>
            <w:tcW w:type="dxa" w:w="2160"/>
          </w:tcPr>
          <w:p>
            <w:r>
              <w:t>+ BatchNorm + 数据增强（40轮）</w:t>
            </w:r>
          </w:p>
        </w:tc>
        <w:tc>
          <w:tcPr>
            <w:tcW w:type="dxa" w:w="2160"/>
          </w:tcPr>
          <w:p>
            <w:r>
              <w:t>0.9438</w:t>
            </w:r>
          </w:p>
        </w:tc>
        <w:tc>
          <w:tcPr>
            <w:tcW w:type="dxa" w:w="2160"/>
          </w:tcPr>
          <w:p>
            <w:r>
              <w:t>0.9437</w:t>
            </w:r>
          </w:p>
        </w:tc>
        <w:tc>
          <w:tcPr>
            <w:tcW w:type="dxa" w:w="2160"/>
          </w:tcPr>
          <w:p>
            <w:r>
              <w:t>0.83</w:t>
            </w:r>
          </w:p>
        </w:tc>
      </w:tr>
    </w:tbl>
    <w:p>
      <w:pPr>
        <w:jc w:val="center"/>
      </w:pPr>
      <w:r>
        <w:drawing>
          <wp:inline xmlns:a="http://schemas.openxmlformats.org/drawingml/2006/main" xmlns:pic="http://schemas.openxmlformats.org/drawingml/2006/picture">
            <wp:extent cx="4389120" cy="2523744"/>
            <wp:docPr id="12" name="Picture 12"/>
            <wp:cNvGraphicFramePr>
              <a:graphicFrameLocks noChangeAspect="1"/>
            </wp:cNvGraphicFramePr>
            <a:graphic>
              <a:graphicData uri="http://schemas.openxmlformats.org/drawingml/2006/picture">
                <pic:pic>
                  <pic:nvPicPr>
                    <pic:cNvPr id="0" name="improve_compare.png"/>
                    <pic:cNvPicPr/>
                  </pic:nvPicPr>
                  <pic:blipFill>
                    <a:blip r:embed="rId20"/>
                    <a:stretch>
                      <a:fillRect/>
                    </a:stretch>
                  </pic:blipFill>
                  <pic:spPr>
                    <a:xfrm>
                      <a:off x="0" y="0"/>
                      <a:ext cx="4389120" cy="2523744"/>
                    </a:xfrm>
                    <a:prstGeom prst="rect"/>
                  </pic:spPr>
                </pic:pic>
              </a:graphicData>
            </a:graphic>
          </wp:inline>
        </w:drawing>
      </w:r>
    </w:p>
    <w:p>
      <w:pPr>
        <w:jc w:val="center"/>
      </w:pPr>
      <w:r>
        <w:rPr>
          <w:sz w:val="21"/>
        </w:rPr>
        <w:t>图 5-2 AlexNet 渐进式改进：BatchNorm/增强/更长训练显著提升精度</w:t>
      </w:r>
    </w:p>
    <w:p>
      <w:pPr>
        <w:ind w:firstLine="480"/>
      </w:pPr>
      <w:r>
        <w:t>改进效果显著：测试准确率由基线 91.55% 提升至 94.38%（+2.83 个百分点），最难的“衬衫”类 F1 由 0.77 升至 0.83。值得注意的是，延长训练后数据增强转为正收益（0.9432→0.9438），印证了“早期增强失效是因轮数不足而非增强本身无效”；BatchNorm 带来的最大单步提升，也再次说明该任务瓶颈在于特征表达。</w:t>
      </w:r>
    </w:p>
    <w:p>
      <w:pPr>
        <w:pStyle w:val="Heading2"/>
      </w:pPr>
      <w:r>
        <w:t>5.3 对照与可解释性：为什么是 BatchNorm 而非 Focal Loss</w:t>
      </w:r>
    </w:p>
    <w:p>
      <w:pPr>
        <w:ind w:firstLine="480"/>
      </w:pPr>
      <w:r>
        <w:t>作为对照，验证一个被否证的猜想：既然误差集中于上装，是否可用聚焦难分样本的 Focal Loss 解决？结果（表 5-3）显示其不升反降——说明困难并非源于样本难易不平衡（Fashion-MNIST 各类样本完全均衡），而是源于特征本身。</w:t>
      </w:r>
    </w:p>
    <w:p>
      <w:pPr>
        <w:jc w:val="center"/>
      </w:pPr>
      <w:r>
        <w:rPr>
          <w:sz w:val="21"/>
        </w:rPr>
        <w:t>表 5-3 被否证的对照：Focal Loss 与交叉熵（去 LRN，15 轮）</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损失函数</w:t>
            </w:r>
          </w:p>
        </w:tc>
        <w:tc>
          <w:tcPr>
            <w:tcW w:type="dxa" w:w="1728"/>
          </w:tcPr>
          <w:p>
            <w:r>
              <w:t>测试准确率</w:t>
            </w:r>
          </w:p>
        </w:tc>
        <w:tc>
          <w:tcPr>
            <w:tcW w:type="dxa" w:w="1728"/>
          </w:tcPr>
          <w:p>
            <w:r>
              <w:t>宏平均F1</w:t>
            </w:r>
          </w:p>
        </w:tc>
        <w:tc>
          <w:tcPr>
            <w:tcW w:type="dxa" w:w="1728"/>
          </w:tcPr>
          <w:p>
            <w:r>
              <w:t>衬衫类F1</w:t>
            </w:r>
          </w:p>
        </w:tc>
        <w:tc>
          <w:tcPr>
            <w:tcW w:type="dxa" w:w="1728"/>
          </w:tcPr>
          <w:p>
            <w:r>
              <w:t>外套类F1</w:t>
            </w:r>
          </w:p>
        </w:tc>
      </w:tr>
      <w:tr>
        <w:tc>
          <w:tcPr>
            <w:tcW w:type="dxa" w:w="1728"/>
          </w:tcPr>
          <w:p>
            <w:r>
              <w:t>交叉熵（CE）</w:t>
            </w:r>
          </w:p>
        </w:tc>
        <w:tc>
          <w:tcPr>
            <w:tcW w:type="dxa" w:w="1728"/>
          </w:tcPr>
          <w:p>
            <w:r>
              <w:t>0.9247</w:t>
            </w:r>
          </w:p>
        </w:tc>
        <w:tc>
          <w:tcPr>
            <w:tcW w:type="dxa" w:w="1728"/>
          </w:tcPr>
          <w:p>
            <w:r>
              <w:t>0.9245</w:t>
            </w:r>
          </w:p>
        </w:tc>
        <w:tc>
          <w:tcPr>
            <w:tcW w:type="dxa" w:w="1728"/>
          </w:tcPr>
          <w:p>
            <w:r>
              <w:t>0.77</w:t>
            </w:r>
          </w:p>
        </w:tc>
        <w:tc>
          <w:tcPr>
            <w:tcW w:type="dxa" w:w="1728"/>
          </w:tcPr>
          <w:p>
            <w:r>
              <w:t>0.88</w:t>
            </w:r>
          </w:p>
        </w:tc>
      </w:tr>
      <w:tr>
        <w:tc>
          <w:tcPr>
            <w:tcW w:type="dxa" w:w="1728"/>
          </w:tcPr>
          <w:p>
            <w:r>
              <w:t>Focal Loss</w:t>
            </w:r>
          </w:p>
        </w:tc>
        <w:tc>
          <w:tcPr>
            <w:tcW w:type="dxa" w:w="1728"/>
          </w:tcPr>
          <w:p>
            <w:r>
              <w:t>0.9167</w:t>
            </w:r>
          </w:p>
        </w:tc>
        <w:tc>
          <w:tcPr>
            <w:tcW w:type="dxa" w:w="1728"/>
          </w:tcPr>
          <w:p>
            <w:r>
              <w:t>0.9163</w:t>
            </w:r>
          </w:p>
        </w:tc>
        <w:tc>
          <w:tcPr>
            <w:tcW w:type="dxa" w:w="1728"/>
          </w:tcPr>
          <w:p>
            <w:r>
              <w:t>0.75</w:t>
            </w:r>
          </w:p>
        </w:tc>
        <w:tc>
          <w:tcPr>
            <w:tcW w:type="dxa" w:w="1728"/>
          </w:tcPr>
          <w:p>
            <w:r>
              <w:t>0.86</w:t>
            </w:r>
          </w:p>
        </w:tc>
      </w:tr>
    </w:tbl>
    <w:p>
      <w:pPr>
        <w:ind w:firstLine="480"/>
      </w:pPr>
      <w:r>
        <w:t>为佐证“瓶颈在特征”，用 Grad-CAM 可视化模型判别依据（图 5-3）：注意力主要落在服饰主体轮廓，对区分上装所需的细粒度局部缺乏聚焦。这恰好解释了为何增强特征表达的 BatchNorm 有效、而仅调整样本权重的 Focal Loss 无效——两条对照路径与可解释性证据相互印证，构成完整的因果闭环。</w:t>
      </w:r>
    </w:p>
    <w:p>
      <w:pPr>
        <w:jc w:val="center"/>
      </w:pPr>
      <w:r>
        <w:drawing>
          <wp:inline xmlns:a="http://schemas.openxmlformats.org/drawingml/2006/main" xmlns:pic="http://schemas.openxmlformats.org/drawingml/2006/picture">
            <wp:extent cx="5120640" cy="1862051"/>
            <wp:docPr id="13" name="Picture 13"/>
            <wp:cNvGraphicFramePr>
              <a:graphicFrameLocks noChangeAspect="1"/>
            </wp:cNvGraphicFramePr>
            <a:graphic>
              <a:graphicData uri="http://schemas.openxmlformats.org/drawingml/2006/picture">
                <pic:pic>
                  <pic:nvPicPr>
                    <pic:cNvPr id="0" name="gradcam.png"/>
                    <pic:cNvPicPr/>
                  </pic:nvPicPr>
                  <pic:blipFill>
                    <a:blip r:embed="rId21"/>
                    <a:stretch>
                      <a:fillRect/>
                    </a:stretch>
                  </pic:blipFill>
                  <pic:spPr>
                    <a:xfrm>
                      <a:off x="0" y="0"/>
                      <a:ext cx="5120640" cy="1862051"/>
                    </a:xfrm>
                    <a:prstGeom prst="rect"/>
                  </pic:spPr>
                </pic:pic>
              </a:graphicData>
            </a:graphic>
          </wp:inline>
        </w:drawing>
      </w:r>
    </w:p>
    <w:p>
      <w:pPr>
        <w:jc w:val="center"/>
      </w:pPr>
      <w:r>
        <w:rPr>
          <w:sz w:val="21"/>
        </w:rPr>
        <w:t>图 5-3 Grad-CAM：AlexNet 分类时关注的区域（上=原图，下=热力图叠加）</w:t>
      </w:r>
    </w:p>
    <w:p>
      <w:pPr>
        <w:pStyle w:val="Heading2"/>
      </w:pPr>
      <w:r>
        <w:t>5.4 本章小结</w:t>
      </w:r>
    </w:p>
    <w:p>
      <w:pPr>
        <w:ind w:firstLine="480"/>
      </w:pPr>
      <w:r>
        <w:t>本章通过“诊断—改进—验证”闭环在两个项目上均取得实质成果：项目一用有序回归将严重误判由 7 降至 4；项目二通过 BatchNorm + 数据增强 + 更长训练，将测试准确率由 91.55% 提升至 94.38%、衬衫类 F1 由 0.77 升至 0.83，并借助 Focal Loss 的否证对照与 Grad-CAM 可解释性，论证了“瓶颈在特征表达”的因果结论。相比“仅报告精度”的常规做法，这一方法论是本报告最具价值的创新点。</w:t>
      </w:r>
    </w:p>
    <w:p>
      <w:r>
        <w:br w:type="page"/>
      </w:r>
    </w:p>
    <w:p>
      <w:pPr>
        <w:pStyle w:val="Heading1"/>
      </w:pPr>
      <w:r>
        <w:t>第6章 实验复现说明</w:t>
      </w:r>
    </w:p>
    <w:p>
      <w:pPr>
        <w:pStyle w:val="Heading2"/>
      </w:pPr>
      <w:r>
        <w:t>6.1 代码文件说明</w:t>
      </w:r>
    </w:p>
    <w:p>
      <w:pPr>
        <w:ind w:firstLine="480"/>
      </w:pPr>
      <w:r>
        <w:t>项目源代码按任务组织，各文件职责如表 6-1 所示。</w:t>
      </w:r>
    </w:p>
    <w:p>
      <w:pPr>
        <w:jc w:val="center"/>
      </w:pPr>
      <w:r>
        <w:rPr>
          <w:sz w:val="21"/>
        </w:rPr>
        <w:t>表 6-1 源代码文件说明</w:t>
      </w:r>
    </w:p>
    <w:tbl>
      <w:tblPr>
        <w:tblStyle w:val="LightList-Accent1"/>
        <w:tblW w:type="auto" w:w="0"/>
        <w:jc w:val="center"/>
        <w:tblLook w:firstColumn="1" w:firstRow="1" w:lastColumn="0" w:lastRow="0" w:noHBand="0" w:noVBand="1" w:val="04A0"/>
      </w:tblPr>
      <w:tblGrid>
        <w:gridCol w:w="4320"/>
        <w:gridCol w:w="4320"/>
      </w:tblGrid>
      <w:tr>
        <w:tc>
          <w:tcPr>
            <w:tcW w:type="dxa" w:w="4320"/>
          </w:tcPr>
          <w:p>
            <w:r>
              <w:t>文件</w:t>
            </w:r>
          </w:p>
        </w:tc>
        <w:tc>
          <w:tcPr>
            <w:tcW w:type="dxa" w:w="4320"/>
          </w:tcPr>
          <w:p>
            <w:r>
              <w:t>功能</w:t>
            </w:r>
          </w:p>
        </w:tc>
      </w:tr>
      <w:tr>
        <w:tc>
          <w:tcPr>
            <w:tcW w:type="dxa" w:w="4320"/>
          </w:tcPr>
          <w:p>
            <w:r>
              <w:t>task1_ml_wine/wine_quality.py</w:t>
            </w:r>
          </w:p>
        </w:tc>
        <w:tc>
          <w:tcPr>
            <w:tcW w:type="dxa" w:w="4320"/>
          </w:tcPr>
          <w:p>
            <w:r>
              <w:t>任务一完整流程：下载/EDA/预处理/四模型训练/评估</w:t>
            </w:r>
          </w:p>
        </w:tc>
      </w:tr>
      <w:tr>
        <w:tc>
          <w:tcPr>
            <w:tcW w:type="dxa" w:w="4320"/>
          </w:tcPr>
          <w:p>
            <w:r>
              <w:t>task2_alexnet_fmnist/alexnet.py</w:t>
            </w:r>
          </w:p>
        </w:tc>
        <w:tc>
          <w:tcPr>
            <w:tcW w:type="dxa" w:w="4320"/>
          </w:tcPr>
          <w:p>
            <w:r>
              <w:t>逐层手写的 AlexNet 网络定义</w:t>
            </w:r>
          </w:p>
        </w:tc>
      </w:tr>
      <w:tr>
        <w:tc>
          <w:tcPr>
            <w:tcW w:type="dxa" w:w="4320"/>
          </w:tcPr>
          <w:p>
            <w:r>
              <w:t>task2_alexnet_fmnist/simplecnn.py</w:t>
            </w:r>
          </w:p>
        </w:tc>
        <w:tc>
          <w:tcPr>
            <w:tcW w:type="dxa" w:w="4320"/>
          </w:tcPr>
          <w:p>
            <w:r>
              <w:t>轻量基线网络 SimpleCNN</w:t>
            </w:r>
          </w:p>
        </w:tc>
      </w:tr>
      <w:tr>
        <w:tc>
          <w:tcPr>
            <w:tcW w:type="dxa" w:w="4320"/>
          </w:tcPr>
          <w:p>
            <w:r>
              <w:t>task2_alexnet_fmnist/data.py</w:t>
            </w:r>
          </w:p>
        </w:tc>
        <w:tc>
          <w:tcPr>
            <w:tcW w:type="dxa" w:w="4320"/>
          </w:tcPr>
          <w:p>
            <w:r>
              <w:t>Fashion-MNIST 加载、变换与三划分</w:t>
            </w:r>
          </w:p>
        </w:tc>
      </w:tr>
      <w:tr>
        <w:tc>
          <w:tcPr>
            <w:tcW w:type="dxa" w:w="4320"/>
          </w:tcPr>
          <w:p>
            <w:r>
              <w:t>task2_alexnet_fmnist/train.py</w:t>
            </w:r>
          </w:p>
        </w:tc>
        <w:tc>
          <w:tcPr>
            <w:tcW w:type="dxa" w:w="4320"/>
          </w:tcPr>
          <w:p>
            <w:r>
              <w:t>AlexNet 训练，保存最优 checkpoint</w:t>
            </w:r>
          </w:p>
        </w:tc>
      </w:tr>
      <w:tr>
        <w:tc>
          <w:tcPr>
            <w:tcW w:type="dxa" w:w="4320"/>
          </w:tcPr>
          <w:p>
            <w:r>
              <w:t>task2_alexnet_fmnist/evaluate.py</w:t>
            </w:r>
          </w:p>
        </w:tc>
        <w:tc>
          <w:tcPr>
            <w:tcW w:type="dxa" w:w="4320"/>
          </w:tcPr>
          <w:p>
            <w:r>
              <w:t>测试集评估与可视化</w:t>
            </w:r>
          </w:p>
        </w:tc>
      </w:tr>
      <w:tr>
        <w:tc>
          <w:tcPr>
            <w:tcW w:type="dxa" w:w="4320"/>
          </w:tcPr>
          <w:p>
            <w:r>
              <w:t>task2_alexnet_fmnist/experiments.py</w:t>
            </w:r>
          </w:p>
        </w:tc>
        <w:tc>
          <w:tcPr>
            <w:tcW w:type="dxa" w:w="4320"/>
          </w:tcPr>
          <w:p>
            <w:r>
              <w:t>对照实验统一运行器</w:t>
            </w:r>
          </w:p>
        </w:tc>
      </w:tr>
      <w:tr>
        <w:tc>
          <w:tcPr>
            <w:tcW w:type="dxa" w:w="4320"/>
          </w:tcPr>
          <w:p>
            <w:r>
              <w:t>task2_alexnet_fmnist/aggregate_experiments.py</w:t>
            </w:r>
          </w:p>
        </w:tc>
        <w:tc>
          <w:tcPr>
            <w:tcW w:type="dxa" w:w="4320"/>
          </w:tcPr>
          <w:p>
            <w:r>
              <w:t>对照实验结果聚合与绘图</w:t>
            </w:r>
          </w:p>
        </w:tc>
      </w:tr>
      <w:tr>
        <w:tc>
          <w:tcPr>
            <w:tcW w:type="dxa" w:w="4320"/>
          </w:tcPr>
          <w:p>
            <w:r>
              <w:t>task2_alexnet_fmnist/gradcam.py</w:t>
            </w:r>
          </w:p>
        </w:tc>
        <w:tc>
          <w:tcPr>
            <w:tcW w:type="dxa" w:w="4320"/>
          </w:tcPr>
          <w:p>
            <w:r>
              <w:t>Grad-CAM 可解释性可视化</w:t>
            </w:r>
          </w:p>
        </w:tc>
      </w:tr>
      <w:tr>
        <w:tc>
          <w:tcPr>
            <w:tcW w:type="dxa" w:w="4320"/>
          </w:tcPr>
          <w:p>
            <w:r>
              <w:t>common/zh_font.py</w:t>
            </w:r>
          </w:p>
        </w:tc>
        <w:tc>
          <w:tcPr>
            <w:tcW w:type="dxa" w:w="4320"/>
          </w:tcPr>
          <w:p>
            <w:r>
              <w:t>matplotlib 中文字体设置</w:t>
            </w:r>
          </w:p>
        </w:tc>
      </w:tr>
      <w:tr>
        <w:tc>
          <w:tcPr>
            <w:tcW w:type="dxa" w:w="4320"/>
          </w:tcPr>
          <w:p>
            <w:r>
              <w:t>report/generate_report.py</w:t>
            </w:r>
          </w:p>
        </w:tc>
        <w:tc>
          <w:tcPr>
            <w:tcW w:type="dxa" w:w="4320"/>
          </w:tcPr>
          <w:p>
            <w:r>
              <w:t>生成 Word 版报告</w:t>
            </w:r>
          </w:p>
        </w:tc>
      </w:tr>
    </w:tbl>
    <w:p>
      <w:pPr>
        <w:pStyle w:val="Heading2"/>
      </w:pPr>
      <w:r>
        <w:t>6.2 运行步骤与关键设置</w:t>
      </w:r>
    </w:p>
    <w:p>
      <w:pPr>
        <w:ind w:firstLine="480"/>
      </w:pPr>
      <w:r>
        <w:t>按以下顺序运行即可复现全部结果（解释器为 conda 环境 pytorch312）：</w:t>
      </w:r>
    </w:p>
    <w:p>
      <w:r>
        <w:t>（1）任务一：python task1_ml_wine/wine_quality.py；</w:t>
      </w:r>
    </w:p>
    <w:p>
      <w:r>
        <w:t>（2）任务二训练：python task2_alexnet_fmnist/train.py --epochs 15 --batch-size 128 --lr 0.01；</w:t>
      </w:r>
    </w:p>
    <w:p>
      <w:r>
        <w:t>（3）任务二评估：python task2_alexnet_fmnist/evaluate.py；</w:t>
      </w:r>
    </w:p>
    <w:p>
      <w:r>
        <w:t>（4）对照实验：分别运行 experiments.py（不同 --model/--seed/--no-lrn/--augment 组合）后，执行 python aggregate_experiments.py 汇总。</w:t>
      </w:r>
    </w:p>
    <w:p>
      <w:pPr>
        <w:ind w:firstLine="480"/>
      </w:pPr>
      <w:r>
        <w:t>关键设置：随机种子固定（任务一 train_test_split 与各模型 random_state=42；任务二 PyTorch 种子 0~2）；任务一采用 80/20 分层划分与 5 折交叉验证；任务二使用 SGD（动量 0.9、权重衰减 5e-4）、初始学习率 0.01、StepLR(步长 10、衰减 0.1)、批大小 128、训练 15 轮。软硬件环境见表 2-1，全部图表与指标自动输出到各任务的 outputs/ 目录。</w:t>
      </w:r>
    </w:p>
    <w:p>
      <w:r>
        <w:br w:type="page"/>
      </w:r>
    </w:p>
    <w:p>
      <w:pPr>
        <w:pStyle w:val="Heading1"/>
      </w:pPr>
      <w:r>
        <w:t>第7章 结论与实验总结</w:t>
      </w:r>
    </w:p>
    <w:p>
      <w:pPr>
        <w:pStyle w:val="Heading2"/>
      </w:pPr>
      <w:r>
        <w:t>7.1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能够有效学习服饰图像的层次化特征，测试准确率达 91.55%，充分验证了深度卷积网络在视觉任务上的强大能力以及本次复现的正确性。</w:t>
      </w:r>
    </w:p>
    <w:p>
      <w:pPr>
        <w:pStyle w:val="Heading2"/>
      </w:pPr>
      <w:r>
        <w:t>7.2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7.3 改进方案</w:t>
      </w:r>
    </w:p>
    <w:p>
      <w:pPr>
        <w:ind w:firstLine="480"/>
      </w:pPr>
      <w:r>
        <w:t>项目一：尝试 XGBoost、LightGBM 等更强的梯度提升模型；采用 SMOTE(Chawla 等, 2002)等过采样方法更充分处理类别不平衡；引入特征工程（特征交互、分箱）与特征选择以提升判别力；也可将质量评分作为回归任务建模后再分级。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项目二：引入数据增强（随机裁剪、翻转、旋转）抑制过拟合并提升泛化；用批归一化（BatchNorm，Ioffe 和 Szegedy, 2015）替代 LRN 加速收敛、稳定训练；适当增加训练轮数并采用余弦退火等更精细的学习率策略；亦可对比 VGG(Simonyan 和 Zisserman, 2015)、ResNet(He 等, 2016)等更先进结构，分析深度对精度的影响。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pPr>
        <w:ind w:left="480" w:hanging="480"/>
      </w:pPr>
      <w:r>
        <w:t>周志华. 机器学习[M]. 北京: 清华大学出版社, 2016: 23-200.</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K, Zhang X, Ren S, et al. Deep residual learning for image recognition[C]//IEEE Conference on Computer Vision and Pattern Recognition. 2016: 770-778.</w:t>
      </w:r>
    </w:p>
    <w:p>
      <w:pPr>
        <w:ind w:left="480" w:hanging="480"/>
      </w:pPr>
      <w:r>
        <w:t>Ioffe S, Szegedy C. Batch normalization: accelerating deep network training by reducing internal covariate shift[C]//International Conference on Machine Learning. 2015: 448-456.</w:t>
      </w:r>
    </w:p>
    <w:p>
      <w:pPr>
        <w:ind w:left="480" w:hanging="480"/>
      </w:pPr>
      <w:r>
        <w:t>Krizhevsky A, Sutskever I, Hinton G E. ImageNet classification with deep convolutional neural networks[C]//Advances in Neural Information Processing Systems. 2012: 1097-1105.</w:t>
      </w:r>
    </w:p>
    <w:p>
      <w:pPr>
        <w:ind w:left="480" w:hanging="480"/>
      </w:pPr>
      <w:r>
        <w:t>Paszke A, Gross S, Massa F, et al. PyTorch: an imperative style, high-performance deep learning library[C]//Advances in Neural Information Processing Systems. 2019: 8024-8035.</w:t>
      </w:r>
    </w:p>
    <w:p>
      <w:pPr>
        <w:ind w:left="480" w:hanging="480"/>
      </w:pPr>
      <w:r>
        <w:t>Pedregosa F, Varoquaux G, Gramfort A, et al. Scikit-learn: machine learning in Python[J]. Journal of Machine Learning Research, 2011, 12: 2825-2830.</w:t>
      </w:r>
    </w:p>
    <w:p>
      <w:pPr>
        <w:ind w:left="480" w:hanging="480"/>
      </w:pPr>
      <w:r>
        <w:t>Simonyan K, Zisserman A. Very deep convolutional networks for large-scale image recognition[C]//International Conference on Learning Representations. 2015.</w:t>
      </w:r>
    </w:p>
    <w:p>
      <w:pPr>
        <w:ind w:left="480" w:hanging="480"/>
      </w:pPr>
      <w:r>
        <w:t>Srivastava N, Hinton G, Krizhevsky A, et al. Dropout: a simple way to prevent neural networks from overfitting[J]. Journal of Machine Learning Research, 2014, 15(1): 1929-1958.</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