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AC2C17"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w:t>
      </w:r>
      <w:r w:rsidR="008D485F">
        <w:rPr>
          <w:rFonts w:ascii="微软雅黑" w:eastAsia="微软雅黑" w:hAnsi="微软雅黑" w:cs="微软雅黑"/>
        </w:rPr>
        <w:t>（取消审核）</w:t>
      </w:r>
      <w:r>
        <w:rPr>
          <w:rFonts w:ascii="微软雅黑" w:eastAsia="微软雅黑" w:hAnsi="微软雅黑" w:cs="微软雅黑"/>
        </w:rPr>
        <w:t>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r w:rsidR="008D485F">
              <w:rPr>
                <w:rFonts w:ascii="微软雅黑" w:eastAsia="微软雅黑" w:hAnsi="微软雅黑" w:cs="微软雅黑"/>
                <w:color w:val="505050"/>
                <w:sz w:val="18"/>
                <w:szCs w:val="18"/>
                <w:shd w:val="clear" w:color="auto" w:fill="FAFAFA"/>
              </w:rPr>
              <w:t xml:space="preserve"> </w:t>
            </w:r>
            <w:r w:rsidR="008D485F">
              <w:rPr>
                <w:rFonts w:ascii="微软雅黑" w:eastAsia="微软雅黑" w:hAnsi="微软雅黑" w:cs="微软雅黑" w:hint="default"/>
                <w:color w:val="505050"/>
                <w:sz w:val="18"/>
                <w:szCs w:val="18"/>
                <w:shd w:val="clear" w:color="auto" w:fill="FAFAFA"/>
              </w:rPr>
              <w:t xml:space="preserve">2 </w:t>
            </w:r>
            <w:r w:rsidR="008D485F">
              <w:rPr>
                <w:rFonts w:ascii="微软雅黑" w:eastAsia="微软雅黑" w:hAnsi="微软雅黑" w:cs="微软雅黑"/>
                <w:color w:val="505050"/>
                <w:sz w:val="18"/>
                <w:szCs w:val="18"/>
                <w:shd w:val="clear" w:color="auto" w:fill="FAFAFA"/>
              </w:rPr>
              <w:t xml:space="preserve">文章取消审核 </w:t>
            </w:r>
            <w:r w:rsidR="008D485F">
              <w:rPr>
                <w:rFonts w:ascii="微软雅黑" w:eastAsia="微软雅黑" w:hAnsi="微软雅黑" w:cs="微软雅黑" w:hint="default"/>
                <w:color w:val="505050"/>
                <w:sz w:val="18"/>
                <w:szCs w:val="18"/>
                <w:shd w:val="clear" w:color="auto" w:fill="FAFAFA"/>
              </w:rPr>
              <w:t xml:space="preserve"> 3 </w:t>
            </w:r>
            <w:r w:rsidR="008D485F">
              <w:rPr>
                <w:rFonts w:ascii="微软雅黑" w:eastAsia="微软雅黑" w:hAnsi="微软雅黑" w:cs="微软雅黑"/>
                <w:color w:val="505050"/>
                <w:sz w:val="18"/>
                <w:szCs w:val="18"/>
                <w:shd w:val="clear" w:color="auto" w:fill="FAFAFA"/>
              </w:rPr>
              <w:t>论文取消审核</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hint="default"/>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hint="eastAsi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r w:rsidR="0090509C" w:rsidRPr="0090509C">
              <w:rPr>
                <w:rFonts w:ascii="Helvetica" w:hAnsi="Helvetica" w:cs="Helvetica" w:hint="eastAsia"/>
                <w:color w:val="505050"/>
                <w:sz w:val="18"/>
                <w:szCs w:val="18"/>
                <w:highlight w:val="yellow"/>
                <w:shd w:val="clear" w:color="auto" w:fill="FAFAFA"/>
              </w:rPr>
              <w:t>&amp;</w:t>
            </w:r>
            <w:r w:rsidR="0090509C" w:rsidRPr="0090509C">
              <w:rPr>
                <w:rFonts w:ascii="Helvetica" w:hAnsi="Helvetica" w:cs="Helvetica"/>
                <w:color w:val="505050"/>
                <w:sz w:val="18"/>
                <w:szCs w:val="18"/>
                <w:highlight w:val="yellow"/>
                <w:shd w:val="clear" w:color="auto" w:fill="FAFAFA"/>
              </w:rPr>
              <w:t>message=</w:t>
            </w:r>
            <w:r w:rsidR="0090509C" w:rsidRPr="0090509C">
              <w:rPr>
                <w:rFonts w:ascii="Helvetica" w:hAnsi="Helvetica" w:cs="Helvetica" w:hint="eastAsia"/>
                <w:color w:val="505050"/>
                <w:sz w:val="18"/>
                <w:szCs w:val="18"/>
                <w:highlight w:val="yellow"/>
                <w:shd w:val="clear" w:color="auto" w:fill="FAFAFA"/>
              </w:rPr>
              <w:t>名称</w:t>
            </w:r>
          </w:p>
          <w:p w:rsidR="00DC111C" w:rsidRDefault="00DC111C" w:rsidP="00F07FB4">
            <w:pPr>
              <w:pStyle w:val="HTML"/>
              <w:shd w:val="clear" w:color="auto" w:fill="FFFFFF"/>
              <w:rPr>
                <w:sz w:val="23"/>
                <w:szCs w:val="23"/>
              </w:rPr>
            </w:pPr>
            <w:r>
              <w:rPr>
                <w:sz w:val="23"/>
                <w:szCs w:val="23"/>
              </w:rPr>
              <w:t xml:space="preserve"> </w:t>
            </w:r>
            <w:bookmarkStart w:id="2" w:name="_GoBack"/>
            <w:bookmarkEnd w:id="2"/>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查询所有的（包含一级领域）</w:t>
            </w:r>
            <w:r w:rsidR="008D6AF9">
              <w:rPr>
                <w:rFonts w:eastAsiaTheme="minorEastAsia"/>
              </w:rPr>
              <w:t xml:space="preserve"> </w:t>
            </w:r>
          </w:p>
          <w:p w:rsidR="0090509C" w:rsidRDefault="0090509C" w:rsidP="00F07FB4">
            <w:pPr>
              <w:ind w:firstLineChars="100" w:firstLine="240"/>
              <w:rPr>
                <w:rFonts w:eastAsiaTheme="minorEastAsia" w:hint="default"/>
              </w:rPr>
            </w:pPr>
            <w:r w:rsidRPr="0090509C">
              <w:rPr>
                <w:rFonts w:eastAsiaTheme="minorEastAsia" w:hint="default"/>
                <w:highlight w:val="yellow"/>
              </w:rPr>
              <w:t>M</w:t>
            </w:r>
            <w:r w:rsidRPr="0090509C">
              <w:rPr>
                <w:rFonts w:eastAsiaTheme="minorEastAsia"/>
                <w:highlight w:val="yellow"/>
              </w:rPr>
              <w:t>essage</w:t>
            </w:r>
            <w:r w:rsidRPr="0090509C">
              <w:rPr>
                <w:rFonts w:eastAsiaTheme="minorEastAsia" w:hint="default"/>
                <w:highlight w:val="yellow"/>
              </w:rPr>
              <w:t xml:space="preserve"> </w:t>
            </w:r>
            <w:r w:rsidRPr="0090509C">
              <w:rPr>
                <w:rFonts w:eastAsiaTheme="minorEastAsia"/>
                <w:highlight w:val="yellow"/>
              </w:rPr>
              <w:t>搜索内容</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r w:rsidR="00EC5573">
              <w:rPr>
                <w:rFonts w:ascii="Helvetica" w:hAnsi="Helvetica" w:cs="Helvetica"/>
                <w:color w:val="505050"/>
                <w:sz w:val="18"/>
                <w:szCs w:val="18"/>
                <w:shd w:val="clear" w:color="auto" w:fill="FAFAFA"/>
              </w:rPr>
              <w:t>?</w:t>
            </w:r>
            <w:r w:rsidR="00EC5573">
              <w:rPr>
                <w:rFonts w:ascii="Helvetica" w:hAnsi="Helvetica" w:cs="Helvetica"/>
                <w:color w:val="505050"/>
                <w:sz w:val="18"/>
                <w:szCs w:val="18"/>
                <w:shd w:val="clear" w:color="auto" w:fill="FFFFFF"/>
              </w:rPr>
              <w:t xml:space="preserve"> </w:t>
            </w:r>
            <w:proofErr w:type="spellStart"/>
            <w:r w:rsidR="00EC5573" w:rsidRPr="00F51991">
              <w:rPr>
                <w:rFonts w:ascii="Helvetica" w:hAnsi="Helvetica" w:cs="Helvetica"/>
                <w:color w:val="505050"/>
                <w:sz w:val="18"/>
                <w:szCs w:val="18"/>
                <w:highlight w:val="yellow"/>
                <w:shd w:val="clear" w:color="auto" w:fill="FFFFFF"/>
              </w:rPr>
              <w:t>articleTypeId</w:t>
            </w:r>
            <w:proofErr w:type="spellEnd"/>
            <w:proofErr w:type="gramStart"/>
            <w:r w:rsidR="00EC5573" w:rsidRPr="00F51991">
              <w:rPr>
                <w:rFonts w:ascii="Helvetica" w:hAnsi="Helvetica" w:cs="Helvetica"/>
                <w:color w:val="505050"/>
                <w:sz w:val="18"/>
                <w:szCs w:val="18"/>
                <w:highlight w:val="yellow"/>
                <w:shd w:val="clear" w:color="auto" w:fill="FFFFFF"/>
              </w:rPr>
              <w:t>=?</w:t>
            </w:r>
            <w:r w:rsidR="007444DE" w:rsidRPr="00F51991">
              <w:rPr>
                <w:rFonts w:ascii="Helvetica" w:hAnsi="Helvetica" w:cs="Helvetica"/>
                <w:color w:val="505050"/>
                <w:sz w:val="18"/>
                <w:szCs w:val="18"/>
                <w:highlight w:val="yellow"/>
                <w:shd w:val="clear" w:color="auto" w:fill="FFFFFF"/>
              </w:rPr>
              <w:t>&amp;</w:t>
            </w:r>
            <w:proofErr w:type="gramEnd"/>
            <w:r w:rsidR="007444DE" w:rsidRPr="00F51991">
              <w:rPr>
                <w:rFonts w:ascii="Helvetica" w:hAnsi="Helvetica" w:cs="Helvetica"/>
                <w:color w:val="505050"/>
                <w:sz w:val="18"/>
                <w:szCs w:val="18"/>
                <w:highlight w:val="yellow"/>
                <w:shd w:val="clear" w:color="auto" w:fill="FFFFFF"/>
              </w:rPr>
              <w:t xml:space="preserve"> </w:t>
            </w:r>
            <w:proofErr w:type="spellStart"/>
            <w:r w:rsidR="007444DE" w:rsidRPr="00F51991">
              <w:rPr>
                <w:rFonts w:ascii="Helvetica" w:hAnsi="Helvetica" w:cs="Helvetica"/>
                <w:color w:val="505050"/>
                <w:sz w:val="18"/>
                <w:szCs w:val="18"/>
                <w:highlight w:val="yellow"/>
                <w:shd w:val="clear" w:color="auto" w:fill="FFFFFF"/>
              </w:rPr>
              <w:t>paperTypeId</w:t>
            </w:r>
            <w:proofErr w:type="spellEnd"/>
            <w:r w:rsidR="007444DE" w:rsidRPr="00F51991">
              <w:rPr>
                <w:rFonts w:ascii="Helvetica" w:hAnsi="Helvetica" w:cs="Helvetica"/>
                <w:color w:val="505050"/>
                <w:sz w:val="18"/>
                <w:szCs w:val="18"/>
                <w:highlight w:val="yellow"/>
                <w:shd w:val="clear" w:color="auto" w:fill="FFFFFF"/>
              </w:rPr>
              <w: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Pr="00F51991" w:rsidRDefault="00871936" w:rsidP="0058031E">
            <w:pPr>
              <w:ind w:firstLineChars="100" w:firstLine="240"/>
              <w:rPr>
                <w:rFonts w:ascii="微软雅黑" w:eastAsia="微软雅黑" w:hAnsi="微软雅黑" w:cs="微软雅黑" w:hint="default"/>
                <w:color w:val="505050"/>
                <w:sz w:val="18"/>
                <w:szCs w:val="18"/>
                <w:highlight w:val="yellow"/>
                <w:shd w:val="clear" w:color="auto" w:fill="FFFFFF"/>
              </w:rPr>
            </w:pPr>
            <w:r>
              <w:rPr>
                <w:rFonts w:eastAsiaTheme="minorEastAsia"/>
              </w:rPr>
              <w:t xml:space="preserve"> </w:t>
            </w:r>
            <w:r>
              <w:rPr>
                <w:rFonts w:eastAsiaTheme="minorEastAsia" w:hint="default"/>
              </w:rPr>
              <w:t xml:space="preserve"> </w:t>
            </w:r>
            <w:proofErr w:type="spellStart"/>
            <w:r w:rsidR="007444DE" w:rsidRPr="00F51991">
              <w:rPr>
                <w:rFonts w:ascii="Helvetica" w:hAnsi="Helvetica" w:cs="Helvetica"/>
                <w:color w:val="505050"/>
                <w:sz w:val="18"/>
                <w:szCs w:val="18"/>
                <w:highlight w:val="yellow"/>
                <w:shd w:val="clear" w:color="auto" w:fill="FFFFFF"/>
              </w:rPr>
              <w:t>articleTypeId</w:t>
            </w:r>
            <w:proofErr w:type="spellEnd"/>
            <w:r w:rsidR="007444DE" w:rsidRPr="00F51991">
              <w:rPr>
                <w:rFonts w:ascii="Helvetica" w:hAnsi="Helvetica" w:cs="Helvetica" w:hint="default"/>
                <w:color w:val="505050"/>
                <w:sz w:val="18"/>
                <w:szCs w:val="18"/>
                <w:highlight w:val="yellow"/>
                <w:shd w:val="clear" w:color="auto" w:fill="FFFFFF"/>
              </w:rPr>
              <w:t xml:space="preserve"> </w:t>
            </w:r>
            <w:r w:rsidR="007444DE" w:rsidRPr="00F51991">
              <w:rPr>
                <w:rFonts w:ascii="微软雅黑" w:eastAsia="微软雅黑" w:hAnsi="微软雅黑" w:cs="微软雅黑"/>
                <w:color w:val="505050"/>
                <w:sz w:val="18"/>
                <w:szCs w:val="18"/>
                <w:highlight w:val="yellow"/>
                <w:shd w:val="clear" w:color="auto" w:fill="FFFFFF"/>
              </w:rPr>
              <w:t>文章类型id</w:t>
            </w:r>
          </w:p>
          <w:p w:rsidR="007444DE" w:rsidRDefault="007444DE" w:rsidP="0058031E">
            <w:pPr>
              <w:ind w:firstLineChars="100" w:firstLine="189"/>
              <w:rPr>
                <w:rFonts w:eastAsiaTheme="minorEastAsia" w:hint="default"/>
              </w:rPr>
            </w:pPr>
            <w:proofErr w:type="spellStart"/>
            <w:r w:rsidRPr="00F51991">
              <w:rPr>
                <w:rFonts w:ascii="Helvetica" w:hAnsi="Helvetica" w:cs="Helvetica"/>
                <w:color w:val="505050"/>
                <w:sz w:val="18"/>
                <w:szCs w:val="18"/>
                <w:highlight w:val="yellow"/>
                <w:shd w:val="clear" w:color="auto" w:fill="FFFFFF"/>
              </w:rPr>
              <w:t>paperTypeId</w:t>
            </w:r>
            <w:proofErr w:type="spellEnd"/>
            <w:r w:rsidRPr="00F51991">
              <w:rPr>
                <w:rFonts w:ascii="Helvetica" w:hAnsi="Helvetica" w:cs="Helvetica" w:hint="default"/>
                <w:color w:val="505050"/>
                <w:sz w:val="18"/>
                <w:szCs w:val="18"/>
                <w:highlight w:val="yellow"/>
                <w:shd w:val="clear" w:color="auto" w:fill="FFFFFF"/>
              </w:rPr>
              <w:t xml:space="preserve"> </w:t>
            </w:r>
            <w:r w:rsidRPr="00F51991">
              <w:rPr>
                <w:rFonts w:ascii="微软雅黑" w:eastAsia="微软雅黑" w:hAnsi="微软雅黑" w:cs="微软雅黑"/>
                <w:color w:val="505050"/>
                <w:sz w:val="18"/>
                <w:szCs w:val="18"/>
                <w:highlight w:val="yellow"/>
                <w:shd w:val="clear" w:color="auto" w:fill="FFFFFF"/>
              </w:rPr>
              <w:t>论文类型id</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lastRenderedPageBreak/>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Arial Unicode MS" w:hAnsi="Arial Unicode MS" w:hint="eastAsia"/>
              </w:rPr>
              <w:t>GET</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t>application/json</w:t>
            </w:r>
          </w:p>
        </w:tc>
      </w:tr>
      <w:tr w:rsidR="009262C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EC5573">
            <w:pPr>
              <w:pStyle w:val="2A"/>
              <w:rPr>
                <w:rFonts w:ascii="Arial Unicode MS" w:hAnsi="Arial Unicode MS"/>
              </w:rPr>
            </w:pPr>
          </w:p>
          <w:p w:rsidR="009262CC" w:rsidRPr="00DB1FED" w:rsidRDefault="009262CC" w:rsidP="00EC5573">
            <w:pPr>
              <w:pStyle w:val="2A"/>
              <w:rPr>
                <w:rFonts w:ascii="Arial Unicode MS" w:hAnsi="Arial Unicode MS"/>
              </w:rPr>
            </w:pPr>
            <w:r w:rsidRPr="00DB1FED">
              <w:rPr>
                <w:rFonts w:ascii="Arial Unicode MS" w:hAnsi="Arial Unicode MS"/>
              </w:rPr>
              <w:t>{</w:t>
            </w:r>
          </w:p>
          <w:p w:rsidR="009262CC" w:rsidRPr="00DB1FED" w:rsidRDefault="009262CC" w:rsidP="00EC5573">
            <w:pPr>
              <w:pStyle w:val="2A"/>
              <w:rPr>
                <w:rFonts w:ascii="Arial Unicode MS" w:hAnsi="Arial Unicode MS"/>
              </w:rPr>
            </w:pPr>
            <w:r w:rsidRPr="00DB1FED">
              <w:rPr>
                <w:rFonts w:ascii="Arial Unicode MS" w:hAnsi="Arial Unicode MS"/>
              </w:rPr>
              <w:t xml:space="preserve">    "code": 0,</w:t>
            </w:r>
          </w:p>
          <w:p w:rsidR="009262CC" w:rsidRPr="00DB1FED" w:rsidRDefault="009262CC" w:rsidP="00EC5573">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EC5573">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EC5573">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Arial Unicode MS" w:hAnsi="Arial Unicode MS" w:hint="eastAsia"/>
              </w:rPr>
              <w:t>GET</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EC5573">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t>application/json</w:t>
            </w:r>
          </w:p>
        </w:tc>
      </w:tr>
      <w:tr w:rsidR="00D4569D" w:rsidRPr="006E3FB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EC5573">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EC5573">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.6</w:t>
      </w:r>
      <w:r>
        <w:rPr>
          <w:rFonts w:ascii="微软雅黑" w:eastAsia="微软雅黑" w:hAnsi="微软雅黑" w:cs="微软雅黑"/>
          <w:lang w:val="zh-TW" w:eastAsia="zh-TW"/>
        </w:rPr>
        <w:t>文章删除（参考</w:t>
      </w:r>
      <w:r>
        <w:rPr>
          <w:rFonts w:ascii="微软雅黑" w:eastAsia="PMingLiU" w:hAnsi="微软雅黑" w:cs="微软雅黑" w:hint="default"/>
          <w:lang w:val="zh-TW" w:eastAsia="zh-TW"/>
        </w:rPr>
        <w:t>2.6</w:t>
      </w:r>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C17" w:rsidRDefault="00AC2C17" w:rsidP="00742AF1">
      <w:pPr>
        <w:rPr>
          <w:rFonts w:hint="default"/>
        </w:rPr>
      </w:pPr>
      <w:r>
        <w:separator/>
      </w:r>
    </w:p>
  </w:endnote>
  <w:endnote w:type="continuationSeparator" w:id="0">
    <w:p w:rsidR="00AC2C17" w:rsidRDefault="00AC2C17"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C17" w:rsidRDefault="00AC2C17" w:rsidP="00742AF1">
      <w:pPr>
        <w:rPr>
          <w:rFonts w:hint="default"/>
        </w:rPr>
      </w:pPr>
      <w:r>
        <w:separator/>
      </w:r>
    </w:p>
  </w:footnote>
  <w:footnote w:type="continuationSeparator" w:id="0">
    <w:p w:rsidR="00AC2C17" w:rsidRDefault="00AC2C17"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2DF"/>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57DB6"/>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56663"/>
    <w:rsid w:val="005636C1"/>
    <w:rsid w:val="005722BA"/>
    <w:rsid w:val="00572773"/>
    <w:rsid w:val="0058031E"/>
    <w:rsid w:val="00580D34"/>
    <w:rsid w:val="0058465A"/>
    <w:rsid w:val="00586F38"/>
    <w:rsid w:val="00587A29"/>
    <w:rsid w:val="00591893"/>
    <w:rsid w:val="00591C8C"/>
    <w:rsid w:val="00592628"/>
    <w:rsid w:val="00593D0D"/>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4DE"/>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485F"/>
    <w:rsid w:val="008D6AF9"/>
    <w:rsid w:val="008E1015"/>
    <w:rsid w:val="008F111E"/>
    <w:rsid w:val="008F15A9"/>
    <w:rsid w:val="008F39AC"/>
    <w:rsid w:val="008F3E70"/>
    <w:rsid w:val="00900DF9"/>
    <w:rsid w:val="0090342E"/>
    <w:rsid w:val="0090509C"/>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C17"/>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5573"/>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51991"/>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F6290A"/>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FBDE9-2BFC-47FC-8210-5C1BE16F8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Pages>
  <Words>8494</Words>
  <Characters>48420</Characters>
  <Application>Microsoft Office Word</Application>
  <DocSecurity>0</DocSecurity>
  <Lines>403</Lines>
  <Paragraphs>113</Paragraphs>
  <ScaleCrop>false</ScaleCrop>
  <Company>Microsoft</Company>
  <LinksUpToDate>false</LinksUpToDate>
  <CharactersWithSpaces>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618</cp:revision>
  <dcterms:created xsi:type="dcterms:W3CDTF">2018-04-16T07:35:00Z</dcterms:created>
  <dcterms:modified xsi:type="dcterms:W3CDTF">2019-04-06T01:32:00Z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