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C5675">
      <w:pPr>
        <w:numPr>
          <w:ilvl w:val="0"/>
          <w:numId w:val="0"/>
        </w:numPr>
        <w:bidi w:val="0"/>
        <w:jc w:val="left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  <w:t>【药品名称】</w:t>
      </w:r>
    </w:p>
    <w:p w14:paraId="043A3969">
      <w:pPr>
        <w:numPr>
          <w:ilvl w:val="0"/>
          <w:numId w:val="0"/>
        </w:numPr>
        <w:bidi w:val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  <w:t>通用名称:维生素D₂软胶囊</w:t>
      </w:r>
    </w:p>
    <w:p w14:paraId="277D0E4D">
      <w:pPr>
        <w:numPr>
          <w:ilvl w:val="0"/>
          <w:numId w:val="0"/>
        </w:numPr>
        <w:bidi w:val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  <w:t>英文名称:Vitamin D₂Soft Capsules</w:t>
      </w:r>
    </w:p>
    <w:p w14:paraId="475F0BA8">
      <w:pPr>
        <w:numPr>
          <w:ilvl w:val="0"/>
          <w:numId w:val="0"/>
        </w:numPr>
        <w:bidi w:val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  <w:t>汉语拼音:Weishengsu D₂ Ruanjiaonang</w:t>
      </w:r>
    </w:p>
    <w:p w14:paraId="058B0A61">
      <w:pPr>
        <w:numPr>
          <w:ilvl w:val="0"/>
          <w:numId w:val="0"/>
        </w:numPr>
        <w:bidi w:val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  <w:t>【成份】</w:t>
      </w:r>
      <w:r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  <w:t>本品主要成分为维生素D₂。</w:t>
      </w:r>
    </w:p>
    <w:p w14:paraId="506BB1BD">
      <w:pPr>
        <w:numPr>
          <w:ilvl w:val="0"/>
          <w:numId w:val="0"/>
        </w:numPr>
        <w:bidi w:val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  <w:t>化学名称：9，10- 开环麦角留- 5，7，10（19），22- 四烯- 3β- 醇。</w:t>
      </w:r>
    </w:p>
    <w:p w14:paraId="4965E9E8">
      <w:pPr>
        <w:numPr>
          <w:ilvl w:val="0"/>
          <w:numId w:val="0"/>
        </w:numPr>
        <w:bidi w:val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  <w:t>化学结构式:略</w:t>
      </w:r>
    </w:p>
    <w:p w14:paraId="1BF4F550">
      <w:pPr>
        <w:numPr>
          <w:ilvl w:val="0"/>
          <w:numId w:val="0"/>
        </w:numPr>
        <w:bidi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  <w:t>分子式：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  <w:t> </w:t>
      </w:r>
      <w:r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  <w:t>C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vertAlign w:val="subscript"/>
          <w:lang w:val="en-US" w:eastAsia="zh-CN"/>
        </w:rPr>
        <w:t>28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  <w:t>H</w:t>
      </w:r>
      <w:r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vertAlign w:val="subscript"/>
          <w:lang w:val="en-US" w:eastAsia="zh-CN"/>
        </w:rPr>
        <w:t>44</w:t>
      </w:r>
      <w:r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  <w:t>0</w:t>
      </w:r>
    </w:p>
    <w:p w14:paraId="30EFE89A">
      <w:pPr>
        <w:numPr>
          <w:ilvl w:val="0"/>
          <w:numId w:val="0"/>
        </w:numPr>
        <w:bidi w:val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  <w:t>分子量：396.66</w:t>
      </w:r>
      <w:r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  <w:t xml:space="preserve"> </w:t>
      </w:r>
    </w:p>
    <w:p w14:paraId="0816A5F6">
      <w:pPr>
        <w:numPr>
          <w:ilvl w:val="0"/>
          <w:numId w:val="0"/>
        </w:numPr>
        <w:bidi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  <w:t>辅料：大豆油、明胶、甘油、柠檬黄、亮蓝。</w:t>
      </w:r>
    </w:p>
    <w:p w14:paraId="209F537E">
      <w:pPr>
        <w:numPr>
          <w:ilvl w:val="0"/>
          <w:numId w:val="0"/>
        </w:numPr>
        <w:bidi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【性状】</w:t>
      </w:r>
      <w:r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本品内容物为淡黄色至黄色油状液体。</w:t>
      </w:r>
    </w:p>
    <w:p w14:paraId="0DEC73FE">
      <w:pPr>
        <w:bidi w:val="0"/>
        <w:jc w:val="left"/>
        <w:rPr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【适应症】</w:t>
      </w:r>
    </w:p>
    <w:p w14:paraId="074861AC">
      <w:pPr>
        <w:numPr>
          <w:numId w:val="0"/>
        </w:numPr>
        <w:bidi w:val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  <w:t>1、</w:t>
      </w:r>
      <w:r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用于维生素D缺乏的预防与治疗。如:绝对素食者、肠外营养病人、胰腺功能不全伴吸收不良综合征、肝胆疾病(肝功能损害、肝硬化、阻塞性黄疸)、小肠疾病(脂性腹泻、局限性肠炎、长期腹泻)、胃切除等。</w:t>
      </w:r>
    </w:p>
    <w:p w14:paraId="09529056">
      <w:pPr>
        <w:numPr>
          <w:numId w:val="0"/>
        </w:numPr>
        <w:bidi w:val="0"/>
        <w:jc w:val="left"/>
        <w:rPr>
          <w:rFonts w:hint="eastAsia"/>
          <w:color w:val="auto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2、用于慢性低钙血症、低磷血症、佝偻病及伴有慢性肾功能不全的骨软化症、家族性低磷血症及甲状旁腺功能低下(术后、特发性或假性甲状旁腺功能低下)的治疗。</w:t>
      </w:r>
    </w:p>
    <w:p w14:paraId="0B275195">
      <w:pPr>
        <w:numPr>
          <w:numId w:val="0"/>
        </w:numPr>
        <w:bidi w:val="0"/>
        <w:jc w:val="left"/>
        <w:rPr>
          <w:rFonts w:hint="eastAsia"/>
          <w:color w:val="auto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3、</w:t>
      </w:r>
      <w:r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用于治疗急、慢性及潜在手术后手足搐搦症及特发性手足搐搦症。</w:t>
      </w:r>
    </w:p>
    <w:p w14:paraId="3484F8A5">
      <w:pPr>
        <w:bidi w:val="0"/>
        <w:jc w:val="left"/>
        <w:rPr>
          <w:rFonts w:hint="default"/>
          <w:color w:val="auto"/>
          <w:lang w:val="en-US" w:eastAsia="zh-CN"/>
        </w:rPr>
      </w:pPr>
    </w:p>
    <w:p w14:paraId="111A10F0">
      <w:pPr>
        <w:bidi w:val="0"/>
        <w:jc w:val="left"/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【规格】</w:t>
      </w: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0.01mg（400单位）</w:t>
      </w:r>
    </w:p>
    <w:p w14:paraId="18E67491">
      <w:pPr>
        <w:bidi w:val="0"/>
        <w:jc w:val="left"/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</w:p>
    <w:p w14:paraId="30A25E4C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【用法用量】</w:t>
      </w:r>
    </w:p>
    <w:p w14:paraId="6F33FB37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用于维生素D缺乏的预防与治疗：</w:t>
      </w:r>
    </w:p>
    <w:p w14:paraId="3BF2A77D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/>
        <w:ind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预防维生素D缺乏性佝偻病，儿童一日400单位- 800单位：预防骨质疏松症，成人一日400单位- 800单位。治疗维生素D缺乏性佝偻病，一般推荐剂量为儿童一日2000- 4000单位，1个月后改为一日400单位。该疾病需个体化治疗，请遵医嘱用药。辅助治疗骨质疏松症：成人一日800- 1200单位，或遵医嘱。</w:t>
      </w:r>
    </w:p>
    <w:p w14:paraId="1BB3F627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甲状旁腺功能低下：成人口服每日5- 15万单位，小儿：5- 20万单位。</w:t>
      </w:r>
    </w:p>
    <w:p w14:paraId="21A2AD64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家族性低磷血症：成人口服每日5- 10万单位。</w:t>
      </w:r>
    </w:p>
    <w:p w14:paraId="5EC014A7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维生素D依赖性佝偻病：成人口服每日1- 6万单位，最高量每日50万单位。小儿每日3000- 1万单位，最高量每日5万单位。</w:t>
      </w:r>
    </w:p>
    <w:p w14:paraId="0C493628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/>
        <w:ind w:right="0" w:rightChars="0"/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【不良反应】</w:t>
      </w:r>
    </w:p>
    <w:p w14:paraId="4F82815C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160" w:beforeAutospacing="0" w:after="160" w:afterAutospacing="0"/>
        <w:ind w:right="0" w:righ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便秘、腹泻、持续性头痛、食欲减退、口内有金属味、恶心呕吐、口渴、疲乏、无力；</w:t>
      </w:r>
    </w:p>
    <w:p w14:paraId="37292FA0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骨痛、尿混浊、惊厥、高血压、眼对光刺激敏感度增加、心律失常、偶有精神异常、皮肤瘙痒、肌痛、严重腹痛（有时误诊为胰腺炎）、夜间多尿、体重下降。</w:t>
      </w:r>
    </w:p>
    <w:p w14:paraId="417C2D90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/>
        <w:ind w:leftChars="0" w:right="0" w:righ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维生素D₂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国外文献中报告，维生素D过多的特点是对以下器官系统的影响：</w:t>
      </w:r>
    </w:p>
    <w:p w14:paraId="436D845C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/>
        <w:ind w:leftChars="0" w:right="0" w:righ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肾功能：肾功能损害包括多尿、夜尿、烦渴、高钙尿、可逆性氮质血症、高血压、肾钙质沉着、全身血管钙化、或可能导致死亡的不可逆性肾功能损害。</w:t>
      </w:r>
    </w:p>
    <w:p w14:paraId="3FC2E534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/>
        <w:ind w:leftChars="0" w:right="0" w:righ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中枢神经系统：智力低下。</w:t>
      </w:r>
    </w:p>
    <w:p w14:paraId="0EF7C905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/>
        <w:ind w:leftChars="0" w:right="0" w:righ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软组织：广泛的软组织钙化，包括心脏、血管、肾小管和肺。</w:t>
      </w:r>
    </w:p>
    <w:p w14:paraId="63F5D367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/>
        <w:ind w:leftChars="0" w:right="0" w:righ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骨骼：成人同时发生骨骼脱矿（骨质疏松症）。婴儿和儿童骨骼线性生长的平均速度下降和矿化增加（侏儒症），酸</w:t>
      </w: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  <w:t>痛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、僵硬和</w:t>
      </w: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  <w:t>虚弱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。</w:t>
      </w:r>
    </w:p>
    <w:p w14:paraId="15A71A68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/>
        <w:ind w:leftChars="0" w:right="0" w:righ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胃肠道：恶心、厌食、便秘。</w:t>
      </w:r>
    </w:p>
    <w:p w14:paraId="4920DC37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/>
        <w:ind w:leftChars="0" w:right="0" w:righ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代谢：轻度酸中毒，贫血，体重减轻。</w:t>
      </w:r>
    </w:p>
    <w:p w14:paraId="7020C65E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/>
        <w:ind w:leftChars="0" w:right="0" w:rightChars="0"/>
        <w:jc w:val="both"/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【禁忌】</w:t>
      </w: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高钙血症、维生素D增多症、吸收不良综合征、高磷血症伴肾性佝偻病患者禁用。对维生素D毒性作用敏感者禁用。</w:t>
      </w:r>
    </w:p>
    <w:p w14:paraId="7BD54026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【注意事项】</w:t>
      </w:r>
    </w:p>
    <w:p w14:paraId="752CDCED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1、治疗低钙血症前，应先控制血清磷的浓度，并定期复查血钙等有关指标；除非遵医瞩，避免同时应用钙、磷和维生素D制剂。血液透析时可用碳酸铝或氢氧化铝凝胶控制血清浓度。维生素D₂疗程中磷的吸收增多。铝制剂的用量可以酌</w:t>
      </w: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  <w:t>增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。</w:t>
      </w:r>
    </w:p>
    <w:p w14:paraId="330C16AA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2、由于个体差异，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维生素D₂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用量应依据临床症状反应调整。</w:t>
      </w:r>
    </w:p>
    <w:p w14:paraId="290DB562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3、对诊断的干扰：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维生素D₂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可促使血清磷酸酶浓度降低，血清钙、胆固醇、磷酸盐和镁的浓度可能升高，尿液内钙和磷酸盐的浓度亦增高。</w:t>
      </w:r>
    </w:p>
    <w:p w14:paraId="1568E2D3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4、下列情况应慎用：动脉硬化、心功能不全、高胆固醇血症、高磷血症；对维生素D高度敏感及肾功能不全；非</w:t>
      </w: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  <w:t>肾脏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病用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维生素D₂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治疗时，如患者对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维生素D₂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异常敏感，也可产生</w:t>
      </w: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  <w:t>肾脏毒性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。</w:t>
      </w:r>
    </w:p>
    <w:p w14:paraId="15520467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5、疗程中应注意检查：血清尿素氮、肌酐和肌酐清除率、血清碱性磷酸酶、血磷、24小时尿钙、尿钙与肌酐的比值、血钙（用治疗量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维生素D₂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，应定期作监测、维持血钙浓度2.00- 2.50mmol/L），以及骨X线检查等。</w:t>
      </w:r>
    </w:p>
    <w:p w14:paraId="1CA4FFB9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6、对维生素D过敏可能是特发性高钙血症婴儿的病因之一，在这种情况下，必须严格限制维生素D。</w:t>
      </w:r>
    </w:p>
    <w:p w14:paraId="08400B65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7、应评估从强化食品、膳食补充剂、自我给药和处方药来源的维生素D。一旦临床改善，应立即调整治疗剂量。</w:t>
      </w:r>
    </w:p>
    <w:p w14:paraId="4E46F9CC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8、治疗维生素D抵抗性佝偻病时，治疗和有毒剂量之间的范围较窄，当使用高剂量治疗药物时，应经常进行血钙测定。9、在甲状旁腺功能低下的治疗中，一般同时口服钙剂，并可能需要静脉注射钙剂、使用甲状旁腺激素等。</w:t>
      </w:r>
    </w:p>
    <w:p w14:paraId="78DBA4BB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10、肾性骨营养不良患者常见高磷血症，通过限制饮食中的磷酸盐和/或给予铝凝胶作为肠道磷酸盐结合剂来维持</w:t>
      </w: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正常血清磷水平</w:t>
      </w: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eastAsia="zh-CN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对于预防转移性钙化非常重要。</w:t>
      </w:r>
    </w:p>
    <w:p w14:paraId="4BEC55EC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11、饮食中足够的钙对于维生素D治疗的临床反应必不可少。</w:t>
      </w:r>
    </w:p>
    <w:p w14:paraId="0A8B1DF8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12、本品含有的柠檬黄可能引起某些易感人群的过敏反应（包括支气管哮喘）。虽然柠檬黄敏感性在一般人群中总体发生率较低，但在阿司匹林过敏的患者中常见。</w:t>
      </w:r>
    </w:p>
    <w:p w14:paraId="3DC57AEE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/>
        <w:ind w:leftChars="0" w:right="0" w:rightChars="0"/>
        <w:jc w:val="both"/>
        <w:rPr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【孕妇及哺乳期妇女用药】</w:t>
      </w:r>
    </w:p>
    <w:p w14:paraId="716DF168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/>
        <w:ind w:leftChars="0" w:right="0" w:rightChars="0"/>
        <w:jc w:val="both"/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为保护胎儿，应避免在正常怀孕期间使用超过推荐饮食标准的维生素D，除非在特定的情况下医师判断潜在获益大于风险。尚未确定在怀孕期间每天超过400单位维生素D的安全性。高钙血症孕妇可伴有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维生素D₂</w:t>
      </w: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敏感，应注意剂量调整。哺乳期妇女慎用。服用大量维生素D的母亲，乳汁中出现25-羟胆钙化醇，导致孩子出现高钙血症。在这种情况下，需要监测婴儿的血清钙浓度。</w:t>
      </w:r>
    </w:p>
    <w:p w14:paraId="04AE71A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60" w:beforeAutospacing="0" w:after="160" w:afterAutospacing="0"/>
        <w:ind w:leftChars="0" w:right="0" w:rightChars="0"/>
        <w:jc w:val="both"/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【儿童用药】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婴儿对维生素D₂敏感性个体间差异大。用量应慎重决定，血清钙和磷浓度的乘积 </w:t>
      </w: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[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Ca]×[P]（mg/dl）不得大于58。</w:t>
      </w:r>
    </w:p>
    <w:p w14:paraId="4525EF3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60" w:beforeAutospacing="0" w:after="160" w:afterAutospacing="0"/>
        <w:ind w:leftChars="0" w:right="0" w:righ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【老年用药】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尚不明确。</w:t>
      </w:r>
    </w:p>
    <w:p w14:paraId="181FE6CB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【药物相互作用】</w:t>
      </w:r>
    </w:p>
    <w:p w14:paraId="318DECE0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制酸药中的镁剂与维生素D同用。特别对慢性肾功能衰竭病人可引起高镁血症。</w:t>
      </w:r>
    </w:p>
    <w:p w14:paraId="0182A68A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巴比妥、苯妥英钠、抗惊厥药、扑米酮等可降低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维生素D₂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的效应，长期服用抗惊厥药时应补给维生素D以防骨软化症。</w:t>
      </w:r>
    </w:p>
    <w:p w14:paraId="7CB265B5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降钙素与维生素D同用可抵消前者对高钙血症的疗效。</w:t>
      </w:r>
    </w:p>
    <w:p w14:paraId="73ACA979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大剂量钙剂或利尿药与常用量维生素D同用，有发生高钙血症的危险。</w:t>
      </w:r>
    </w:p>
    <w:p w14:paraId="673C9965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考来烯胺、考来替泊、矿物油、硫糖铝等均能减少小肠对维生素D的吸收。</w:t>
      </w:r>
    </w:p>
    <w:p w14:paraId="1EBBBC10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洋地黄类与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维生素D₂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同用应谨慎，因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维生素D₂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引起高钙血症，容易诱发心律失常。</w:t>
      </w:r>
    </w:p>
    <w:p w14:paraId="179A6E99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大量的含磷药物与维生素D同用，可诱发高磷血症。</w:t>
      </w:r>
    </w:p>
    <w:p w14:paraId="667DD280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/>
        <w:ind w:leftChars="0" w:right="0" w:rightChars="0"/>
        <w:rPr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【药物过量】</w:t>
      </w:r>
    </w:p>
    <w:p w14:paraId="188AAE28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spacing w:before="160" w:beforeAutospacing="0" w:after="160" w:afterAutospacing="0"/>
        <w:ind w:leftChars="0" w:right="0" w:rightChars="0"/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短期内摄入大剂量或长期服用超剂量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维生素D₂</w:t>
      </w: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，可导致严重中毒反应。</w:t>
      </w:r>
    </w:p>
    <w:p w14:paraId="52213ABF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维生素D₂</w:t>
      </w: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中毒引起的高钙血症，可引起全身性血管钙化、肾钙质沉淀及其他软组织钙化，而致高血压及肾功能衰竭。上述不良反应多发生于高钙血症和伴有高磷血症时。儿童可致生长停滞、屡见于长期应用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维生素D₂</w:t>
      </w: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每日1800单位后。中毒剂量可因个体差异而不同，即使每日应用1万单位超过数月后，对正常人亦可致毒性反应。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维生素D₂</w:t>
      </w: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中毒可因</w:t>
      </w: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  <w:t>肾</w:t>
      </w: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、心血管功能衰竭而致死。</w:t>
      </w:r>
    </w:p>
    <w:p w14:paraId="57627963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治疗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维生素D₂</w:t>
      </w: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过量，除停用外，应给以低钙饮食，大量饮水，保持尿液酸性，同时进行对症和支持治疗，如高钙血症危象时需静脉给予氯化钠注射液，增加尿钙排出，必要时应用利尿药、皮质激素或降钙素，甚至作血液透析，并应避免曝晒阳光，直至血钙浓度降至正常时才改变治疗方案。</w:t>
      </w:r>
    </w:p>
    <w:p w14:paraId="15931572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/>
        <w:ind w:right="0" w:rightChars="0"/>
        <w:jc w:val="both"/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【临床药理】</w:t>
      </w: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由小肠吸收，其吸收需由盐与特殊a- 球蛋白结合后转运到身体其他部位，贮存于肝和脂肪。代谢、活化首先通过肝脏，其次为肾脏。作用开始时间为12- 24小时，治疗效应需10- 14天，半衰期（</w:t>
      </w: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  <w:t>t</w:t>
      </w: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1/2）为19- 48小时，在脂肪组织内可长期贮存。作用持续时间长达6个月，重复给药有累积作用。</w:t>
      </w:r>
    </w:p>
    <w:p w14:paraId="42B009A1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/>
        <w:ind w:leftChars="0" w:right="0" w:rightChars="0"/>
        <w:jc w:val="both"/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【药理毒理】</w:t>
      </w:r>
      <w:r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本品为维生素类药。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维生素D₂</w:t>
      </w:r>
      <w:r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促进小肠黏膜刷状缘对钙的吸收及肾小管重吸收磷，提高血钙、血磷浓度，协同甲状旁腺激索、降钙素，促进旧骨释放磷酸钙，维持及调节血浆钙、磷正常浓度。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维生素D₂</w:t>
      </w:r>
      <w:r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促使钙沉着于新骨形成部位，使枸橼酸盐在骨中沉积，促进骨钙化及成骨细胞功能和骨样组织成熟。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维生素D₂</w:t>
      </w:r>
      <w:r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摄入后，在细胞微粒体中受25-羟化酶系统催化生成骨化二醇</w:t>
      </w: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eastAsia="zh-CN"/>
        </w:rPr>
        <w:t>（</w:t>
      </w:r>
      <w:r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25-</w:t>
      </w: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  <w:t>O</w:t>
      </w:r>
      <w:r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HD</w:t>
      </w: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vertAlign w:val="subscript"/>
          <w:lang w:val="en-US" w:eastAsia="zh-CN"/>
        </w:rPr>
        <w:t>3</w:t>
      </w:r>
      <w:r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)，经肾近曲小管细胞1-羟化酶系统催化，生成具有生物活性的骨化三醇(1-25-(OH)</w:t>
      </w:r>
      <w:r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vertAlign w:val="subscript"/>
        </w:rPr>
        <w:t>2</w:t>
      </w:r>
      <w:r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D</w:t>
      </w:r>
      <w:r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vertAlign w:val="subscript"/>
        </w:rPr>
        <w:t>3</w:t>
      </w:r>
      <w:r>
        <w:rPr>
          <w:rFonts w:hint="eastAsia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)</w:t>
      </w:r>
    </w:p>
    <w:p w14:paraId="7869CA95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/>
        <w:ind w:leftChars="0" w:right="0" w:rightChars="0"/>
        <w:jc w:val="both"/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eastAsia="zh-CN"/>
        </w:rPr>
      </w:pPr>
    </w:p>
    <w:p w14:paraId="6A377D29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【贮藏】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遮光，密封保存。</w:t>
      </w:r>
    </w:p>
    <w:p w14:paraId="53447744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【包装】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口服固体药用高密度聚乙烯瓶，100粒/瓶。</w:t>
      </w:r>
    </w:p>
    <w:p w14:paraId="590B566B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铝塑泡罩包装（药用铝箔/聚氯乙烯固体药用硬片）：12粒/板×1板/盒，12粒/板×2板/盒，12粒/板×3板/盒，9粒/板×2板/盒，15粒/板×1板/盒，15粒/板×2板/盒，10粒/板×4板/盒，15粒/板×3板/盒，15粒/板×4板/盒，15粒/板×6板/盒，15粒/板×8板/盒。</w:t>
      </w:r>
    </w:p>
    <w:p w14:paraId="4039B965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【有效期】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24个月</w:t>
      </w:r>
    </w:p>
    <w:p w14:paraId="46ABF303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【执行标准】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《中国药典》2025年版二部</w:t>
      </w:r>
    </w:p>
    <w:p w14:paraId="5E66C4F5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【批准文号】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国药准字H20247143</w:t>
      </w:r>
    </w:p>
    <w:p w14:paraId="6288B649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【上市许可持有人】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名称：南京海鲸药业股份有限公司</w:t>
      </w:r>
    </w:p>
    <w:p w14:paraId="7B1EC4B1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注册地址：南京市江北新区新科二路23号</w:t>
      </w:r>
    </w:p>
    <w:p w14:paraId="794ABD8A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邮政编码：210061</w:t>
      </w:r>
    </w:p>
    <w:p w14:paraId="312322E6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电话号码：025- 84553698 025- 57901282</w:t>
      </w:r>
    </w:p>
    <w:p w14:paraId="2D116BAB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传真号码：025- 57901299</w:t>
      </w:r>
    </w:p>
    <w:p w14:paraId="203F6A19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网址：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"http://www.njhyjy.com/"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u w:val="none"/>
          <w:shd w:val="clear" w:fill="FFFFFF"/>
        </w:rPr>
        <w:t>http://www.njhyjy.com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</w:p>
    <w:p w14:paraId="607F62C7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bookmarkStart w:id="0" w:name="_GoBack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【生产企业】</w:t>
      </w:r>
    </w:p>
    <w:bookmarkEnd w:id="0"/>
    <w:p w14:paraId="20F7CB95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企业名称：南京海鲸药业股份有限公司</w:t>
      </w:r>
    </w:p>
    <w:p w14:paraId="3DEBDE88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生产地址：南京市江北新区新科二路23号</w:t>
      </w:r>
    </w:p>
    <w:p w14:paraId="07838D5F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邮政编码：210061</w:t>
      </w:r>
    </w:p>
    <w:p w14:paraId="7B0F12AA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电话号码：025- 84553698 025- 57901282</w:t>
      </w:r>
    </w:p>
    <w:p w14:paraId="7C3F9551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传真号码：025- 57901299</w:t>
      </w:r>
    </w:p>
    <w:p w14:paraId="4AC3C8B1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shd w:val="clear" w:fill="FFFFFF"/>
        </w:rPr>
        <w:t>网址：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"http://www.njhyjy.com/"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u w:val="none"/>
          <w:shd w:val="clear" w:fill="FFFFFF"/>
        </w:rPr>
        <w:t>http://www.njhyjy.com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</w:p>
    <w:p w14:paraId="614D7347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29653E4A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254F0B9B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/>
        <w:ind w:leftChars="0" w:right="0" w:rightChars="0"/>
        <w:jc w:val="both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</w:pPr>
    </w:p>
    <w:p w14:paraId="6302DC40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/>
        <w:ind w:leftChars="0" w:right="0" w:righ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04A326F3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/>
        <w:ind w:right="0" w:righ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3323BA40">
      <w:pPr>
        <w:bidi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ourceHanSansSC-Mediu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436A05"/>
    <w:multiLevelType w:val="singleLevel"/>
    <w:tmpl w:val="FC436A0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D6B827E"/>
    <w:multiLevelType w:val="singleLevel"/>
    <w:tmpl w:val="5D6B827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5DF7870"/>
    <w:multiLevelType w:val="singleLevel"/>
    <w:tmpl w:val="65DF7870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689C967B"/>
    <w:multiLevelType w:val="singleLevel"/>
    <w:tmpl w:val="689C967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813E11"/>
    <w:rsid w:val="0481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2026-06-22T02:43:00Z</dcterms:created>
  <dc:creator>丿Mars小霸王</dc:creator>
  <cp:lastModifiedBy>丿Mars小霸王</cp:lastModifiedBy>
  <dcterms:modified xsi:type="dcterms:W3CDTF">2026-06-22T05:22:40Z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CE04B5A3AFA0465B8DDEAF30D353191F_11</vt:lpwstr>
  </property>
  <property fmtid="{D5CDD505-2E9C-101B-9397-08002B2CF9AE}" pid="4" name="KSOTemplateDocerSaveRecord">
    <vt:lpwstr>eyJoZGlkIjoiMmE2YmFhNDM2ODg5ZWIxMDFhMzIzYjAxYTIyNGI4NzMiLCJ1c2VySWQiOiIzODAxNTMwOTgifQ==</vt:lpwstr>
  </property>
</Properties>
</file>