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C1314">
      <w:pPr>
        <w:rPr>
          <w:rFonts w:hint="eastAsia"/>
        </w:rPr>
      </w:pPr>
    </w:p>
    <w:p w14:paraId="2EE3A4D3">
      <w:pPr>
        <w:rPr>
          <w:rFonts w:hint="eastAsia"/>
        </w:rPr>
      </w:pPr>
      <w:r>
        <w:rPr>
          <w:rFonts w:hint="eastAsia"/>
        </w:rPr>
        <w:t xml:space="preserve">【药品名称】通用名称：维生素D₂软胶囊  </w:t>
      </w:r>
    </w:p>
    <w:p w14:paraId="745C8219">
      <w:pPr>
        <w:rPr>
          <w:rFonts w:hint="eastAsia"/>
        </w:rPr>
      </w:pPr>
      <w:r>
        <w:rPr>
          <w:rFonts w:hint="eastAsia"/>
        </w:rPr>
        <w:t xml:space="preserve">英文名称：Vitamin D₂ Soft Capsules  </w:t>
      </w:r>
    </w:p>
    <w:p w14:paraId="4344B0F2">
      <w:pPr>
        <w:rPr>
          <w:rFonts w:hint="eastAsia"/>
        </w:rPr>
      </w:pPr>
      <w:r>
        <w:rPr>
          <w:rFonts w:hint="eastAsia"/>
        </w:rPr>
        <w:t>汉语拼音：Weishengsu D₂ Ruanjiaonang</w:t>
      </w:r>
    </w:p>
    <w:p w14:paraId="79B0F903">
      <w:pPr>
        <w:rPr>
          <w:rFonts w:hint="eastAsia"/>
        </w:rPr>
      </w:pPr>
    </w:p>
    <w:p w14:paraId="622EB0C2">
      <w:pPr>
        <w:rPr>
          <w:rFonts w:hint="eastAsia"/>
        </w:rPr>
      </w:pPr>
      <w:r>
        <w:rPr>
          <w:rFonts w:hint="eastAsia"/>
        </w:rPr>
        <w:t>【成份】本品主要</w:t>
      </w:r>
      <w:bookmarkStart w:id="0" w:name="_GoBack"/>
      <w:bookmarkEnd w:id="0"/>
      <w:r>
        <w:rPr>
          <w:rFonts w:hint="eastAsia"/>
        </w:rPr>
        <w:t xml:space="preserve">成分为维生素D₂。  </w:t>
      </w:r>
    </w:p>
    <w:p w14:paraId="196C132E">
      <w:pPr>
        <w:rPr>
          <w:rFonts w:hint="eastAsia"/>
        </w:rPr>
      </w:pPr>
      <w:r>
        <w:rPr>
          <w:rFonts w:hint="eastAsia"/>
        </w:rPr>
        <w:t xml:space="preserve">化学名称：9，10-开环麦角甾-5，7，10（19），22-四烯-3β-醇。  </w:t>
      </w:r>
    </w:p>
    <w:p w14:paraId="5BEE5724">
      <w:pPr>
        <w:rPr>
          <w:rFonts w:hint="eastAsia"/>
        </w:rPr>
      </w:pPr>
      <w:r>
        <w:rPr>
          <w:rFonts w:hint="eastAsia"/>
        </w:rPr>
        <w:t xml:space="preserve">化学结构式：（略）  </w:t>
      </w:r>
    </w:p>
    <w:p w14:paraId="002E2C96">
      <w:pPr>
        <w:rPr>
          <w:rFonts w:hint="eastAsia"/>
        </w:rPr>
      </w:pPr>
      <w:r>
        <w:rPr>
          <w:rFonts w:hint="eastAsia"/>
        </w:rPr>
        <w:t xml:space="preserve">分子式：C₂₈H₄₄O 分子量：396.66  </w:t>
      </w:r>
    </w:p>
    <w:p w14:paraId="525A438E">
      <w:pPr>
        <w:rPr>
          <w:rFonts w:hint="eastAsia"/>
        </w:rPr>
      </w:pPr>
      <w:r>
        <w:rPr>
          <w:rFonts w:hint="eastAsia"/>
        </w:rPr>
        <w:t>辅料：大豆油、明胶、甘油、柠檬黄、亮蓝。</w:t>
      </w:r>
    </w:p>
    <w:p w14:paraId="1190669D">
      <w:pPr>
        <w:rPr>
          <w:rFonts w:hint="eastAsia"/>
        </w:rPr>
      </w:pPr>
    </w:p>
    <w:p w14:paraId="3AE409F7">
      <w:pPr>
        <w:rPr>
          <w:rFonts w:hint="eastAsia"/>
        </w:rPr>
      </w:pPr>
      <w:r>
        <w:rPr>
          <w:rFonts w:hint="eastAsia"/>
        </w:rPr>
        <w:t>【性状】本品内容物为淡黄色至黄色油状液体。</w:t>
      </w:r>
    </w:p>
    <w:p w14:paraId="2E62A0AB">
      <w:pPr>
        <w:rPr>
          <w:rFonts w:hint="eastAsia"/>
        </w:rPr>
      </w:pPr>
    </w:p>
    <w:p w14:paraId="7FBA1BC8">
      <w:pPr>
        <w:rPr>
          <w:rFonts w:hint="eastAsia"/>
        </w:rPr>
      </w:pPr>
      <w:r>
        <w:rPr>
          <w:rFonts w:hint="eastAsia"/>
        </w:rPr>
        <w:t>【适应症】1、用于维生素D缺乏的预防与治疗。如：绝对素食者、肠外营养病人、胰腺功能不全伴吸收不良综合征、肝胆疾病（肝功能损害、肝硬化、阻塞性黄疸）、小肠疾病（脂性腹泻、局限性肠炎、长期腹泻）、胃切除等。2、用于慢性低钙血症、低磷血症、佝偻病及伴有慢性肾功能不全的骨软化症、家族性低磷血症及甲状旁腺功能低下（术后、特发性或慢性甲状旁腺功能低下）的治疗。3、用于治疗急、慢性及潜在手术后手足搐搦症及特发性手足搐搦症。</w:t>
      </w:r>
    </w:p>
    <w:p w14:paraId="7F725F1B">
      <w:pPr>
        <w:rPr>
          <w:rFonts w:hint="eastAsia"/>
        </w:rPr>
      </w:pPr>
    </w:p>
    <w:p w14:paraId="0FD83906">
      <w:pPr>
        <w:rPr>
          <w:rFonts w:hint="eastAsia"/>
        </w:rPr>
      </w:pPr>
      <w:r>
        <w:rPr>
          <w:rFonts w:hint="eastAsia"/>
        </w:rPr>
        <w:t>【规格】0.01mg（400单位）</w:t>
      </w:r>
    </w:p>
    <w:p w14:paraId="0CE84A66">
      <w:pPr>
        <w:rPr>
          <w:rFonts w:hint="eastAsia"/>
        </w:rPr>
      </w:pPr>
    </w:p>
    <w:p w14:paraId="5138BE5C">
      <w:pPr>
        <w:rPr>
          <w:rFonts w:hint="eastAsia"/>
        </w:rPr>
      </w:pPr>
      <w:r>
        <w:rPr>
          <w:rFonts w:hint="eastAsia"/>
        </w:rPr>
        <w:t xml:space="preserve">【用法用量】1. 用于维生素D缺乏的预防与治疗：  </w:t>
      </w:r>
    </w:p>
    <w:p w14:paraId="7DAAA01F">
      <w:pPr>
        <w:rPr>
          <w:rFonts w:hint="eastAsia"/>
        </w:rPr>
      </w:pPr>
      <w:r>
        <w:rPr>
          <w:rFonts w:hint="eastAsia"/>
        </w:rPr>
        <w:t xml:space="preserve">预防维生素D缺乏性佝偻病，儿童一日400单位-800单位；预防骨质疏松症，成人一日400单位-800单位。治疗维生素D缺乏性佝偻病，一般推荐剂量为儿童一日2000-4000单位，1个月后改为一日400单位。该疾病需个体化治疗，请遵医嘱用药。辅助治疗骨质疏松症：成人一日800-1200单位，或遵医嘱。  </w:t>
      </w:r>
    </w:p>
    <w:p w14:paraId="2FB5352B">
      <w:pPr>
        <w:rPr>
          <w:rFonts w:hint="eastAsia"/>
        </w:rPr>
      </w:pPr>
      <w:r>
        <w:rPr>
          <w:rFonts w:hint="eastAsia"/>
        </w:rPr>
        <w:t xml:space="preserve">2. 甲状旁腺功能低下：成人口服每日5-15万单位，小儿：5-20万单位。  </w:t>
      </w:r>
    </w:p>
    <w:p w14:paraId="5480307E">
      <w:pPr>
        <w:rPr>
          <w:rFonts w:hint="eastAsia"/>
        </w:rPr>
      </w:pPr>
      <w:r>
        <w:rPr>
          <w:rFonts w:hint="eastAsia"/>
        </w:rPr>
        <w:t xml:space="preserve">3. 家族性低磷血症：成人口服每日5-10万单位。  </w:t>
      </w:r>
    </w:p>
    <w:p w14:paraId="60A36538">
      <w:pPr>
        <w:rPr>
          <w:rFonts w:hint="eastAsia"/>
        </w:rPr>
      </w:pPr>
      <w:r>
        <w:rPr>
          <w:rFonts w:hint="eastAsia"/>
        </w:rPr>
        <w:t>4. 维生素D依赖性佝偻病：成人口服每日1-6万单位，最高量每日50万单位。小儿每日3000-1万单位，最高量每日5万单位。</w:t>
      </w:r>
    </w:p>
    <w:p w14:paraId="569030CA">
      <w:pPr>
        <w:rPr>
          <w:rFonts w:hint="eastAsia"/>
        </w:rPr>
      </w:pPr>
    </w:p>
    <w:p w14:paraId="2E84E3A8">
      <w:pPr>
        <w:rPr>
          <w:rFonts w:hint="eastAsia"/>
        </w:rPr>
      </w:pPr>
      <w:r>
        <w:rPr>
          <w:rFonts w:hint="eastAsia"/>
        </w:rPr>
        <w:t xml:space="preserve">【不良反应】1、便秘、腹泻、持续性头痛、食欲减退、口内有金属味、恶心呕吐、口渴、疲乏、无力；2、骨痛、尿混浊、惊厥、高血压、眼对光刺激敏感度增加、心律失常、偶有精神异常、皮肤瘙痒、肌痛、严重腹痛（有时误诊为胰腺炎）、夜间多尿、体重下降。  </w:t>
      </w:r>
    </w:p>
    <w:p w14:paraId="7E115ECA">
      <w:pPr>
        <w:rPr>
          <w:rFonts w:hint="eastAsia"/>
        </w:rPr>
      </w:pPr>
      <w:r>
        <w:rPr>
          <w:rFonts w:hint="eastAsia"/>
        </w:rPr>
        <w:t xml:space="preserve">维生素D国外文献中报告，维生素D过多的特点是对以下器官系统的影响：  </w:t>
      </w:r>
    </w:p>
    <w:p w14:paraId="560E5F32">
      <w:pPr>
        <w:rPr>
          <w:rFonts w:hint="eastAsia"/>
        </w:rPr>
      </w:pPr>
      <w:r>
        <w:rPr>
          <w:rFonts w:hint="eastAsia"/>
        </w:rPr>
        <w:t xml:space="preserve">肾功能：肾功能损害包括多尿、夜尿、烦渴、高钙尿、可逆性氮质血症、高血压、肾钙质沉着、全身血管钙化、或可能导致死亡的不可逆性肾功能损害。  </w:t>
      </w:r>
    </w:p>
    <w:p w14:paraId="2CC6318A">
      <w:pPr>
        <w:rPr>
          <w:rFonts w:hint="eastAsia"/>
        </w:rPr>
      </w:pPr>
      <w:r>
        <w:rPr>
          <w:rFonts w:hint="eastAsia"/>
        </w:rPr>
        <w:t xml:space="preserve">中枢神经系统：智力低下。  </w:t>
      </w:r>
    </w:p>
    <w:p w14:paraId="05704A61">
      <w:pPr>
        <w:rPr>
          <w:rFonts w:hint="eastAsia"/>
        </w:rPr>
      </w:pPr>
      <w:r>
        <w:rPr>
          <w:rFonts w:hint="eastAsia"/>
        </w:rPr>
        <w:t xml:space="preserve">软组织：广泛的软组织钙化，包括心脏、血管、肾小管和肺。  </w:t>
      </w:r>
    </w:p>
    <w:p w14:paraId="13E6B152">
      <w:pPr>
        <w:rPr>
          <w:rFonts w:hint="eastAsia"/>
        </w:rPr>
      </w:pPr>
      <w:r>
        <w:rPr>
          <w:rFonts w:hint="eastAsia"/>
        </w:rPr>
        <w:t xml:space="preserve">骨骼：成人同时发生骨骼脱矿（骨质疏松症）。婴儿和儿童骨骼线性生长的平均速度下降和矿化增加（侏儒症），酸、僵硬和膝痛。  </w:t>
      </w:r>
    </w:p>
    <w:p w14:paraId="6D1E4758">
      <w:pPr>
        <w:rPr>
          <w:rFonts w:hint="eastAsia"/>
        </w:rPr>
      </w:pPr>
      <w:r>
        <w:rPr>
          <w:rFonts w:hint="eastAsia"/>
        </w:rPr>
        <w:t xml:space="preserve">胃肠道：恶心、厌食、便秘。  </w:t>
      </w:r>
    </w:p>
    <w:p w14:paraId="181C9960">
      <w:pPr>
        <w:rPr>
          <w:rFonts w:hint="eastAsia"/>
        </w:rPr>
      </w:pPr>
      <w:r>
        <w:rPr>
          <w:rFonts w:hint="eastAsia"/>
        </w:rPr>
        <w:t>代谢：轻度酸中毒，贫血，体重减轻。</w:t>
      </w:r>
    </w:p>
    <w:p w14:paraId="46A704A5">
      <w:pPr>
        <w:rPr>
          <w:rFonts w:hint="eastAsia"/>
        </w:rPr>
      </w:pPr>
    </w:p>
    <w:p w14:paraId="7A739633">
      <w:pPr>
        <w:rPr>
          <w:rFonts w:hint="eastAsia"/>
        </w:rPr>
      </w:pPr>
      <w:r>
        <w:rPr>
          <w:rFonts w:hint="eastAsia"/>
        </w:rPr>
        <w:t>【禁忌】高钙血症、维生素D增多症、吸收不良综合征、高磷血症伴肾性佝偻病患者禁用。对维生素D毒性作用敏感者禁用。</w:t>
      </w:r>
    </w:p>
    <w:p w14:paraId="5584E4D2">
      <w:pPr>
        <w:rPr>
          <w:rFonts w:hint="eastAsia"/>
        </w:rPr>
      </w:pPr>
    </w:p>
    <w:p w14:paraId="6245A9C9">
      <w:pPr>
        <w:rPr>
          <w:rFonts w:hint="eastAsia"/>
        </w:rPr>
      </w:pPr>
      <w:r>
        <w:rPr>
          <w:rFonts w:hint="eastAsia"/>
        </w:rPr>
        <w:t xml:space="preserve">【注意事项】1、治疗低钙血症前，应先控制血清磷的浓度，并定期复查血钙等有关指标；除非遵医嘱，避免同时应用钙、磷和维生素D制剂。血液透析时可用碳酸铝或氢氧化铝凝胶控制血清磷浓度。维生素D₂疗程中磷的吸收增多。铝制剂的用量可以酌情。  </w:t>
      </w:r>
    </w:p>
    <w:p w14:paraId="33B8D4A9">
      <w:pPr>
        <w:rPr>
          <w:rFonts w:hint="eastAsia"/>
        </w:rPr>
      </w:pPr>
      <w:r>
        <w:rPr>
          <w:rFonts w:hint="eastAsia"/>
        </w:rPr>
        <w:t xml:space="preserve">2、由于个体差异，维生素D₂用量应依据临床反应作调整。  </w:t>
      </w:r>
    </w:p>
    <w:p w14:paraId="69C605AC">
      <w:pPr>
        <w:rPr>
          <w:rFonts w:hint="eastAsia"/>
        </w:rPr>
      </w:pPr>
      <w:r>
        <w:rPr>
          <w:rFonts w:hint="eastAsia"/>
        </w:rPr>
        <w:t xml:space="preserve">3、对诊断的干扰：维生素D₂可促使血清磷酸酶浓度降低，血清钙、胆固醇、磷酸盐和镁的浓度可能升高，尿液内钙和磷酸盐的浓度亦增高。  </w:t>
      </w:r>
    </w:p>
    <w:p w14:paraId="0C4F54F2">
      <w:pPr>
        <w:rPr>
          <w:rFonts w:hint="eastAsia"/>
        </w:rPr>
      </w:pPr>
      <w:r>
        <w:rPr>
          <w:rFonts w:hint="eastAsia"/>
        </w:rPr>
        <w:t xml:space="preserve">4、下列情况应慎用：动脉硬化、心功能不全、高胆固醇血症、高磷血症；对维生素D高度敏感及肾功能不全；非肾病用维生素D治疗时，如患者对维生素D异常敏感，也可产生肾源性。  </w:t>
      </w:r>
    </w:p>
    <w:p w14:paraId="49D6CF7E">
      <w:pPr>
        <w:rPr>
          <w:rFonts w:hint="eastAsia"/>
        </w:rPr>
      </w:pPr>
      <w:r>
        <w:rPr>
          <w:rFonts w:hint="eastAsia"/>
        </w:rPr>
        <w:t xml:space="preserve">5、疗程中应注意检查：血清尿素氮、肌酐和肌酐清除率、血清碱性磷酸酶、血磷、24小时尿钙、尿钙与肌酐的比值、血钙（用治疗量维生素D₂应定期作监测，维持血钙浓度2.00-2.50mmol/L），以及骨X线检查等。  </w:t>
      </w:r>
    </w:p>
    <w:p w14:paraId="3F56D597">
      <w:pPr>
        <w:rPr>
          <w:rFonts w:hint="eastAsia"/>
        </w:rPr>
      </w:pPr>
      <w:r>
        <w:rPr>
          <w:rFonts w:hint="eastAsia"/>
        </w:rPr>
        <w:t xml:space="preserve">6、对维生素D过敏可能是特发性高钙血症婴儿的病因之一，在这种情况下，必须严格限制维生素D。  </w:t>
      </w:r>
    </w:p>
    <w:p w14:paraId="0F918582">
      <w:pPr>
        <w:rPr>
          <w:rFonts w:hint="eastAsia"/>
        </w:rPr>
      </w:pPr>
      <w:r>
        <w:rPr>
          <w:rFonts w:hint="eastAsia"/>
        </w:rPr>
        <w:t xml:space="preserve">7、应评估从强化食品、膳食补充剂、自我给药和处方药来源的维生素D。一旦临床改善，应立即调整治疗剂量。  </w:t>
      </w:r>
    </w:p>
    <w:p w14:paraId="5A0B98F0">
      <w:pPr>
        <w:rPr>
          <w:rFonts w:hint="eastAsia"/>
        </w:rPr>
      </w:pPr>
      <w:r>
        <w:rPr>
          <w:rFonts w:hint="eastAsia"/>
        </w:rPr>
        <w:t xml:space="preserve">8、治疗维生素D抵抗性佝偻病时，治疗和有毒剂量之间的范围较窄，当使用高剂量治疗药物时，应经常进行血钙测定。  </w:t>
      </w:r>
    </w:p>
    <w:p w14:paraId="57CA755B">
      <w:pPr>
        <w:rPr>
          <w:rFonts w:hint="eastAsia"/>
        </w:rPr>
      </w:pPr>
      <w:r>
        <w:rPr>
          <w:rFonts w:hint="eastAsia"/>
        </w:rPr>
        <w:t xml:space="preserve">9、在甲状旁腺功能低下的治疗中，一般同时口服钙剂，并可能需要静脉注射钙剂、使用甲状旁腺激素等。  </w:t>
      </w:r>
    </w:p>
    <w:p w14:paraId="4CC1B024">
      <w:pPr>
        <w:rPr>
          <w:rFonts w:hint="eastAsia"/>
        </w:rPr>
      </w:pPr>
      <w:r>
        <w:rPr>
          <w:rFonts w:hint="eastAsia"/>
        </w:rPr>
        <w:t xml:space="preserve">10、肾性骨营养不良患者常见高磷血症，通过限制饮食中的磷酸盐和/或给予铝凝胶作为肠道磷酸盐结合剂来维持正常血清磷水平，对于预防转移性钙化非常重要。  </w:t>
      </w:r>
    </w:p>
    <w:p w14:paraId="290DCD81">
      <w:pPr>
        <w:rPr>
          <w:rFonts w:hint="eastAsia"/>
        </w:rPr>
      </w:pPr>
      <w:r>
        <w:rPr>
          <w:rFonts w:hint="eastAsia"/>
        </w:rPr>
        <w:t xml:space="preserve">11、饮食中足够的钙对于维生素D治疗的临床反应必不可少。  </w:t>
      </w:r>
    </w:p>
    <w:p w14:paraId="2CD1E92C">
      <w:pPr>
        <w:rPr>
          <w:rFonts w:hint="eastAsia"/>
        </w:rPr>
      </w:pPr>
      <w:r>
        <w:rPr>
          <w:rFonts w:hint="eastAsia"/>
        </w:rPr>
        <w:t>12、本品含有的柠檬黄可能引起某些易感人群的过敏反应（包括支气管哮喘）。虽然柠檬黄敏感性在一般人群中总体发生率较低，但在阿司匹林过敏的患者中常见。</w:t>
      </w:r>
    </w:p>
    <w:p w14:paraId="6361F3C5">
      <w:pPr>
        <w:rPr>
          <w:rFonts w:hint="eastAsia"/>
        </w:rPr>
      </w:pPr>
    </w:p>
    <w:p w14:paraId="753188CC">
      <w:pPr>
        <w:rPr>
          <w:rFonts w:hint="eastAsia"/>
        </w:rPr>
      </w:pPr>
      <w:r>
        <w:rPr>
          <w:rFonts w:hint="eastAsia"/>
        </w:rPr>
        <w:t>【孕妇及哺乳期妇女用药】为保护胎儿，应避免在正常怀孕期间使用超过推荐饮食标准的维生素D，除非在特定的情况下医师判断潜在获益大于风险。尚未确定在怀孕期间每天超过400单位维生素D的安全性。高钙血症孕妇可伴有维生素D敏感，应注意剂量调整。哺乳期妇女慎用。服用大量维生素D的母亲，乳汁中出现25-羟胆钙化醇，导致孩子出现高钙血症。在这种情况下，需要监测婴儿的血清钙浓度。</w:t>
      </w:r>
    </w:p>
    <w:p w14:paraId="4BD606C4">
      <w:pPr>
        <w:rPr>
          <w:rFonts w:hint="eastAsia"/>
        </w:rPr>
      </w:pPr>
    </w:p>
    <w:p w14:paraId="38929B48">
      <w:pPr>
        <w:rPr>
          <w:rFonts w:hint="eastAsia"/>
        </w:rPr>
      </w:pPr>
      <w:r>
        <w:rPr>
          <w:rFonts w:hint="eastAsia"/>
        </w:rPr>
        <w:t>【儿童用药】婴儿对维生素D敏感性个体间差异大。用量应慎重决定，血清钙和磷浓度的乘积[Ca]×[P]（mg/dl）不得大于58。</w:t>
      </w:r>
    </w:p>
    <w:p w14:paraId="3C0823A1">
      <w:pPr>
        <w:rPr>
          <w:rFonts w:hint="eastAsia"/>
        </w:rPr>
      </w:pPr>
    </w:p>
    <w:p w14:paraId="4687F581">
      <w:pPr>
        <w:rPr>
          <w:rFonts w:hint="eastAsia"/>
        </w:rPr>
      </w:pPr>
      <w:r>
        <w:rPr>
          <w:rFonts w:hint="eastAsia"/>
        </w:rPr>
        <w:t>【老年用药】尚不明确。</w:t>
      </w:r>
    </w:p>
    <w:p w14:paraId="14B0F8F0">
      <w:pPr>
        <w:rPr>
          <w:rFonts w:hint="eastAsia"/>
        </w:rPr>
      </w:pPr>
    </w:p>
    <w:p w14:paraId="0E77BE00">
      <w:pPr>
        <w:rPr>
          <w:rFonts w:hint="eastAsia"/>
        </w:rPr>
      </w:pPr>
      <w:r>
        <w:rPr>
          <w:rFonts w:hint="eastAsia"/>
        </w:rPr>
        <w:t xml:space="preserve">【药物相互作用】1、制酸药中的镁剂与维生素D同用，特别对慢性肾功能衰竭病人可引起高镁血症。  </w:t>
      </w:r>
    </w:p>
    <w:p w14:paraId="29A05450">
      <w:pPr>
        <w:rPr>
          <w:rFonts w:hint="eastAsia"/>
        </w:rPr>
      </w:pPr>
      <w:r>
        <w:rPr>
          <w:rFonts w:hint="eastAsia"/>
        </w:rPr>
        <w:t xml:space="preserve">2、巴比妥、苯妥英钠、抗惊厥药、扑米酮等可降低维生素D的效应，长期服用抗惊厥药时应补给维生素D以防骨软化症。  </w:t>
      </w:r>
    </w:p>
    <w:p w14:paraId="0577BA22">
      <w:pPr>
        <w:rPr>
          <w:rFonts w:hint="eastAsia"/>
        </w:rPr>
      </w:pPr>
      <w:r>
        <w:rPr>
          <w:rFonts w:hint="eastAsia"/>
        </w:rPr>
        <w:t xml:space="preserve">3、降钙素与维生素D同用可抵消前者对高钙血症的疗效。  </w:t>
      </w:r>
    </w:p>
    <w:p w14:paraId="485A564C">
      <w:pPr>
        <w:rPr>
          <w:rFonts w:hint="eastAsia"/>
        </w:rPr>
      </w:pPr>
      <w:r>
        <w:rPr>
          <w:rFonts w:hint="eastAsia"/>
        </w:rPr>
        <w:t xml:space="preserve">4、大剂量钙剂或利尿药与常用量维生素D同用，有发生高钙血症的危险。  </w:t>
      </w:r>
    </w:p>
    <w:p w14:paraId="7AE1D712">
      <w:pPr>
        <w:rPr>
          <w:rFonts w:hint="eastAsia"/>
        </w:rPr>
      </w:pPr>
      <w:r>
        <w:rPr>
          <w:rFonts w:hint="eastAsia"/>
        </w:rPr>
        <w:t xml:space="preserve">5、考来烯胺、考来替泊、矿物油、硫糖铝等均能减少小肠对维生素D的吸收。  </w:t>
      </w:r>
    </w:p>
    <w:p w14:paraId="1EB6AE57">
      <w:pPr>
        <w:rPr>
          <w:rFonts w:hint="eastAsia"/>
        </w:rPr>
      </w:pPr>
      <w:r>
        <w:rPr>
          <w:rFonts w:hint="eastAsia"/>
        </w:rPr>
        <w:t xml:space="preserve">6、洋地黄类与维生素D同用应谨慎，因维生素D引起高钙血症，容易诱发心律失常。  </w:t>
      </w:r>
    </w:p>
    <w:p w14:paraId="32E4BC6A">
      <w:pPr>
        <w:rPr>
          <w:rFonts w:hint="eastAsia"/>
        </w:rPr>
      </w:pPr>
      <w:r>
        <w:rPr>
          <w:rFonts w:hint="eastAsia"/>
        </w:rPr>
        <w:t>7、大量的含磷药物与维生素D同用，可诱发高磷血症。</w:t>
      </w:r>
    </w:p>
    <w:p w14:paraId="6A1818FB">
      <w:pPr>
        <w:rPr>
          <w:rFonts w:hint="eastAsia"/>
        </w:rPr>
      </w:pPr>
    </w:p>
    <w:p w14:paraId="6E0B541B">
      <w:pPr>
        <w:rPr>
          <w:rFonts w:hint="eastAsia"/>
        </w:rPr>
      </w:pPr>
      <w:r>
        <w:rPr>
          <w:rFonts w:hint="eastAsia"/>
        </w:rPr>
        <w:t xml:space="preserve">【药物过量】1、短期内摄入大剂量或长期服用超剂量维生素D，可导致严重中毒反应。  </w:t>
      </w:r>
    </w:p>
    <w:p w14:paraId="57427C55">
      <w:pPr>
        <w:rPr>
          <w:rFonts w:hint="eastAsia"/>
        </w:rPr>
      </w:pPr>
      <w:r>
        <w:rPr>
          <w:rFonts w:hint="eastAsia"/>
        </w:rPr>
        <w:t xml:space="preserve">2、维生素D中毒引起的高钙血症，可引起全身性血管钙化、肾钙质沉淀及其他软组织钙化，而致高血压及肾功能衰竭。上述不良反应多发生于高钙血症和伴有高磷血症时。儿童可致生长停滞，屡见于长期应用维生素D每日1800单位后。中毒剂量可因个体差异而不同，即使每日应用1万单位超过数月后，对正常人亦可致毒性反应。维生素D中毒可因肾、心血管功能衰竭而致死。  </w:t>
      </w:r>
    </w:p>
    <w:p w14:paraId="61E60916">
      <w:pPr>
        <w:rPr>
          <w:rFonts w:hint="eastAsia"/>
        </w:rPr>
      </w:pPr>
      <w:r>
        <w:rPr>
          <w:rFonts w:hint="eastAsia"/>
        </w:rPr>
        <w:t>3、治疗维生素D过量，除停用外，应给以低钙饮食，大量饮水，保持尿液酸性，同时进行对症和支持治疗，如高钙血症危象时需静脉给予氯化钠注射液，增加尿钙排出，必要时应用利尿药、皮质激素或降钙素，甚至作血液透析，并应避免曝晒阳光，直至血钙浓度降至正常时才改变治疗方案。</w:t>
      </w:r>
    </w:p>
    <w:p w14:paraId="128D3552">
      <w:pPr>
        <w:rPr>
          <w:rFonts w:hint="eastAsia"/>
        </w:rPr>
      </w:pPr>
    </w:p>
    <w:p w14:paraId="65BFC69D">
      <w:pPr>
        <w:rPr>
          <w:rFonts w:hint="eastAsia"/>
        </w:rPr>
      </w:pPr>
      <w:r>
        <w:rPr>
          <w:rFonts w:hint="eastAsia"/>
        </w:rPr>
        <w:t>【临床药理】由小肠吸收，其吸收需胆盐与特殊α-球蛋白结合后转运到身体其他部位，贮存于肝和脂肪。代谢、活化首先通过肝脏，其次为肾脏。作用开始时间为12-24小时，治疗效应需10-14天，半衰期（t₁/₂）为19-48小时，在脂肪组织内可长期贮存。作用持续时间长达6个月，重复给药有累积作用。</w:t>
      </w:r>
    </w:p>
    <w:p w14:paraId="52A8A30B">
      <w:pPr>
        <w:rPr>
          <w:rFonts w:hint="eastAsia"/>
        </w:rPr>
      </w:pPr>
    </w:p>
    <w:p w14:paraId="5DCD3C27">
      <w:pPr>
        <w:rPr>
          <w:rFonts w:hint="eastAsia"/>
        </w:rPr>
      </w:pPr>
      <w:r>
        <w:rPr>
          <w:rFonts w:hint="eastAsia"/>
        </w:rPr>
        <w:t>【药理毒理】本品为维生素类药。维生素D促进小肠黏膜依赖性对钙的吸收及肾小管重吸收磷，提高血钙、血磷浓度，协同甲状旁腺激素、降钙素，促进旧骨释放磷酸钙，维持及调节血浆钙、磷正常浓度。维生素D促使钙沉着于新骨形成部位，使钙磷酸盐在骨中沉积，促进骨钙化及成骨细胞功能和骨样组织成熟。维生素D摄入后，在细胞微粒体中受25-羟化酶系统催化生成骨化二醇（25-OHD），经肾近曲小管细胞1-羟化酶系统催化，生成具有生物活性的骨化三醇（1,25-(OH)₂D₃）。</w:t>
      </w:r>
    </w:p>
    <w:p w14:paraId="0890B469">
      <w:pPr>
        <w:rPr>
          <w:rFonts w:hint="eastAsia"/>
        </w:rPr>
      </w:pPr>
    </w:p>
    <w:p w14:paraId="51990F48">
      <w:pPr>
        <w:rPr>
          <w:rFonts w:hint="eastAsia"/>
        </w:rPr>
      </w:pPr>
      <w:r>
        <w:rPr>
          <w:rFonts w:hint="eastAsia"/>
        </w:rPr>
        <w:t>【贮藏】遮光，密封保存。</w:t>
      </w:r>
    </w:p>
    <w:p w14:paraId="605106D0">
      <w:pPr>
        <w:rPr>
          <w:rFonts w:hint="eastAsia"/>
        </w:rPr>
      </w:pPr>
    </w:p>
    <w:p w14:paraId="6C55D587">
      <w:pPr>
        <w:rPr>
          <w:rFonts w:hint="eastAsia"/>
        </w:rPr>
      </w:pPr>
      <w:r>
        <w:rPr>
          <w:rFonts w:hint="eastAsia"/>
        </w:rPr>
        <w:t xml:space="preserve">【包装】口服固体药用高密度聚乙烯瓶，100粒/瓶。  </w:t>
      </w:r>
    </w:p>
    <w:p w14:paraId="5652DD3B">
      <w:pPr>
        <w:rPr>
          <w:rFonts w:hint="eastAsia"/>
        </w:rPr>
      </w:pPr>
      <w:r>
        <w:rPr>
          <w:rFonts w:hint="eastAsia"/>
        </w:rPr>
        <w:t>铝塑泡罩包装（药用铝箔/聚氯乙烯固体药用硬片）：12粒/板×1板/盒，12粒/板×2板/盒，12粒/板×3板/盒，9粒/板×2板/盒，15粒/板×1板/盒，15粒/板×2板/盒，10粒/板×4板/盒，15粒/板×3板/盒，15粒/板×4板/盒，15粒/板×6板/盒，15粒/板×8板/盒。</w:t>
      </w:r>
    </w:p>
    <w:p w14:paraId="2D9CCF47">
      <w:pPr>
        <w:rPr>
          <w:rFonts w:hint="eastAsia"/>
        </w:rPr>
      </w:pPr>
    </w:p>
    <w:p w14:paraId="52B1D984">
      <w:pPr>
        <w:rPr>
          <w:rFonts w:hint="eastAsia"/>
        </w:rPr>
      </w:pPr>
      <w:r>
        <w:rPr>
          <w:rFonts w:hint="eastAsia"/>
        </w:rPr>
        <w:t>【有效期】24个月</w:t>
      </w:r>
    </w:p>
    <w:p w14:paraId="620CD660">
      <w:pPr>
        <w:rPr>
          <w:rFonts w:hint="eastAsia"/>
        </w:rPr>
      </w:pPr>
    </w:p>
    <w:p w14:paraId="33C9E790">
      <w:pPr>
        <w:rPr>
          <w:rFonts w:hint="eastAsia"/>
        </w:rPr>
      </w:pPr>
      <w:r>
        <w:rPr>
          <w:rFonts w:hint="eastAsia"/>
        </w:rPr>
        <w:t>【执行标准】《中国药典》2025年版二部</w:t>
      </w:r>
    </w:p>
    <w:p w14:paraId="76746E49">
      <w:pPr>
        <w:rPr>
          <w:rFonts w:hint="eastAsia"/>
        </w:rPr>
      </w:pPr>
    </w:p>
    <w:p w14:paraId="71A37868">
      <w:pPr>
        <w:rPr>
          <w:rFonts w:hint="eastAsia"/>
        </w:rPr>
      </w:pPr>
      <w:r>
        <w:rPr>
          <w:rFonts w:hint="eastAsia"/>
        </w:rPr>
        <w:t>【批准文号】国药准字H20247143</w:t>
      </w:r>
    </w:p>
    <w:p w14:paraId="4AD4B326">
      <w:pPr>
        <w:rPr>
          <w:rFonts w:hint="eastAsia"/>
        </w:rPr>
      </w:pPr>
    </w:p>
    <w:p w14:paraId="55DBDBAD">
      <w:pPr>
        <w:rPr>
          <w:rFonts w:hint="eastAsia"/>
        </w:rPr>
      </w:pPr>
      <w:r>
        <w:rPr>
          <w:rFonts w:hint="eastAsia"/>
        </w:rPr>
        <w:t xml:space="preserve">【上市许可持有人】名称：南京海鲸药业股份有限公司  </w:t>
      </w:r>
    </w:p>
    <w:p w14:paraId="2B733634">
      <w:pPr>
        <w:rPr>
          <w:rFonts w:hint="eastAsia"/>
        </w:rPr>
      </w:pPr>
      <w:r>
        <w:rPr>
          <w:rFonts w:hint="eastAsia"/>
        </w:rPr>
        <w:t xml:space="preserve">注册地址：南京市江北新区新科二路23号  </w:t>
      </w:r>
    </w:p>
    <w:p w14:paraId="64FFD19B">
      <w:pPr>
        <w:rPr>
          <w:rFonts w:hint="eastAsia"/>
        </w:rPr>
      </w:pPr>
      <w:r>
        <w:rPr>
          <w:rFonts w:hint="eastAsia"/>
        </w:rPr>
        <w:t xml:space="preserve">邮政编码：210061  </w:t>
      </w:r>
    </w:p>
    <w:p w14:paraId="2B2BC96A">
      <w:pPr>
        <w:rPr>
          <w:rFonts w:hint="eastAsia"/>
        </w:rPr>
      </w:pPr>
      <w:r>
        <w:rPr>
          <w:rFonts w:hint="eastAsia"/>
        </w:rPr>
        <w:t xml:space="preserve">电话号码：025-84553698 025-57901282  </w:t>
      </w:r>
    </w:p>
    <w:p w14:paraId="26241B8C">
      <w:pPr>
        <w:rPr>
          <w:rFonts w:hint="eastAsia"/>
        </w:rPr>
      </w:pPr>
      <w:r>
        <w:rPr>
          <w:rFonts w:hint="eastAsia"/>
        </w:rPr>
        <w:t xml:space="preserve">传真号码：025-57901299  </w:t>
      </w:r>
    </w:p>
    <w:p w14:paraId="3F512833">
      <w:pPr>
        <w:rPr>
          <w:rFonts w:hint="eastAsia"/>
        </w:rPr>
      </w:pPr>
      <w:r>
        <w:rPr>
          <w:rFonts w:hint="eastAsia"/>
        </w:rPr>
        <w:t>网址：http://www.njhjyy.com</w:t>
      </w:r>
    </w:p>
    <w:p w14:paraId="5B0CB6D0">
      <w:pPr>
        <w:rPr>
          <w:rFonts w:hint="eastAsia"/>
        </w:rPr>
      </w:pPr>
    </w:p>
    <w:p w14:paraId="10315EC3">
      <w:pPr>
        <w:rPr>
          <w:rFonts w:hint="eastAsia"/>
        </w:rPr>
      </w:pPr>
      <w:r>
        <w:rPr>
          <w:rFonts w:hint="eastAsia"/>
        </w:rPr>
        <w:t xml:space="preserve">【生产企业】企业名称：南京海鲸药业股份有限公司  </w:t>
      </w:r>
    </w:p>
    <w:p w14:paraId="1762A674">
      <w:pPr>
        <w:rPr>
          <w:rFonts w:hint="eastAsia"/>
        </w:rPr>
      </w:pPr>
      <w:r>
        <w:rPr>
          <w:rFonts w:hint="eastAsia"/>
        </w:rPr>
        <w:t xml:space="preserve">生产地址：南京市江北新区新科二路23号  </w:t>
      </w:r>
    </w:p>
    <w:p w14:paraId="280D6DA6">
      <w:pPr>
        <w:rPr>
          <w:rFonts w:hint="eastAsia"/>
        </w:rPr>
      </w:pPr>
      <w:r>
        <w:rPr>
          <w:rFonts w:hint="eastAsia"/>
        </w:rPr>
        <w:t xml:space="preserve">邮政编码：210061  </w:t>
      </w:r>
    </w:p>
    <w:p w14:paraId="2D2FBE71">
      <w:pPr>
        <w:rPr>
          <w:rFonts w:hint="eastAsia"/>
        </w:rPr>
      </w:pPr>
      <w:r>
        <w:rPr>
          <w:rFonts w:hint="eastAsia"/>
        </w:rPr>
        <w:t xml:space="preserve">电话号码：025-84553698 025-57901282  </w:t>
      </w:r>
    </w:p>
    <w:p w14:paraId="3939ED9E">
      <w:pPr>
        <w:rPr>
          <w:rFonts w:hint="eastAsia"/>
        </w:rPr>
      </w:pPr>
      <w:r>
        <w:rPr>
          <w:rFonts w:hint="eastAsia"/>
        </w:rPr>
        <w:t xml:space="preserve">传真号码：025-57901299  </w:t>
      </w:r>
    </w:p>
    <w:p w14:paraId="75D401FE">
      <w:r>
        <w:rPr>
          <w:rFonts w:hint="eastAsia"/>
        </w:rPr>
        <w:t>网址：http://www.njhjyy.com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801AD"/>
    <w:rsid w:val="1308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2026-06-17T05:18:00Z</dcterms:created>
  <dc:creator>丿Mars小霸王</dc:creator>
  <cp:lastModifiedBy>丿Mars小霸王</cp:lastModifiedBy>
  <dcterms:modified xsi:type="dcterms:W3CDTF">2026-06-17T05:19:11Z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67B7FE0E17A14E4989C8CF264F4D8580_11</vt:lpwstr>
  </property>
  <property fmtid="{D5CDD505-2E9C-101B-9397-08002B2CF9AE}" pid="4" name="KSOTemplateDocerSaveRecord">
    <vt:lpwstr>eyJoZGlkIjoiMmE2YmFhNDM2ODg5ZWIxMDFhMzIzYjAxYTIyNGI4NzMiLCJ1c2VySWQiOiIzODAxNTMwOTgifQ==</vt:lpwstr>
  </property>
</Properties>
</file>