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409E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【药品名称】</w:t>
      </w:r>
    </w:p>
    <w:p w14:paraId="680CBF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通用名称:维生素D2软胶囊  </w:t>
      </w:r>
    </w:p>
    <w:p w14:paraId="18B25B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英文名称:Vitamin D2 Soft Capsules  </w:t>
      </w:r>
    </w:p>
    <w:p w14:paraId="5E4AC9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汉语拼音:Weishengsu D2 Ruanjiaonang  </w:t>
      </w:r>
    </w:p>
    <w:p w14:paraId="36465F1E">
      <w:pPr>
        <w:bidi w:val="0"/>
        <w:rPr>
          <w:rFonts w:hint="eastAsia"/>
          <w:lang w:val="en-US" w:eastAsia="zh-CN"/>
        </w:rPr>
      </w:pPr>
    </w:p>
    <w:p w14:paraId="3DC1B8C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【成份】</w:t>
      </w:r>
    </w:p>
    <w:p w14:paraId="0C814D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本品主要成份为维生素D。  </w:t>
      </w:r>
    </w:p>
    <w:p w14:paraId="18E192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化学名称:9,10-开环麦角甾-5,7,10(19),22-四烯-3-醇。  </w:t>
      </w:r>
    </w:p>
    <w:p w14:paraId="0260C2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分子式: C28H44O  </w:t>
      </w:r>
    </w:p>
    <w:p w14:paraId="6F2369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分子量:396.66  </w:t>
      </w:r>
    </w:p>
    <w:p w14:paraId="74F23DDD">
      <w:pPr>
        <w:bidi w:val="0"/>
        <w:rPr>
          <w:rFonts w:hint="eastAsia"/>
          <w:lang w:val="en-US" w:eastAsia="zh-CN"/>
        </w:rPr>
      </w:pPr>
    </w:p>
    <w:p w14:paraId="6B2A024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【性状】</w:t>
      </w:r>
    </w:p>
    <w:p w14:paraId="24F949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本品内容物为淡黄色至黄色油状液体。</w:t>
      </w:r>
    </w:p>
    <w:p w14:paraId="3CEB3CDB">
      <w:pPr>
        <w:bidi w:val="0"/>
        <w:rPr>
          <w:rFonts w:hint="eastAsia"/>
          <w:lang w:val="en-US" w:eastAsia="zh-CN"/>
        </w:rPr>
      </w:pPr>
    </w:p>
    <w:p w14:paraId="7149C0E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【适应症】</w:t>
      </w:r>
    </w:p>
    <w:p w14:paraId="4C72C0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1.用于维生素D缺乏症的预防与治疗。如:绝对素食者、肠外营养病人、胰腺功能不全伴吸收不良综合征、肝胆疾病(肝功能损害、肝硬化、阻塞性黄疸)、小肠疾病(脂性腹泻、局限性肠炎、长期腹泻)、胃切除等。  </w:t>
      </w:r>
    </w:p>
    <w:p w14:paraId="4F0C62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2.用于慢性低钙血症、低磷血症、佝偻病及伴有慢性肾功能不全的骨软化症、家族性低磷血症及甲状旁腺功能低下(术后、特发性或假性甲状旁腺功能低下)的治疗。  </w:t>
      </w:r>
    </w:p>
    <w:p w14:paraId="798DFB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3.用于治疗急、慢性及潜在手术后手足搐搦症及特发性手足搐搦症。</w:t>
      </w:r>
    </w:p>
    <w:p w14:paraId="44CEE5BA">
      <w:pPr>
        <w:bidi w:val="0"/>
        <w:rPr>
          <w:rFonts w:hint="eastAsia"/>
          <w:lang w:val="en-US" w:eastAsia="zh-CN"/>
        </w:rPr>
      </w:pPr>
    </w:p>
    <w:p w14:paraId="289B550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【规格】</w:t>
      </w:r>
    </w:p>
    <w:p w14:paraId="3D60C9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0.125mg(5000单位)</w:t>
      </w:r>
    </w:p>
    <w:p w14:paraId="2155AEC2">
      <w:pPr>
        <w:bidi w:val="0"/>
        <w:rPr>
          <w:rFonts w:hint="eastAsia"/>
          <w:lang w:val="en-US" w:eastAsia="zh-CN"/>
        </w:rPr>
      </w:pPr>
    </w:p>
    <w:p w14:paraId="4BE5A64E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【用法用量】</w:t>
      </w:r>
    </w:p>
    <w:p w14:paraId="635F0507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1.维生素D缺乏:成人口服每日0.025~0.05mg(1000~2000单位)(1-2粒/5日),以后减至每日0.01mg(400单位)(1粒/8日);儿童每日0.025~0.1mg (1000~4000单位)(1-4粒/5日),以后减至每日0.01mg(400单位)(1粒/8日)。</w:t>
      </w:r>
    </w:p>
    <w:p w14:paraId="16FC19B2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预防维生素D缺乏症:成人口服每日0.01~0.02mg(400~800单位)(约1-2粒/10日);早产儿、双胎或人工喂养婴儿每日饮食摄入维生素D含量不足0.0025mg(100单位)时,需于出生后1~3周起每日口服维生素D0.0125~0.025mg (500~1000单位)(1-2粒/10日);用母乳喂养的婴儿每日0.01mg(400单位)(约1粒/12日)。  </w:t>
      </w:r>
    </w:p>
    <w:p w14:paraId="7DC7C9A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2.甲状旁腺功能低下:成人口服每日1.25~3.75mg(5~15万单位)(10-30粒/日),小儿:1.25~5mg(5~20万单位)(10-40粒/日)。</w:t>
      </w:r>
    </w:p>
    <w:p w14:paraId="74663A2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家族性低磷血症:成人口服每日1.25~2.5mg(5~10万单位) (10-20粒/日)。</w:t>
      </w:r>
    </w:p>
    <w:p w14:paraId="6C54CAF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维生素D依赖性佝偻病:成人口服每日0.25~1.5mg(1~6万单位)(2-12粒/日)最高量每日12.5mg(50万单位)(100粒/日)。小儿每日0.075-0.25mg(3000~1万单位)(1-2粒/日),最高量每日1.25mg(5万单位)(10粒/日)。</w:t>
      </w:r>
    </w:p>
    <w:p w14:paraId="33FFFFF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骨软化症(长期应用抗惊厥药引起):成人口服每日0.025~0.1mg(1000~4000单位)(1-4粒/5日);小儿每日0.025mg(1000单位)(1粒/5日)。  </w:t>
      </w:r>
    </w:p>
    <w:p w14:paraId="0890DCAC">
      <w:pPr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肾功能不全:成人口服每日1~2.5mg(4~10万单位)(8-20粒/日)。  </w:t>
      </w:r>
    </w:p>
    <w:p w14:paraId="675AD3BB">
      <w:pPr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肾性骨萎缩:成人开始剂量每日0.5mg(2万单位)(4粒/日),维持量每日0.25~0.75mg(1 3万单位)(2-6粒/日);小儿每日0.1~1mg(4000~4万单位)(1-8粒/日)。  </w:t>
      </w:r>
    </w:p>
    <w:p w14:paraId="777FCE2C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【不良反应】</w:t>
      </w:r>
    </w:p>
    <w:p w14:paraId="541C7B5B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便秘、腹泻、持续性头痛、食欲减退、口内有金属味、恶心呕吐、口渴、疲乏、无力;  </w:t>
      </w:r>
    </w:p>
    <w:p w14:paraId="5AC7D9F3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骨痛、尿混浊、惊厥、高血压、眼对光刺激敏感度增加、心律失常、偶有精神异常、皮肤瘙痒、肌痛、严重腹痛(有时误诊为胰腺炎)、夜间多尿、体重下降。</w:t>
      </w:r>
    </w:p>
    <w:p w14:paraId="50DDB5BE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0C47F848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【禁忌】</w:t>
      </w:r>
    </w:p>
    <w:p w14:paraId="715BAE2B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高血钙症、维生素D增多症、高磷血症伴肾性佝偻病患者禁用。</w:t>
      </w:r>
    </w:p>
    <w:p w14:paraId="0491B503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7509AFD5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【注意事项】</w:t>
      </w:r>
    </w:p>
    <w:p w14:paraId="6DDB284C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治疗低钙血症前,应先控制血清磷的浓度,并定期复查血钙等有关指标;除非遵医嘱,避免同时应用钙、磷和维生素D制剂。血液透析时可用碳酸铝或氢氧化铝凝胶控制血磷浓度,维生素D2疗程中磷的吸收增多,铝制剂的用量可以酌增。  </w:t>
      </w:r>
    </w:p>
    <w:p w14:paraId="7BD6D991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由于个体差异,维生素D2用量应依据临床反应作调整。  </w:t>
      </w:r>
    </w:p>
    <w:p w14:paraId="4DD29A8D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对诊断的干扰:维生素D2可促使血清磷酸酶浓度降低,血清钙、胆固醇、磷酸盐和镁的浓度可能升高,尿液内钙和磷酸盐的浓度亦增高。  </w:t>
      </w:r>
    </w:p>
    <w:p w14:paraId="0AAF22F3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下列情况应慎用:动脉硬化、心功能不全、高胆固醇血症、高磷血症;对维生素D高度敏感及肾功能不全;非肾脏病用维生素D2治疗时,如患者对维生素D2异常敏感,也可产生肾脏毒性。  </w:t>
      </w:r>
    </w:p>
    <w:p w14:paraId="09826A0B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疗程中应注意检查:血清尿素氮、肌酐和肌酐清除率、血清碱性磷酸酶、血磷、24小时尿钙、尿钙与肌酐的比值、血钙(用治疗量维生素D2时应定期作监测,维持血钙浓度2.00~2.50mmol/L)、以及骨X线检查等。  </w:t>
      </w:r>
    </w:p>
    <w:p w14:paraId="0E742495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预防和治疗骨质疏松,要关注个体差异,用法和用量请遵医嘱。 </w:t>
      </w:r>
    </w:p>
    <w:p w14:paraId="46DAC0F8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4240EFCF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【孕妇及哺乳期妇女用药】</w:t>
      </w:r>
    </w:p>
    <w:p w14:paraId="6F7476A7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高钙血症孕妇可伴有对维生素D2敏感,应注意剂量调整。</w:t>
      </w:r>
    </w:p>
    <w:p w14:paraId="163A878C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5114090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【儿童用药】</w:t>
      </w:r>
    </w:p>
    <w:p w14:paraId="1EF5080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婴儿对维生素D敏感性个体间差异大,用量应慎重决定,血清钙和磷浓度的乘积[Ca]×[P] (mg/dl) 不得大于58。</w:t>
      </w:r>
    </w:p>
    <w:p w14:paraId="654B372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10F9302E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【老年用药】</w:t>
      </w:r>
    </w:p>
    <w:p w14:paraId="5517BC80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未进行该项实验且无可靠参考文献</w:t>
      </w:r>
    </w:p>
    <w:p w14:paraId="72CD4C7A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96471FD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【药物相互作用】</w:t>
      </w:r>
    </w:p>
    <w:p w14:paraId="4F3E015F">
      <w:pPr>
        <w:widowControl w:val="0"/>
        <w:numPr>
          <w:ilvl w:val="0"/>
          <w:numId w:val="4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制酸药中的镁剂与维生素D同用,特别对慢性肾功能衰竭病人可引起高镁血症。  </w:t>
      </w:r>
    </w:p>
    <w:p w14:paraId="3FB05C22">
      <w:pPr>
        <w:widowControl w:val="0"/>
        <w:numPr>
          <w:ilvl w:val="0"/>
          <w:numId w:val="4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巴比妥、苯妥英钠、抗惊厥药、扑米酮等可降低维生素D的效应,长期服用抗惊厥药时应补给维生素D以防骨软化症。  </w:t>
      </w:r>
    </w:p>
    <w:p w14:paraId="60BFFAA4">
      <w:pPr>
        <w:widowControl w:val="0"/>
        <w:numPr>
          <w:ilvl w:val="0"/>
          <w:numId w:val="4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降钙素与维生素D同用可抵消前者对高钙血症的疗效。  </w:t>
      </w:r>
    </w:p>
    <w:p w14:paraId="3432D788">
      <w:pPr>
        <w:widowControl w:val="0"/>
        <w:numPr>
          <w:ilvl w:val="0"/>
          <w:numId w:val="4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大剂量钙剂或利尿药与常用量维生素D同用,有发生高钙血症的危险。  </w:t>
      </w:r>
    </w:p>
    <w:p w14:paraId="289903DD">
      <w:pPr>
        <w:widowControl w:val="0"/>
        <w:numPr>
          <w:ilvl w:val="0"/>
          <w:numId w:val="4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考来烯胺、考来替泊、矿物油、硫糖铝等均能减少小肠对维生素D的吸收。  </w:t>
      </w:r>
    </w:p>
    <w:p w14:paraId="17ADAF4E">
      <w:pPr>
        <w:widowControl w:val="0"/>
        <w:numPr>
          <w:ilvl w:val="0"/>
          <w:numId w:val="4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洋地黄类与维生素D同用时应谨慎,因维生素D引起高钙血症,容易诱发心律失常。  </w:t>
      </w:r>
    </w:p>
    <w:p w14:paraId="2CA35546">
      <w:pPr>
        <w:widowControl w:val="0"/>
        <w:numPr>
          <w:ilvl w:val="0"/>
          <w:numId w:val="4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大量的含磷药物与维生素D同用,可诱发高磷血症。  </w:t>
      </w:r>
    </w:p>
    <w:p w14:paraId="3AD3971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F7533DA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 xml:space="preserve">【药物过量】  </w:t>
      </w:r>
    </w:p>
    <w:bookmarkEnd w:id="0"/>
    <w:p w14:paraId="05486414">
      <w:pPr>
        <w:widowControl w:val="0"/>
        <w:numPr>
          <w:ilvl w:val="0"/>
          <w:numId w:val="5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短期内摄入大剂量或长期服用超剂量维生素D,可导致严重中毒反应。  </w:t>
      </w:r>
    </w:p>
    <w:p w14:paraId="408B0D02">
      <w:pPr>
        <w:widowControl w:val="0"/>
        <w:numPr>
          <w:ilvl w:val="0"/>
          <w:numId w:val="5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维生素D中毒引起的高钙血症,可引起全身性血管钙化、肾钙质沉淀及其他软组织钙化,而致高血压及肾功能衰竭,上述不良反应多发生于高钙血症和伴有高磷血症时。儿童可致生长停滞,屡见于长期应用维生素D每日1800单位(1粒/3日)后。中毒剂量可因个体差异而不同,即使每日应用1万单位(2粒/日)超过数月后,对正常人亦可致毒性反应。维生素D2中毒可因肾、心血管功能衰竭而致死。  </w:t>
      </w:r>
    </w:p>
    <w:p w14:paraId="61089C9A">
      <w:pPr>
        <w:widowControl w:val="0"/>
        <w:numPr>
          <w:ilvl w:val="0"/>
          <w:numId w:val="5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治疗维生素D过量,除停用外,应给以低钙饮食,大量饮水,保持尿液酸性,同时进行对症和支持治疗,如高钙血症危象时需静脉给予氯化钠注射液,增加尿钙排出,必要时应用利尿药、皮质激素或降钙素,甚至作血液透析,并应避免曝晒阳光,直至血钙浓度降至正常时才改变治疗方案。  </w:t>
      </w:r>
    </w:p>
    <w:p w14:paraId="45C7E23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092BF85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【药理毒理】</w:t>
      </w:r>
    </w:p>
    <w:p w14:paraId="1DEB84F1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药理作用: 本品为维生素类药。维生素D促进小肠黏膜刷状缘对钙的吸收及肾小管重吸收磷,提高血钙、血磷浓度,协同甲状旁腺激素、降钙素,促进旧骨释放磷酸钙,维持及调节血浆钙、磷正常浓度。维生素D促使钙沉着于新骨形成部位,使枸橼酸盐在骨中沉积,促进骨钙化及成骨细胞功能和骨样组织成熟。维生素D摄入后,在细胞微粒体中受25-羟化酶系统催化生成骨化二醇(25-OHD3),经肾近曲小管细胞1-羟化酶系统催化,生成具有生物活性的骨化三醇[1-25-(OH)2D3]  </w:t>
      </w:r>
    </w:p>
    <w:p w14:paraId="6CF684B3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毒理研究: 未进行该项实验且无可靠参考文献。</w:t>
      </w:r>
    </w:p>
    <w:p w14:paraId="32843AA5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AFC4556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【药代动力学】</w:t>
      </w:r>
    </w:p>
    <w:p w14:paraId="2B26B93C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由小肠吸收,其吸收需胆盐与特殊-球蛋白结合后转运到身体其他部位,贮存于肝和脂肪。代谢、活化首先通过肝脏,其次为肾脏。作用开始时间为12~24小时,治疗效应需10~14天。半衰期 (t1/2) 为19~48小时,在脂肪组织内可长期贮存。作用持续时间最长达6个月,重复给药有累积作用。</w:t>
      </w:r>
    </w:p>
    <w:p w14:paraId="52E6B2A8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00EA423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【贮藏】</w:t>
      </w:r>
    </w:p>
    <w:p w14:paraId="2FA5FEAA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遮光,密封保存。  </w:t>
      </w:r>
    </w:p>
    <w:p w14:paraId="387AC3E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6D2326A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【包装】</w:t>
      </w:r>
    </w:p>
    <w:p w14:paraId="65EB40D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铝塑包装,3粒/板×1板/盒,5粒/板×1板/盒,10粒/板×1板/盒,10粒/板×2板/盒,10粒/板×3板/盒,10粒/板×4板/盒。  </w:t>
      </w:r>
    </w:p>
    <w:p w14:paraId="6903D27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3780990D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【有效期】</w:t>
      </w:r>
    </w:p>
    <w:p w14:paraId="5C0C90DC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24个月。  </w:t>
      </w:r>
    </w:p>
    <w:p w14:paraId="48FBFD66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A06FB4D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【执行标准】</w:t>
      </w:r>
    </w:p>
    <w:p w14:paraId="0C68406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《中国药典》2020年版第一增补本  </w:t>
      </w:r>
    </w:p>
    <w:p w14:paraId="7981FB1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E26C0F2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【批准文号】</w:t>
      </w:r>
    </w:p>
    <w:p w14:paraId="775936D3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国药准字H32023837 </w:t>
      </w:r>
    </w:p>
    <w:p w14:paraId="148CE63B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96B3093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【药品上市许可持有人及生产企业】</w:t>
      </w:r>
    </w:p>
    <w:p w14:paraId="118D8D6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药品上市许可持有人及生产企业名称:南京海鲸药业股份有限公司  </w:t>
      </w:r>
    </w:p>
    <w:p w14:paraId="1FBB590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药品上市许可持有人注册地址:南京市江北新区新科二路23号  </w:t>
      </w:r>
    </w:p>
    <w:p w14:paraId="2A4938B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生产地址:南京市江北新区新科二路23号  </w:t>
      </w:r>
    </w:p>
    <w:p w14:paraId="0B7BF1F5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邮政编码:210061  </w:t>
      </w:r>
    </w:p>
    <w:p w14:paraId="0034B5C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电话号码:025-84553698 025-57901282  </w:t>
      </w:r>
    </w:p>
    <w:p w14:paraId="3D31F2D0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传真号码:025-57901299  </w:t>
      </w:r>
    </w:p>
    <w:p w14:paraId="08DC8981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网址:http://www.njhjyy.com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HanSansSC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dobeSongStd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DEBCB"/>
    <w:multiLevelType w:val="singleLevel"/>
    <w:tmpl w:val="9CCDEB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FFE3352"/>
    <w:multiLevelType w:val="singleLevel"/>
    <w:tmpl w:val="9FFE33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F8392CB"/>
    <w:multiLevelType w:val="singleLevel"/>
    <w:tmpl w:val="CF8392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7809920"/>
    <w:multiLevelType w:val="singleLevel"/>
    <w:tmpl w:val="3780992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CC9714F"/>
    <w:multiLevelType w:val="singleLevel"/>
    <w:tmpl w:val="4CC971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7476C"/>
    <w:rsid w:val="7647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2026-06-22T01:00:00Z</dcterms:created>
  <dc:creator>丿Mars小霸王</dc:creator>
  <cp:lastModifiedBy>丿Mars小霸王</cp:lastModifiedBy>
  <dcterms:modified xsi:type="dcterms:W3CDTF">2026-06-22T01:38:04Z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71A46C5D6A94472A8F9901C318516D24_11</vt:lpwstr>
  </property>
  <property fmtid="{D5CDD505-2E9C-101B-9397-08002B2CF9AE}" pid="4" name="KSOTemplateDocerSaveRecord">
    <vt:lpwstr>eyJoZGlkIjoiMmE2YmFhNDM2ODg5ZWIxMDFhMzIzYjAxYTIyNGI4NzMiLCJ1c2VySWQiOiIzODAxNTMwOTgifQ==</vt:lpwstr>
  </property>
</Properties>
</file>