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7AEE6">
      <w:pPr>
        <w:jc w:val="center"/>
        <w:rPr>
          <w:rFonts w:hint="eastAsia" w:ascii="微软雅黑" w:hAnsi="微软雅黑" w:eastAsia="微软雅黑" w:cs="微软雅黑"/>
          <w:b w:val="0"/>
          <w:bCs w:val="0"/>
          <w:color w:val="000000"/>
          <w:sz w:val="28"/>
          <w:szCs w:val="28"/>
        </w:rPr>
      </w:pPr>
      <w:r>
        <w:rPr>
          <w:rFonts w:hint="eastAsia" w:ascii="微软雅黑" w:hAnsi="微软雅黑" w:eastAsia="微软雅黑" w:cs="微软雅黑"/>
          <w:b w:val="0"/>
          <w:bCs w:val="0"/>
          <w:color w:val="000000"/>
          <w:sz w:val="28"/>
          <w:szCs w:val="28"/>
        </w:rPr>
        <w:t>鲑降钙素鼻喷雾剂说明书</w:t>
      </w:r>
    </w:p>
    <w:p w14:paraId="4885FCCB">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【说明书修订日期】</w:t>
      </w:r>
    </w:p>
    <w:p w14:paraId="5E3F5A81">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核准日期：2007年02月28日</w:t>
      </w:r>
    </w:p>
    <w:p w14:paraId="49F8BB5E">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修改日期：2015年07月03日</w:t>
      </w:r>
    </w:p>
    <w:p w14:paraId="4520B540">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2015年09月14日</w:t>
      </w:r>
    </w:p>
    <w:p w14:paraId="6B39B5FF">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2016年02月22日</w:t>
      </w:r>
    </w:p>
    <w:p w14:paraId="61D7099D">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2016年08月15日</w:t>
      </w:r>
    </w:p>
    <w:p w14:paraId="279BF79C">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2019年12月01日</w:t>
      </w:r>
    </w:p>
    <w:p w14:paraId="610A7DC1">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2021年06月01日</w:t>
      </w:r>
    </w:p>
    <w:p w14:paraId="3B7F27E6">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2021年12月21日</w:t>
      </w:r>
    </w:p>
    <w:p w14:paraId="581DEF34">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2021年12月22日</w:t>
      </w:r>
    </w:p>
    <w:p w14:paraId="03A1129D">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2023年01月01日</w:t>
      </w:r>
    </w:p>
    <w:p w14:paraId="13424B19">
      <w:pPr>
        <w:jc w:val="left"/>
        <w:rPr>
          <w:rFonts w:hint="eastAsia" w:ascii="微软雅黑" w:hAnsi="微软雅黑" w:eastAsia="微软雅黑" w:cs="微软雅黑"/>
          <w:b w:val="0"/>
          <w:bCs w:val="0"/>
          <w:color w:val="000000"/>
          <w:sz w:val="18"/>
          <w:szCs w:val="18"/>
        </w:rPr>
      </w:pPr>
    </w:p>
    <w:p w14:paraId="3209B64A">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【药品名称】</w:t>
      </w:r>
    </w:p>
    <w:p w14:paraId="1415C230">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鲑降钙素鼻喷雾剂</w:t>
      </w:r>
    </w:p>
    <w:p w14:paraId="49AA9779">
      <w:pPr>
        <w:jc w:val="left"/>
        <w:rPr>
          <w:rFonts w:hint="eastAsia" w:ascii="微软雅黑" w:hAnsi="微软雅黑" w:eastAsia="微软雅黑" w:cs="微软雅黑"/>
          <w:b w:val="0"/>
          <w:bCs w:val="0"/>
          <w:color w:val="000000"/>
          <w:sz w:val="18"/>
          <w:szCs w:val="18"/>
        </w:rPr>
      </w:pPr>
    </w:p>
    <w:p w14:paraId="24F6375E">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【商品名称】</w:t>
      </w:r>
    </w:p>
    <w:p w14:paraId="5357AA31">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达芬盖</w:t>
      </w:r>
    </w:p>
    <w:p w14:paraId="19D74D4C">
      <w:pPr>
        <w:jc w:val="left"/>
        <w:rPr>
          <w:rFonts w:hint="eastAsia" w:ascii="微软雅黑" w:hAnsi="微软雅黑" w:eastAsia="微软雅黑" w:cs="微软雅黑"/>
          <w:b w:val="0"/>
          <w:bCs w:val="0"/>
          <w:color w:val="000000"/>
          <w:sz w:val="18"/>
          <w:szCs w:val="18"/>
        </w:rPr>
      </w:pPr>
    </w:p>
    <w:p w14:paraId="4B8D7D6C">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【英文名称】</w:t>
      </w:r>
    </w:p>
    <w:p w14:paraId="6B0B9333">
      <w:pPr>
        <w:jc w:val="left"/>
        <w:rPr>
          <w:rFonts w:hint="eastAsia" w:ascii="微软雅黑" w:hAnsi="微软雅黑" w:eastAsia="微软雅黑" w:cs="微软雅黑"/>
          <w:b w:val="0"/>
          <w:bCs w:val="0"/>
          <w:color w:val="000000"/>
          <w:sz w:val="18"/>
          <w:szCs w:val="18"/>
          <w:lang w:val="en-US" w:eastAsia="en-US"/>
        </w:rPr>
      </w:pPr>
      <w:r>
        <w:rPr>
          <w:rFonts w:hint="eastAsia" w:ascii="微软雅黑" w:hAnsi="微软雅黑" w:eastAsia="微软雅黑" w:cs="微软雅黑"/>
          <w:b w:val="0"/>
          <w:bCs w:val="0"/>
          <w:color w:val="000000"/>
          <w:sz w:val="18"/>
          <w:szCs w:val="18"/>
          <w:lang w:val="en-US" w:eastAsia="en-US"/>
        </w:rPr>
        <w:t>Calcitonin (Salmon) Nasal Spray</w:t>
      </w:r>
    </w:p>
    <w:p w14:paraId="32A19504">
      <w:pPr>
        <w:jc w:val="left"/>
        <w:rPr>
          <w:rFonts w:hint="eastAsia" w:ascii="微软雅黑" w:hAnsi="微软雅黑" w:eastAsia="微软雅黑" w:cs="微软雅黑"/>
          <w:b w:val="0"/>
          <w:bCs w:val="0"/>
          <w:color w:val="000000"/>
          <w:sz w:val="18"/>
          <w:szCs w:val="18"/>
          <w:lang w:val="en-US" w:eastAsia="en-US"/>
        </w:rPr>
      </w:pPr>
    </w:p>
    <w:p w14:paraId="7838EE80">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【汉语拼音】</w:t>
      </w:r>
    </w:p>
    <w:p w14:paraId="48436C6D">
      <w:pPr>
        <w:jc w:val="left"/>
        <w:rPr>
          <w:rFonts w:hint="eastAsia" w:ascii="微软雅黑" w:hAnsi="微软雅黑" w:eastAsia="微软雅黑" w:cs="微软雅黑"/>
          <w:b w:val="0"/>
          <w:bCs w:val="0"/>
          <w:color w:val="000000"/>
          <w:sz w:val="18"/>
          <w:szCs w:val="18"/>
          <w:lang w:val="en-US" w:eastAsia="en-US"/>
        </w:rPr>
      </w:pPr>
      <w:r>
        <w:rPr>
          <w:rFonts w:hint="eastAsia" w:ascii="微软雅黑" w:hAnsi="微软雅黑" w:eastAsia="微软雅黑" w:cs="微软雅黑"/>
          <w:b w:val="0"/>
          <w:bCs w:val="0"/>
          <w:color w:val="000000"/>
          <w:sz w:val="18"/>
          <w:szCs w:val="18"/>
          <w:lang w:val="en-US" w:eastAsia="en-US"/>
        </w:rPr>
        <w:t>Gui Jianggaisu Bipenwuji</w:t>
      </w:r>
    </w:p>
    <w:p w14:paraId="1C0F6583">
      <w:pPr>
        <w:jc w:val="left"/>
        <w:rPr>
          <w:rFonts w:hint="eastAsia" w:ascii="微软雅黑" w:hAnsi="微软雅黑" w:eastAsia="微软雅黑" w:cs="微软雅黑"/>
          <w:b w:val="0"/>
          <w:bCs w:val="0"/>
          <w:color w:val="000000"/>
          <w:sz w:val="18"/>
          <w:szCs w:val="18"/>
          <w:lang w:val="en-US" w:eastAsia="en-US"/>
        </w:rPr>
      </w:pPr>
    </w:p>
    <w:p w14:paraId="52D00A5B">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【成份】</w:t>
      </w:r>
    </w:p>
    <w:p w14:paraId="09C49A5F">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化学名称：(1,7-二硫环)-半胱氨酰-丝氨酰-天冬酰胺酰-亮氨酰-丝氨酰-苏氨酰-半胱氨酰-缬氨酰-亮氨酰-甘氨酰-赖氨酰-亮氨酰-丝氨酰-谷胺酰氨酰-谷氨酰-亮氨酰-组氨酰-赖氨酰-亮氨酰-谷胺酰氨酰-苏氨酰-酪氨酰-脯氨酰-精氨酰-苏 氨酰-天冬酰胺酰-苏氨酰-甘氨酰-丝氨酰-甘氨酰-苏氨酰-脯氨酰胺</w:t>
      </w:r>
    </w:p>
    <w:p w14:paraId="5EB1EB3A">
      <w:pPr>
        <w:jc w:val="left"/>
        <w:rPr>
          <w:rFonts w:hint="default" w:ascii="微软雅黑" w:hAnsi="微软雅黑" w:eastAsia="微软雅黑" w:cs="微软雅黑"/>
          <w:b w:val="0"/>
          <w:bCs w:val="0"/>
          <w:color w:val="000000"/>
          <w:sz w:val="18"/>
          <w:szCs w:val="18"/>
          <w:lang w:val="en-US" w:eastAsia="zh-CN"/>
        </w:rPr>
      </w:pPr>
      <w:r>
        <w:rPr>
          <w:rFonts w:hint="eastAsia" w:ascii="微软雅黑" w:hAnsi="微软雅黑" w:eastAsia="微软雅黑" w:cs="微软雅黑"/>
          <w:b w:val="0"/>
          <w:bCs w:val="0"/>
          <w:color w:val="000000"/>
          <w:sz w:val="18"/>
          <w:szCs w:val="18"/>
          <w:lang w:val="en-US" w:eastAsia="zh-CN"/>
        </w:rPr>
        <w:t>化学结构式：略</w:t>
      </w:r>
    </w:p>
    <w:p w14:paraId="5953D6C4">
      <w:pPr>
        <w:spacing w:line="240" w:lineRule="auto"/>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lang w:val="en-US" w:eastAsia="en-US"/>
        </w:rPr>
        <w:t>分子式：C</w:t>
      </w:r>
      <w:r>
        <w:rPr>
          <w:rFonts w:hint="eastAsia" w:ascii="微软雅黑" w:hAnsi="微软雅黑" w:eastAsia="微软雅黑" w:cs="微软雅黑"/>
          <w:b w:val="0"/>
          <w:bCs w:val="0"/>
          <w:color w:val="000000"/>
          <w:sz w:val="18"/>
          <w:szCs w:val="18"/>
          <w:vertAlign w:val="subscript"/>
          <w:lang w:val="en-US" w:eastAsia="en-US"/>
        </w:rPr>
        <w:t>145</w:t>
      </w:r>
      <w:r>
        <w:rPr>
          <w:rFonts w:hint="eastAsia" w:ascii="微软雅黑" w:hAnsi="微软雅黑" w:eastAsia="微软雅黑" w:cs="微软雅黑"/>
          <w:b w:val="0"/>
          <w:bCs w:val="0"/>
          <w:color w:val="000000"/>
          <w:sz w:val="18"/>
          <w:szCs w:val="18"/>
          <w:lang w:val="en-US" w:eastAsia="en-US"/>
        </w:rPr>
        <w:t>H</w:t>
      </w:r>
      <w:r>
        <w:rPr>
          <w:rFonts w:hint="eastAsia" w:ascii="微软雅黑" w:hAnsi="微软雅黑" w:eastAsia="微软雅黑" w:cs="微软雅黑"/>
          <w:b w:val="0"/>
          <w:bCs w:val="0"/>
          <w:color w:val="000000"/>
          <w:sz w:val="18"/>
          <w:szCs w:val="18"/>
          <w:vertAlign w:val="subscript"/>
          <w:lang w:val="en-US" w:eastAsia="en-US"/>
        </w:rPr>
        <w:t>240</w:t>
      </w:r>
      <w:r>
        <w:rPr>
          <w:rFonts w:hint="eastAsia" w:ascii="微软雅黑" w:hAnsi="微软雅黑" w:eastAsia="微软雅黑" w:cs="微软雅黑"/>
          <w:b w:val="0"/>
          <w:bCs w:val="0"/>
          <w:color w:val="000000"/>
          <w:sz w:val="18"/>
          <w:szCs w:val="18"/>
          <w:lang w:val="en-US" w:eastAsia="en-US"/>
        </w:rPr>
        <w:t>N</w:t>
      </w:r>
      <w:r>
        <w:rPr>
          <w:rFonts w:hint="eastAsia" w:ascii="微软雅黑" w:hAnsi="微软雅黑" w:eastAsia="微软雅黑" w:cs="微软雅黑"/>
          <w:b w:val="0"/>
          <w:bCs w:val="0"/>
          <w:color w:val="000000"/>
          <w:sz w:val="18"/>
          <w:szCs w:val="18"/>
          <w:vertAlign w:val="subscript"/>
          <w:lang w:val="en-US" w:eastAsia="en-US"/>
        </w:rPr>
        <w:t>44</w:t>
      </w:r>
      <w:r>
        <w:rPr>
          <w:rFonts w:hint="eastAsia" w:ascii="微软雅黑" w:hAnsi="微软雅黑" w:eastAsia="微软雅黑" w:cs="微软雅黑"/>
          <w:b w:val="0"/>
          <w:bCs w:val="0"/>
          <w:color w:val="000000"/>
          <w:sz w:val="18"/>
          <w:szCs w:val="18"/>
          <w:lang w:val="en-US" w:eastAsia="en-US"/>
        </w:rPr>
        <w:t>O</w:t>
      </w:r>
      <w:r>
        <w:rPr>
          <w:rFonts w:hint="eastAsia" w:ascii="微软雅黑" w:hAnsi="微软雅黑" w:eastAsia="微软雅黑" w:cs="微软雅黑"/>
          <w:b w:val="0"/>
          <w:bCs w:val="0"/>
          <w:color w:val="000000"/>
          <w:sz w:val="18"/>
          <w:szCs w:val="18"/>
          <w:vertAlign w:val="subscript"/>
          <w:lang w:val="en-US" w:eastAsia="en-US"/>
        </w:rPr>
        <w:t>48</w:t>
      </w:r>
      <w:r>
        <w:rPr>
          <w:rFonts w:hint="eastAsia" w:ascii="微软雅黑" w:hAnsi="微软雅黑" w:eastAsia="微软雅黑" w:cs="微软雅黑"/>
          <w:b w:val="0"/>
          <w:bCs w:val="0"/>
          <w:color w:val="000000"/>
          <w:sz w:val="18"/>
          <w:szCs w:val="18"/>
          <w:lang w:val="en-US" w:eastAsia="en-US"/>
        </w:rPr>
        <w:t>S</w:t>
      </w:r>
      <w:r>
        <w:rPr>
          <w:rFonts w:hint="eastAsia" w:ascii="微软雅黑" w:hAnsi="微软雅黑" w:eastAsia="微软雅黑" w:cs="微软雅黑"/>
          <w:b w:val="0"/>
          <w:bCs w:val="0"/>
          <w:color w:val="000000"/>
          <w:sz w:val="18"/>
          <w:szCs w:val="18"/>
          <w:vertAlign w:val="subscript"/>
          <w:lang w:val="en-US" w:eastAsia="en-US"/>
        </w:rPr>
        <w:t>2</w:t>
      </w:r>
    </w:p>
    <w:p w14:paraId="5BF8F211">
      <w:p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分子量：3431.9</w:t>
      </w:r>
    </w:p>
    <w:p w14:paraId="2CCB195A">
      <w:pPr>
        <w:jc w:val="left"/>
        <w:rPr>
          <w:rFonts w:hint="eastAsia" w:ascii="微软雅黑" w:hAnsi="微软雅黑" w:eastAsia="微软雅黑" w:cs="微软雅黑"/>
          <w:b/>
          <w:bCs/>
          <w:color w:val="000000"/>
          <w:sz w:val="18"/>
          <w:szCs w:val="18"/>
          <w:lang w:val="ko-KR" w:eastAsia="ko-KR"/>
        </w:rPr>
      </w:pPr>
    </w:p>
    <w:p w14:paraId="3B815B76">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 xml:space="preserve">【性状】 </w:t>
      </w:r>
    </w:p>
    <w:p w14:paraId="06B9B99F">
      <w:pPr>
        <w:jc w:val="left"/>
        <w:rPr>
          <w:rFonts w:hint="default" w:ascii="微软雅黑" w:hAnsi="微软雅黑" w:eastAsia="微软雅黑" w:cs="微软雅黑"/>
          <w:b w:val="0"/>
          <w:bCs w:val="0"/>
          <w:color w:val="000000"/>
          <w:sz w:val="18"/>
          <w:szCs w:val="18"/>
        </w:rPr>
      </w:pPr>
      <w:r>
        <w:rPr>
          <w:rFonts w:hint="default" w:ascii="微软雅黑" w:hAnsi="微软雅黑" w:eastAsia="微软雅黑" w:cs="微软雅黑"/>
          <w:b w:val="0"/>
          <w:bCs w:val="0"/>
          <w:color w:val="000000"/>
          <w:sz w:val="18"/>
          <w:szCs w:val="18"/>
        </w:rPr>
        <w:t xml:space="preserve">本品为无色或几乎无色的澄清液体。 </w:t>
      </w:r>
    </w:p>
    <w:p w14:paraId="76D715A7">
      <w:pPr>
        <w:jc w:val="left"/>
        <w:rPr>
          <w:rFonts w:hint="default" w:ascii="微软雅黑" w:hAnsi="微软雅黑" w:eastAsia="微软雅黑" w:cs="微软雅黑"/>
          <w:b w:val="0"/>
          <w:bCs w:val="0"/>
          <w:color w:val="000000"/>
          <w:sz w:val="18"/>
          <w:szCs w:val="18"/>
        </w:rPr>
      </w:pPr>
    </w:p>
    <w:p w14:paraId="5818F686">
      <w:pPr>
        <w:jc w:val="left"/>
        <w:rPr>
          <w:rFonts w:hint="default" w:ascii="微软雅黑" w:hAnsi="微软雅黑" w:eastAsia="微软雅黑" w:cs="微软雅黑"/>
          <w:b/>
          <w:bCs/>
          <w:color w:val="000000"/>
          <w:sz w:val="18"/>
          <w:szCs w:val="18"/>
        </w:rPr>
      </w:pPr>
      <w:r>
        <w:rPr>
          <w:rFonts w:hint="default" w:ascii="微软雅黑" w:hAnsi="微软雅黑" w:eastAsia="微软雅黑" w:cs="微软雅黑"/>
          <w:b/>
          <w:bCs/>
          <w:color w:val="000000"/>
          <w:sz w:val="18"/>
          <w:szCs w:val="18"/>
        </w:rPr>
        <w:t>【适应症】</w:t>
      </w:r>
    </w:p>
    <w:p w14:paraId="737C6D0A">
      <w:pPr>
        <w:jc w:val="left"/>
        <w:rPr>
          <w:rFonts w:hint="default"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lang w:val="en-US" w:eastAsia="zh-CN"/>
        </w:rPr>
        <w:t>1.</w:t>
      </w:r>
      <w:r>
        <w:rPr>
          <w:rFonts w:hint="default" w:ascii="微软雅黑" w:hAnsi="微软雅黑" w:eastAsia="微软雅黑" w:cs="微软雅黑"/>
          <w:b w:val="0"/>
          <w:bCs w:val="0"/>
          <w:color w:val="000000"/>
          <w:sz w:val="18"/>
          <w:szCs w:val="18"/>
        </w:rPr>
        <w:t>骨质疏松症：</w:t>
      </w:r>
    </w:p>
    <w:p w14:paraId="5188A123">
      <w:pPr>
        <w:jc w:val="left"/>
        <w:rPr>
          <w:rFonts w:hint="default" w:ascii="微软雅黑" w:hAnsi="微软雅黑" w:eastAsia="微软雅黑" w:cs="微软雅黑"/>
          <w:b w:val="0"/>
          <w:bCs w:val="0"/>
          <w:color w:val="000000"/>
          <w:sz w:val="18"/>
          <w:szCs w:val="18"/>
        </w:rPr>
      </w:pPr>
      <w:r>
        <w:rPr>
          <w:rFonts w:hint="default" w:ascii="微软雅黑" w:hAnsi="微软雅黑" w:eastAsia="微软雅黑" w:cs="微软雅黑"/>
          <w:b w:val="0"/>
          <w:bCs w:val="0"/>
          <w:color w:val="000000"/>
          <w:sz w:val="18"/>
          <w:szCs w:val="18"/>
          <w:lang w:val="ko-KR" w:eastAsia="ko-KR"/>
        </w:rPr>
        <w:t>⑴早期</w:t>
      </w:r>
      <w:r>
        <w:rPr>
          <w:rFonts w:hint="default" w:ascii="微软雅黑" w:hAnsi="微软雅黑" w:eastAsia="微软雅黑" w:cs="微软雅黑"/>
          <w:b w:val="0"/>
          <w:bCs w:val="0"/>
          <w:color w:val="000000"/>
          <w:sz w:val="18"/>
          <w:szCs w:val="18"/>
        </w:rPr>
        <w:t xml:space="preserve">和晚期的绝经后骨质疏松症； </w:t>
      </w:r>
    </w:p>
    <w:p w14:paraId="5100EAC0">
      <w:pPr>
        <w:jc w:val="left"/>
        <w:rPr>
          <w:rFonts w:hint="default" w:ascii="微软雅黑" w:hAnsi="微软雅黑" w:eastAsia="微软雅黑" w:cs="微软雅黑"/>
          <w:b w:val="0"/>
          <w:bCs w:val="0"/>
          <w:color w:val="000000"/>
          <w:sz w:val="18"/>
          <w:szCs w:val="18"/>
        </w:rPr>
      </w:pPr>
      <w:r>
        <w:rPr>
          <w:rFonts w:hint="default" w:ascii="微软雅黑" w:hAnsi="微软雅黑" w:eastAsia="微软雅黑" w:cs="微软雅黑"/>
          <w:b w:val="0"/>
          <w:bCs w:val="0"/>
          <w:color w:val="000000"/>
          <w:sz w:val="18"/>
          <w:szCs w:val="18"/>
        </w:rPr>
        <w:t>⑵老年性骨质疏松症；</w:t>
      </w:r>
    </w:p>
    <w:p w14:paraId="4B8C67EF">
      <w:pPr>
        <w:jc w:val="left"/>
        <w:rPr>
          <w:rFonts w:hint="default" w:ascii="微软雅黑" w:hAnsi="微软雅黑" w:eastAsia="微软雅黑" w:cs="微软雅黑"/>
          <w:b w:val="0"/>
          <w:bCs w:val="0"/>
          <w:color w:val="000000"/>
          <w:sz w:val="18"/>
          <w:szCs w:val="18"/>
        </w:rPr>
      </w:pPr>
      <w:r>
        <w:rPr>
          <w:rFonts w:hint="default" w:ascii="微软雅黑" w:hAnsi="微软雅黑" w:eastAsia="微软雅黑" w:cs="微软雅黑"/>
          <w:b w:val="0"/>
          <w:bCs w:val="0"/>
          <w:color w:val="000000"/>
          <w:sz w:val="18"/>
          <w:szCs w:val="18"/>
        </w:rPr>
        <w:t>⑶继发性骨质疏松症</w:t>
      </w:r>
      <w:bookmarkStart w:id="0" w:name="_GoBack"/>
      <w:bookmarkEnd w:id="0"/>
      <w:r>
        <w:rPr>
          <w:rFonts w:hint="default" w:ascii="微软雅黑" w:hAnsi="微软雅黑" w:eastAsia="微软雅黑" w:cs="微软雅黑"/>
          <w:b w:val="0"/>
          <w:bCs w:val="0"/>
          <w:color w:val="000000"/>
          <w:sz w:val="18"/>
          <w:szCs w:val="18"/>
        </w:rPr>
        <w:t xml:space="preserve">，例如：皮质类固醇治疗或缺乏活动。为了防止骨质进行性丢失，应根据个体的需要适量地摄入钙和维生素D。 </w:t>
      </w:r>
    </w:p>
    <w:p w14:paraId="061B7A6D">
      <w:pPr>
        <w:numPr>
          <w:numId w:val="0"/>
        </w:numPr>
        <w:jc w:val="left"/>
        <w:rPr>
          <w:rFonts w:hint="default"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lang w:val="en-US" w:eastAsia="zh-CN"/>
        </w:rPr>
        <w:t>2.</w:t>
      </w:r>
      <w:r>
        <w:rPr>
          <w:rFonts w:hint="default" w:ascii="微软雅黑" w:hAnsi="微软雅黑" w:eastAsia="微软雅黑" w:cs="微软雅黑"/>
          <w:b w:val="0"/>
          <w:bCs w:val="0"/>
          <w:color w:val="000000"/>
          <w:sz w:val="18"/>
          <w:szCs w:val="18"/>
        </w:rPr>
        <w:t>伴有骨质溶解和/或骨质减少的骨痛。</w:t>
      </w:r>
    </w:p>
    <w:p w14:paraId="21CC3179">
      <w:pPr>
        <w:numPr>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3.Paget氏骨病(变形性骨炎)，特别是伴有下列情况的病人:</w:t>
      </w:r>
    </w:p>
    <w:p w14:paraId="469D55B9">
      <w:pPr>
        <w:numPr>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(1)骨痛;</w:t>
      </w:r>
    </w:p>
    <w:p w14:paraId="6C073178">
      <w:pPr>
        <w:numPr>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(2)神经并发症;</w:t>
      </w:r>
    </w:p>
    <w:p w14:paraId="16D732F1">
      <w:pPr>
        <w:numPr>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(3)骨转换增加，表现在血清碱性磷酸酶增高和尿羟脯氨酸排泄增加;</w:t>
      </w:r>
    </w:p>
    <w:p w14:paraId="0C6BA57C">
      <w:pPr>
        <w:numPr>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(4)骨病变进行性蔓延;</w:t>
      </w:r>
    </w:p>
    <w:p w14:paraId="65B2B28D">
      <w:pPr>
        <w:numPr>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(5)不完全或反复骨折;</w:t>
      </w:r>
    </w:p>
    <w:p w14:paraId="504C5E67">
      <w:pPr>
        <w:numPr>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4.有下列情况引起的高钙血症和高钙危象:</w:t>
      </w:r>
    </w:p>
    <w:p w14:paraId="35D12156">
      <w:pPr>
        <w:numPr>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(1)继发于乳腺癌、肺或肾癌、骨髓瘤和其它恶性疾病的肿瘤性骨溶解;</w:t>
      </w:r>
    </w:p>
    <w:p w14:paraId="674503BC">
      <w:pPr>
        <w:numPr>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(2)甲状旁腺机能亢进，缺乏活动或维生素D中毒;</w:t>
      </w:r>
    </w:p>
    <w:p w14:paraId="272F3815">
      <w:pPr>
        <w:numPr>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(3)高钙血症危象的急诊治疗;慢性高钙血症需作长期治疗的患者，应持续到对其原发疾病的特殊治疗见效为止;</w:t>
      </w:r>
    </w:p>
    <w:p w14:paraId="01B80E32">
      <w:pPr>
        <w:numPr>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(4)神经性营养不良症(痛性神经性营养不良或Sudeck氏病);</w:t>
      </w:r>
    </w:p>
    <w:p w14:paraId="413F5DF3">
      <w:pPr>
        <w:numPr>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(5)由不同病因和诱因所致，诸如创伤后骨质疏松症、交感神经营养不良、肩-臂综合症、外周神经受伤所致的灼痛，药物引起的神经营养不良。</w:t>
      </w:r>
    </w:p>
    <w:p w14:paraId="4D98F167">
      <w:pPr>
        <w:numPr>
          <w:numId w:val="0"/>
        </w:numPr>
        <w:jc w:val="left"/>
        <w:rPr>
          <w:rFonts w:hint="eastAsia" w:ascii="微软雅黑" w:hAnsi="微软雅黑" w:eastAsia="微软雅黑" w:cs="微软雅黑"/>
          <w:b w:val="0"/>
          <w:bCs w:val="0"/>
          <w:color w:val="000000"/>
          <w:sz w:val="18"/>
          <w:szCs w:val="18"/>
          <w:lang w:val="ko-KR" w:eastAsia="ko-KR"/>
        </w:rPr>
      </w:pPr>
    </w:p>
    <w:p w14:paraId="01DCEE9B">
      <w:pPr>
        <w:numPr>
          <w:ilvl w:val="0"/>
          <w:numId w:val="0"/>
        </w:numPr>
        <w:jc w:val="left"/>
        <w:rPr>
          <w:rFonts w:hint="eastAsia" w:ascii="微软雅黑" w:hAnsi="微软雅黑" w:eastAsia="微软雅黑" w:cs="微软雅黑"/>
          <w:b/>
          <w:bCs/>
          <w:color w:val="000000"/>
          <w:sz w:val="18"/>
          <w:szCs w:val="18"/>
          <w:lang w:val="ko-KR" w:eastAsia="ko-KR"/>
        </w:rPr>
      </w:pPr>
      <w:r>
        <w:rPr>
          <w:rFonts w:hint="eastAsia" w:ascii="微软雅黑" w:hAnsi="微软雅黑" w:eastAsia="微软雅黑" w:cs="微软雅黑"/>
          <w:b/>
          <w:bCs/>
          <w:color w:val="000000"/>
          <w:sz w:val="18"/>
          <w:szCs w:val="18"/>
          <w:lang w:val="ko-KR" w:eastAsia="ko-KR"/>
        </w:rPr>
        <w:t>【规格】</w:t>
      </w:r>
    </w:p>
    <w:p w14:paraId="7948781F">
      <w:pPr>
        <w:numPr>
          <w:ilvl w:val="0"/>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2ml:250.00</w:t>
      </w:r>
      <w:r>
        <w:rPr>
          <w:rFonts w:hint="eastAsia" w:ascii="微软雅黑" w:hAnsi="微软雅黑" w:eastAsia="微软雅黑" w:cs="微软雅黑"/>
          <w:b w:val="0"/>
          <w:bCs w:val="0"/>
          <w:color w:val="555555"/>
          <w:sz w:val="21"/>
          <w:szCs w:val="21"/>
        </w:rPr>
        <w:t>μ</w:t>
      </w:r>
      <w:r>
        <w:rPr>
          <w:rFonts w:hint="eastAsia" w:ascii="微软雅黑" w:hAnsi="微软雅黑" w:eastAsia="微软雅黑" w:cs="微软雅黑"/>
          <w:b w:val="0"/>
          <w:bCs w:val="0"/>
          <w:color w:val="000000"/>
          <w:sz w:val="18"/>
          <w:szCs w:val="18"/>
          <w:lang w:val="ko-KR" w:eastAsia="ko-KR"/>
        </w:rPr>
        <w:t>g，每喷含鲑降钙素12.5</w:t>
      </w:r>
      <w:r>
        <w:rPr>
          <w:rFonts w:hint="eastAsia" w:ascii="微软雅黑" w:hAnsi="微软雅黑" w:eastAsia="微软雅黑" w:cs="微软雅黑"/>
          <w:b w:val="0"/>
          <w:bCs w:val="0"/>
          <w:color w:val="555555"/>
          <w:sz w:val="21"/>
          <w:szCs w:val="21"/>
        </w:rPr>
        <w:t>μ</w:t>
      </w:r>
      <w:r>
        <w:rPr>
          <w:rFonts w:hint="eastAsia" w:ascii="微软雅黑" w:hAnsi="微软雅黑" w:eastAsia="微软雅黑" w:cs="微软雅黑"/>
          <w:b w:val="0"/>
          <w:bCs w:val="0"/>
          <w:color w:val="000000"/>
          <w:sz w:val="18"/>
          <w:szCs w:val="18"/>
          <w:lang w:val="ko-KR" w:eastAsia="ko-KR"/>
        </w:rPr>
        <w:t>g，每瓶20喷，每喷重量为101.7mg。</w:t>
      </w:r>
    </w:p>
    <w:p w14:paraId="6A54A588">
      <w:pPr>
        <w:numPr>
          <w:ilvl w:val="0"/>
          <w:numId w:val="0"/>
        </w:numPr>
        <w:jc w:val="left"/>
        <w:rPr>
          <w:rFonts w:hint="eastAsia" w:ascii="微软雅黑" w:hAnsi="微软雅黑" w:eastAsia="微软雅黑" w:cs="微软雅黑"/>
          <w:b w:val="0"/>
          <w:bCs w:val="0"/>
          <w:color w:val="000000"/>
          <w:sz w:val="18"/>
          <w:szCs w:val="18"/>
          <w:lang w:val="ko-KR" w:eastAsia="ko-KR"/>
        </w:rPr>
      </w:pPr>
    </w:p>
    <w:p w14:paraId="75DEB2BB">
      <w:pPr>
        <w:numPr>
          <w:ilvl w:val="0"/>
          <w:numId w:val="0"/>
        </w:numPr>
        <w:jc w:val="left"/>
        <w:rPr>
          <w:rFonts w:hint="eastAsia" w:ascii="微软雅黑" w:hAnsi="微软雅黑" w:eastAsia="微软雅黑" w:cs="微软雅黑"/>
          <w:b/>
          <w:bCs/>
          <w:color w:val="000000"/>
          <w:sz w:val="18"/>
          <w:szCs w:val="18"/>
          <w:lang w:val="ko-KR" w:eastAsia="ko-KR"/>
        </w:rPr>
      </w:pPr>
      <w:r>
        <w:rPr>
          <w:rFonts w:hint="eastAsia" w:ascii="微软雅黑" w:hAnsi="微软雅黑" w:eastAsia="微软雅黑" w:cs="微软雅黑"/>
          <w:b/>
          <w:bCs/>
          <w:color w:val="000000"/>
          <w:sz w:val="18"/>
          <w:szCs w:val="18"/>
          <w:lang w:val="ko-KR" w:eastAsia="ko-KR"/>
        </w:rPr>
        <w:t>【用法用量】</w:t>
      </w:r>
    </w:p>
    <w:p w14:paraId="7CBE4888">
      <w:pPr>
        <w:numPr>
          <w:ilvl w:val="0"/>
          <w:numId w:val="1"/>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骨质疏松症:根据病人的治疗情况，每日或隔日2-4喷，单次或分次给药。</w:t>
      </w:r>
    </w:p>
    <w:p w14:paraId="1F920FF8">
      <w:pPr>
        <w:numPr>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2.伴有骨质溶解和/或骨质减少的骨痛:根据个体需要做剂量调整，每日4-8喷，单次给药最高剂量为4喷。需大剂量用药时，应分次给药。可能需要治疗数天时间，才能完全发挥药物的止痛作用。为了能长期治疗，通常可减少初始的日剂量或延长给药的时间间隔。</w:t>
      </w:r>
    </w:p>
    <w:p w14:paraId="27DC8768">
      <w:pPr>
        <w:numPr>
          <w:ilvl w:val="0"/>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3.PagetS病(变形性骨炎):每日4喷，一次或分次给药。某些病例在治疗初期可能需要每日8喷分次给药，至少应持续用药3个月或更长时间，剂量则视病人的需要进行调整。在PagetS病和其它一些骨高周转性慢性疾病中，鲑降钙素的治疗至少应维持几个月至几年时间。治疗能使血清碱性磷酸酶显著下降，并明显地减少了尿羟脯氨酸的排泌，常至正常值。然而，极少数病例，初期下降后再次升高，医生必须根据临床表现作出判断是否应该中止治疗和何时再恢复治疗。中止治疗后一或几个月可能再次发生骨代谢紊乱，对此须重新开展鲑降钙素的新疗程。</w:t>
      </w:r>
    </w:p>
    <w:p w14:paraId="2C8552EE">
      <w:pPr>
        <w:numPr>
          <w:ilvl w:val="0"/>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4.高钙血症:慢性高钙血症的长期治疗:每日4-8喷，单次给药最高剂量为4喷，当需要更大剂量用药时，应分次给</w:t>
      </w:r>
    </w:p>
    <w:p w14:paraId="3505413F">
      <w:pPr>
        <w:numPr>
          <w:ilvl w:val="0"/>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药。</w:t>
      </w:r>
    </w:p>
    <w:p w14:paraId="7DC34E8D">
      <w:pPr>
        <w:numPr>
          <w:ilvl w:val="0"/>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5.神经性营养不良症:早期诊断极为重要，一旦确诊应立即开始治疗。在2-4周内，每日一次性给药4喷，以后可根据治疗情况，隔日给药4喷连续6周。</w:t>
      </w:r>
    </w:p>
    <w:p w14:paraId="61215304">
      <w:pPr>
        <w:numPr>
          <w:ilvl w:val="0"/>
          <w:numId w:val="0"/>
        </w:numPr>
        <w:jc w:val="left"/>
        <w:rPr>
          <w:rFonts w:hint="eastAsia" w:ascii="微软雅黑" w:hAnsi="微软雅黑" w:eastAsia="微软雅黑" w:cs="微软雅黑"/>
          <w:b w:val="0"/>
          <w:bCs w:val="0"/>
          <w:color w:val="000000"/>
          <w:sz w:val="18"/>
          <w:szCs w:val="18"/>
          <w:lang w:val="ko-KR" w:eastAsia="ko-KR"/>
        </w:rPr>
      </w:pPr>
      <w:r>
        <w:rPr>
          <w:rFonts w:hint="eastAsia" w:ascii="微软雅黑" w:hAnsi="微软雅黑" w:eastAsia="微软雅黑" w:cs="微软雅黑"/>
          <w:b w:val="0"/>
          <w:bCs w:val="0"/>
          <w:color w:val="000000"/>
          <w:sz w:val="18"/>
          <w:szCs w:val="18"/>
          <w:lang w:val="ko-KR" w:eastAsia="ko-KR"/>
        </w:rPr>
        <w:t>长期使用本品的病人可能产生降钙素抗体，不过通常并不影响临床疗效。有时长期治疗中所见到的脱逸现象可能是由于结合部位的饱和所致，这显然与抗体的产生无关。治疗中断后，病人对鲑降钙素的反应可恢复。喷雾瓶使用方法:</w:t>
      </w:r>
    </w:p>
    <w:p w14:paraId="5AFA734E">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(1)取下瓶盖。</w:t>
      </w:r>
    </w:p>
    <w:p w14:paraId="6893D991">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(2)手持鼻喷瓶，用力按压瓶帽，然后放松，重复操作(1-2次)，直到释放均匀细小的气雾，即可使用。</w:t>
      </w:r>
    </w:p>
    <w:p w14:paraId="0056095E">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(3)将喷雾瓶的喷嘴插入一侧鼻孔，确保瓶口与鼻腔成直线，按压瓶帽一次然后松开。</w:t>
      </w:r>
    </w:p>
    <w:p w14:paraId="357B2913">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(4)喷压一个剂量后，用鼻子深吸气几次，以免药液流出鼻孔。不要立即用鼻孔呼气。</w:t>
      </w:r>
    </w:p>
    <w:p w14:paraId="7F9989C4">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(5)如果医生让你一次用药两喷，在另一个鼻孔重复操作一次。</w:t>
      </w:r>
    </w:p>
    <w:p w14:paraId="14470AC2">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(6)每次用完后盖好瓶盖。</w:t>
      </w:r>
    </w:p>
    <w:p w14:paraId="6F6C06FA">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(7)一旦使用，喷雾瓶应贮藏在室温下，并且在四周内用完。</w:t>
      </w:r>
    </w:p>
    <w:p w14:paraId="72BB6F9E">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(8)如果喷雾器阻塞，可以通过强力的按压启动装置来解除，请不要使用尖锐的物体，因为这会损伤喷雾器。</w:t>
      </w:r>
    </w:p>
    <w:p w14:paraId="2A109E3D">
      <w:pPr>
        <w:jc w:val="left"/>
        <w:rPr>
          <w:rFonts w:hint="eastAsia" w:ascii="微软雅黑" w:hAnsi="微软雅黑" w:eastAsia="微软雅黑" w:cs="微软雅黑"/>
          <w:b w:val="0"/>
          <w:bCs w:val="0"/>
          <w:color w:val="000000"/>
          <w:sz w:val="18"/>
          <w:szCs w:val="18"/>
        </w:rPr>
      </w:pPr>
    </w:p>
    <w:p w14:paraId="39EA01B4">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【不良反应】</w:t>
      </w:r>
    </w:p>
    <w:p w14:paraId="2A1C0616">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可以出现恶心、呕吐、头晕、轻度的面部潮红伴发热感。这些不良反应与剂量有关，肌注或皮下注射较静脉注射少见，鼻喷给药又比皮下注射更少见。罕见有多尿或寒颤的报告。这些反应常常自发性地消退，仅在极少数的病例，需暂时性减少剂量。</w:t>
      </w:r>
    </w:p>
    <w:p w14:paraId="61E785FA">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在罕见的病例中，给予鲑降钙素导致过敏反应，据报道个别的过敏反应可导致心动过速、低血压和虚脱。但鼻内给药尚无类似报导。</w:t>
      </w:r>
    </w:p>
    <w:p w14:paraId="49E01A01">
      <w:pPr>
        <w:jc w:val="left"/>
        <w:rPr>
          <w:rFonts w:hint="eastAsia" w:ascii="微软雅黑" w:hAnsi="微软雅黑" w:eastAsia="微软雅黑" w:cs="微软雅黑"/>
          <w:b w:val="0"/>
          <w:bCs w:val="0"/>
          <w:color w:val="000000"/>
          <w:sz w:val="18"/>
          <w:szCs w:val="18"/>
        </w:rPr>
      </w:pPr>
    </w:p>
    <w:p w14:paraId="00EB47DD">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【禁忌】</w:t>
      </w:r>
    </w:p>
    <w:p w14:paraId="43A3E045">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1.对降钙素过敏者禁用。</w:t>
      </w:r>
    </w:p>
    <w:p w14:paraId="374F72E1">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2.孕妇及哺乳期妇女禁用。</w:t>
      </w:r>
    </w:p>
    <w:p w14:paraId="2C9D8A12">
      <w:pPr>
        <w:jc w:val="left"/>
        <w:rPr>
          <w:rFonts w:hint="eastAsia" w:ascii="微软雅黑" w:hAnsi="微软雅黑" w:eastAsia="微软雅黑" w:cs="微软雅黑"/>
          <w:b w:val="0"/>
          <w:bCs w:val="0"/>
          <w:color w:val="000000"/>
          <w:sz w:val="18"/>
          <w:szCs w:val="18"/>
        </w:rPr>
      </w:pPr>
    </w:p>
    <w:p w14:paraId="42A18CFA">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【注意事项】</w:t>
      </w:r>
    </w:p>
    <w:p w14:paraId="60FDDCF9">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1.慢性鼻炎病人应定期作检查，因为鼻粘膜炎症时可增加机体对本品的吸收。</w:t>
      </w:r>
    </w:p>
    <w:p w14:paraId="71348431">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2.由于鲑降钙素是一种多肽，故有可能发生全身性过敏反应，对有过敏倾向的病人，用药前应进行皮试。</w:t>
      </w:r>
    </w:p>
    <w:p w14:paraId="78292EFE">
      <w:pPr>
        <w:jc w:val="left"/>
        <w:rPr>
          <w:rFonts w:hint="eastAsia" w:ascii="微软雅黑" w:hAnsi="微软雅黑" w:eastAsia="微软雅黑" w:cs="微软雅黑"/>
          <w:b w:val="0"/>
          <w:bCs w:val="0"/>
          <w:color w:val="000000"/>
          <w:sz w:val="18"/>
          <w:szCs w:val="18"/>
        </w:rPr>
      </w:pPr>
    </w:p>
    <w:p w14:paraId="0D9E0713">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【孕妇及哺乳期妇女用药】</w:t>
      </w:r>
    </w:p>
    <w:p w14:paraId="3B52A215">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孕妇及哺乳期妇女禁用。</w:t>
      </w:r>
    </w:p>
    <w:p w14:paraId="2CF5C8CF">
      <w:pPr>
        <w:jc w:val="left"/>
        <w:rPr>
          <w:rFonts w:hint="eastAsia" w:ascii="微软雅黑" w:hAnsi="微软雅黑" w:eastAsia="微软雅黑" w:cs="微软雅黑"/>
          <w:b w:val="0"/>
          <w:bCs w:val="0"/>
          <w:color w:val="000000"/>
          <w:sz w:val="18"/>
          <w:szCs w:val="18"/>
        </w:rPr>
      </w:pPr>
    </w:p>
    <w:p w14:paraId="11C962F0">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【儿童用药】</w:t>
      </w:r>
    </w:p>
    <w:p w14:paraId="2F9A8900">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由于缺乏在儿童中长期使用本品的充分资料，所以除非医生认为有长期治疗的指征，儿童一般治疗时间不要超过数周。</w:t>
      </w:r>
    </w:p>
    <w:p w14:paraId="20356FDE">
      <w:pPr>
        <w:jc w:val="left"/>
        <w:rPr>
          <w:rFonts w:hint="eastAsia" w:ascii="微软雅黑" w:hAnsi="微软雅黑" w:eastAsia="微软雅黑" w:cs="微软雅黑"/>
          <w:b w:val="0"/>
          <w:bCs w:val="0"/>
          <w:color w:val="000000"/>
          <w:sz w:val="18"/>
          <w:szCs w:val="18"/>
        </w:rPr>
      </w:pPr>
    </w:p>
    <w:p w14:paraId="4108323E">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【老年用药】</w:t>
      </w:r>
    </w:p>
    <w:p w14:paraId="4B71643D">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老年人应用无需调整剂量。</w:t>
      </w:r>
    </w:p>
    <w:p w14:paraId="24D44567">
      <w:pPr>
        <w:jc w:val="left"/>
        <w:rPr>
          <w:rFonts w:hint="eastAsia" w:ascii="微软雅黑" w:hAnsi="微软雅黑" w:eastAsia="微软雅黑" w:cs="微软雅黑"/>
          <w:b w:val="0"/>
          <w:bCs w:val="0"/>
          <w:color w:val="000000"/>
          <w:sz w:val="18"/>
          <w:szCs w:val="18"/>
        </w:rPr>
      </w:pPr>
    </w:p>
    <w:p w14:paraId="3162454D">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【药物相互作用】</w:t>
      </w:r>
    </w:p>
    <w:p w14:paraId="781FE169">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1.抗酸药和导泻剂因常含钙或其他金属离子如镁、铁而影响本药吸收。</w:t>
      </w:r>
    </w:p>
    <w:p w14:paraId="48BB6BB4">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2.与氨基糖苷类合用会诱发低钙血症。</w:t>
      </w:r>
    </w:p>
    <w:p w14:paraId="66BA1D90">
      <w:pPr>
        <w:jc w:val="left"/>
        <w:rPr>
          <w:rFonts w:hint="eastAsia" w:ascii="微软雅黑" w:hAnsi="微软雅黑" w:eastAsia="微软雅黑" w:cs="微软雅黑"/>
          <w:b w:val="0"/>
          <w:bCs w:val="0"/>
          <w:color w:val="000000"/>
          <w:sz w:val="18"/>
          <w:szCs w:val="18"/>
        </w:rPr>
      </w:pPr>
    </w:p>
    <w:p w14:paraId="0BB42080">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【药物过量】</w:t>
      </w:r>
    </w:p>
    <w:p w14:paraId="1B1CF893">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迄今尚无因过量引起严重副作用的报道。药物过量病人应对症、支持治疗。</w:t>
      </w:r>
    </w:p>
    <w:p w14:paraId="4D3FC852">
      <w:pPr>
        <w:jc w:val="left"/>
        <w:rPr>
          <w:rFonts w:hint="eastAsia" w:ascii="微软雅黑" w:hAnsi="微软雅黑" w:eastAsia="微软雅黑" w:cs="微软雅黑"/>
          <w:b w:val="0"/>
          <w:bCs w:val="0"/>
          <w:color w:val="000000"/>
          <w:sz w:val="18"/>
          <w:szCs w:val="18"/>
        </w:rPr>
      </w:pPr>
    </w:p>
    <w:p w14:paraId="2DD1F7D1">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【药理毒理】</w:t>
      </w:r>
    </w:p>
    <w:p w14:paraId="087E1FCE">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药理作用:本品是由甲状腺和甲状旁腺内的滤泡旁细胞所分泌的多肽激素，具有抑制破骨细胞的活性。可抑制骨盐溶解，阻止钙由骨释放，因骨骼对钙的摄取仍在进行，故可产生降低血钙作用。</w:t>
      </w:r>
    </w:p>
    <w:p w14:paraId="4E98845C">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毒理研究:重复给药毒性:SD大鼠和Fisher344大鼠连续给予本品1年，剂量分别为20IUkg/天和80IUKg/天，结果后者的垂体腺瘤发生率升高，该结果与临床的相关性尚不清楚。</w:t>
      </w:r>
    </w:p>
    <w:p w14:paraId="2F07901B">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遗传毒性:采用伤寒杆菌、大肠杆菌和中国仓鼠V97细胞进行的遗传毒性试验结果均为阴性。</w:t>
      </w:r>
    </w:p>
    <w:p w14:paraId="58CA5444">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生殖毒性:家兔给予本品临床推荐剂量14至56倍时，可引起胎仔出生体重下降。由于降钙素不能通过胎盘屏障，该结果可能是通过影响妊娠动物的代谢而产生。另外，降钙素可抑制动物乳汁分泌。</w:t>
      </w:r>
    </w:p>
    <w:p w14:paraId="1DC770C6">
      <w:pPr>
        <w:jc w:val="left"/>
        <w:rPr>
          <w:rFonts w:hint="eastAsia" w:ascii="微软雅黑" w:hAnsi="微软雅黑" w:eastAsia="微软雅黑" w:cs="微软雅黑"/>
          <w:b w:val="0"/>
          <w:bCs w:val="0"/>
          <w:color w:val="000000"/>
          <w:sz w:val="18"/>
          <w:szCs w:val="18"/>
        </w:rPr>
      </w:pPr>
    </w:p>
    <w:p w14:paraId="729206A3">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【药代动力学】</w:t>
      </w:r>
    </w:p>
    <w:p w14:paraId="6A15D6DF">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采用不同的方法所获得的鲑降钙素喷鼻剂的生物利用度的数据差异很大。正如其它多肽激素情况一样，鲑降钙素的血浆浓度是不能预测治疗反应的。相反，骨代谢适当的指标测定，诸如碱性磷酸酶和尿羟脯氨酸排泌，已证明与剂量有关，且可作为指示生物活性的可靠结果，而且应该被用来评估临床疗效。按照生物活性观点，鲑降钙素喷鼻剂的生物活性大约是肌肉注射或皮下注射给药的一半。</w:t>
      </w:r>
    </w:p>
    <w:p w14:paraId="03A8556F">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根据注射用鲑降钙素的研究资料，95%的鲑降钙素及其代谢物经肾脏排出，其中2%为原形，蛋白结合率为30-40%。</w:t>
      </w:r>
    </w:p>
    <w:p w14:paraId="0EB7D702">
      <w:pPr>
        <w:jc w:val="left"/>
        <w:rPr>
          <w:rFonts w:hint="eastAsia" w:ascii="微软雅黑" w:hAnsi="微软雅黑" w:eastAsia="微软雅黑" w:cs="微软雅黑"/>
          <w:b w:val="0"/>
          <w:bCs w:val="0"/>
          <w:color w:val="000000"/>
          <w:sz w:val="18"/>
          <w:szCs w:val="18"/>
        </w:rPr>
      </w:pPr>
    </w:p>
    <w:p w14:paraId="270F6B82">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【贮藏】</w:t>
      </w:r>
    </w:p>
    <w:p w14:paraId="793C5D36">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2-8°C保存。</w:t>
      </w:r>
    </w:p>
    <w:p w14:paraId="3CBD9CC4">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鼻喷瓶一旦开启使用，必须直立放置于室温条件下，最长可使用四周。</w:t>
      </w:r>
    </w:p>
    <w:p w14:paraId="3E20B627">
      <w:pPr>
        <w:jc w:val="left"/>
        <w:rPr>
          <w:rFonts w:hint="eastAsia" w:ascii="微软雅黑" w:hAnsi="微软雅黑" w:eastAsia="微软雅黑" w:cs="微软雅黑"/>
          <w:b w:val="0"/>
          <w:bCs w:val="0"/>
          <w:color w:val="000000"/>
          <w:sz w:val="18"/>
          <w:szCs w:val="18"/>
        </w:rPr>
      </w:pPr>
    </w:p>
    <w:p w14:paraId="61DD39C4">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【包装】</w:t>
      </w:r>
    </w:p>
    <w:p w14:paraId="007DCA85">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玻璃瓶，每瓶2ml(20喷)，每小盒1瓶。</w:t>
      </w:r>
    </w:p>
    <w:p w14:paraId="6A54AEAD">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玻璃瓶，每瓶2ml(20喷)，每小盒2瓶。</w:t>
      </w:r>
    </w:p>
    <w:p w14:paraId="49DBD1AC">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玻璃瓶，每瓶3ml(30喷)，每小盒1瓶。</w:t>
      </w:r>
    </w:p>
    <w:p w14:paraId="73F710F5">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玻璃瓶，每瓶4ml(40喷)，每小盒1瓶。</w:t>
      </w:r>
    </w:p>
    <w:p w14:paraId="40D5A517">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玻璃瓶，每瓶5ml(50喷)，每小盒1瓶。</w:t>
      </w:r>
    </w:p>
    <w:p w14:paraId="08B61113">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玻璃瓶，每瓶6ml(60喷)，每小盒1瓶。</w:t>
      </w:r>
    </w:p>
    <w:p w14:paraId="60281830">
      <w:pPr>
        <w:jc w:val="left"/>
        <w:rPr>
          <w:rFonts w:hint="eastAsia" w:ascii="微软雅黑" w:hAnsi="微软雅黑" w:eastAsia="微软雅黑" w:cs="微软雅黑"/>
          <w:b w:val="0"/>
          <w:bCs w:val="0"/>
          <w:color w:val="000000"/>
          <w:sz w:val="18"/>
          <w:szCs w:val="18"/>
        </w:rPr>
      </w:pPr>
    </w:p>
    <w:p w14:paraId="1D68F770">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【有效期】</w:t>
      </w:r>
    </w:p>
    <w:p w14:paraId="3E49C8EC">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24个月</w:t>
      </w:r>
    </w:p>
    <w:p w14:paraId="09BD3BC9">
      <w:pPr>
        <w:jc w:val="left"/>
        <w:rPr>
          <w:rFonts w:hint="eastAsia" w:ascii="微软雅黑" w:hAnsi="微软雅黑" w:eastAsia="微软雅黑" w:cs="微软雅黑"/>
          <w:b w:val="0"/>
          <w:bCs w:val="0"/>
          <w:color w:val="000000"/>
          <w:sz w:val="18"/>
          <w:szCs w:val="18"/>
        </w:rPr>
      </w:pPr>
    </w:p>
    <w:p w14:paraId="3D82E6CB">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【执行标准】</w:t>
      </w:r>
    </w:p>
    <w:p w14:paraId="7D04D0FD">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YBH37802005-2015Z</w:t>
      </w:r>
    </w:p>
    <w:p w14:paraId="72FF7768">
      <w:pPr>
        <w:jc w:val="left"/>
        <w:rPr>
          <w:rFonts w:hint="eastAsia" w:ascii="微软雅黑" w:hAnsi="微软雅黑" w:eastAsia="微软雅黑" w:cs="微软雅黑"/>
          <w:b w:val="0"/>
          <w:bCs w:val="0"/>
          <w:color w:val="000000"/>
          <w:sz w:val="18"/>
          <w:szCs w:val="18"/>
        </w:rPr>
      </w:pPr>
    </w:p>
    <w:p w14:paraId="1AADAA62">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【批准文号】</w:t>
      </w:r>
    </w:p>
    <w:p w14:paraId="4A247F87">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国药准字H20052507</w:t>
      </w:r>
    </w:p>
    <w:p w14:paraId="44232EC3">
      <w:pPr>
        <w:jc w:val="left"/>
        <w:rPr>
          <w:rFonts w:hint="eastAsia" w:ascii="微软雅黑" w:hAnsi="微软雅黑" w:eastAsia="微软雅黑" w:cs="微软雅黑"/>
          <w:b w:val="0"/>
          <w:bCs w:val="0"/>
          <w:color w:val="000000"/>
          <w:sz w:val="18"/>
          <w:szCs w:val="18"/>
        </w:rPr>
      </w:pPr>
    </w:p>
    <w:p w14:paraId="58170D15">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【药品上市许可持有人】</w:t>
      </w:r>
    </w:p>
    <w:p w14:paraId="6E5F5383">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名称:深圳大佛药业股份有限公司</w:t>
      </w:r>
    </w:p>
    <w:p w14:paraId="7DB0D5B2">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注册地址:深圳市坪山新区坑梓街道金辉路14号深圳市生物医药创新产业园区6号楼</w:t>
      </w:r>
    </w:p>
    <w:p w14:paraId="47F6328E">
      <w:pPr>
        <w:jc w:val="left"/>
        <w:rPr>
          <w:rFonts w:hint="eastAsia" w:ascii="微软雅黑" w:hAnsi="微软雅黑" w:eastAsia="微软雅黑" w:cs="微软雅黑"/>
          <w:b w:val="0"/>
          <w:bCs w:val="0"/>
          <w:color w:val="000000"/>
          <w:sz w:val="18"/>
          <w:szCs w:val="18"/>
        </w:rPr>
      </w:pPr>
    </w:p>
    <w:p w14:paraId="5F760CA0">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rPr>
        <w:t>【生产企业】</w:t>
      </w:r>
    </w:p>
    <w:p w14:paraId="130ECC94">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企业名称:深圳大佛药业股份有限公司</w:t>
      </w:r>
    </w:p>
    <w:p w14:paraId="3EDDC1DB">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生产地址:深圳市坪山新区坑梓街道金辉路14号深圳市生物医药创新产业园区6号楼</w:t>
      </w:r>
    </w:p>
    <w:p w14:paraId="06D9AD04">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邮编编码:518122</w:t>
      </w:r>
    </w:p>
    <w:p w14:paraId="387B5EF2">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联系方式:0755-25578212</w:t>
      </w:r>
    </w:p>
    <w:p w14:paraId="6FACDA6F">
      <w:pPr>
        <w:jc w:val="left"/>
        <w:rPr>
          <w:rFonts w:hint="eastAsia" w:ascii="微软雅黑" w:hAnsi="微软雅黑" w:eastAsia="微软雅黑" w:cs="微软雅黑"/>
          <w:b w:val="0"/>
          <w:bCs w:val="0"/>
          <w:color w:val="000000"/>
          <w:sz w:val="18"/>
          <w:szCs w:val="18"/>
        </w:rPr>
      </w:pPr>
      <w:r>
        <w:rPr>
          <w:rFonts w:hint="eastAsia" w:ascii="微软雅黑" w:hAnsi="微软雅黑" w:eastAsia="微软雅黑" w:cs="微软雅黑"/>
          <w:b w:val="0"/>
          <w:bCs w:val="0"/>
          <w:color w:val="000000"/>
          <w:sz w:val="18"/>
          <w:szCs w:val="18"/>
        </w:rPr>
        <w:t>传真:0755-82059633</w:t>
      </w:r>
    </w:p>
    <w:p w14:paraId="44E05DFD">
      <w:pPr>
        <w:jc w:val="left"/>
        <w:rPr>
          <w:rFonts w:hint="eastAsia" w:ascii="微软雅黑" w:hAnsi="微软雅黑" w:eastAsia="微软雅黑" w:cs="微软雅黑"/>
          <w:b w:val="0"/>
          <w:bCs w:val="0"/>
          <w:color w:val="000000"/>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Regular">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9E3517"/>
    <w:multiLevelType w:val="singleLevel"/>
    <w:tmpl w:val="E19E3517"/>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601F43"/>
    <w:rsid w:val="47601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Body text|1"/>
    <w:basedOn w:val="1"/>
    <w:link w:val="5"/>
    <w:qFormat/>
    <w:uiPriority w:val="0"/>
    <w:pPr>
      <w:widowControl w:val="0"/>
      <w:shd w:val="clear" w:color="auto" w:fill="auto"/>
      <w:spacing w:after="100" w:line="310" w:lineRule="auto"/>
    </w:pPr>
    <w:rPr>
      <w:rFonts w:ascii="宋体" w:hAnsi="宋体" w:eastAsia="宋体" w:cs="宋体"/>
      <w:color w:val="555555"/>
      <w:sz w:val="19"/>
      <w:szCs w:val="19"/>
      <w:u w:val="none"/>
      <w:lang w:val="zh-CN" w:eastAsia="zh-CN" w:bidi="zh-CN"/>
    </w:rPr>
  </w:style>
  <w:style w:type="character" w:customStyle="1" w:styleId="5">
    <w:name w:val="Body text|1_"/>
    <w:basedOn w:val="3"/>
    <w:link w:val="4"/>
    <w:qFormat/>
    <w:uiPriority w:val="0"/>
    <w:rPr>
      <w:rFonts w:ascii="宋体" w:hAnsi="宋体" w:eastAsia="宋体" w:cs="宋体"/>
      <w:color w:val="555555"/>
      <w:sz w:val="19"/>
      <w:szCs w:val="19"/>
      <w:u w:val="none"/>
      <w:lang w:val="zh-CN" w:eastAsia="zh-CN" w:bidi="zh-CN"/>
    </w:rPr>
  </w:style>
  <w:style w:type="paragraph" w:customStyle="1" w:styleId="6">
    <w:name w:val="Body text|2"/>
    <w:basedOn w:val="1"/>
    <w:link w:val="7"/>
    <w:uiPriority w:val="0"/>
    <w:pPr>
      <w:widowControl w:val="0"/>
      <w:shd w:val="clear" w:color="auto" w:fill="auto"/>
      <w:spacing w:after="40"/>
    </w:pPr>
    <w:rPr>
      <w:rFonts w:ascii="Arial" w:hAnsi="Arial" w:eastAsia="Arial" w:cs="Arial"/>
      <w:color w:val="555555"/>
      <w:sz w:val="20"/>
      <w:szCs w:val="20"/>
      <w:u w:val="none"/>
      <w:lang w:val="zh-CN" w:eastAsia="zh-CN" w:bidi="zh-CN"/>
    </w:rPr>
  </w:style>
  <w:style w:type="character" w:customStyle="1" w:styleId="7">
    <w:name w:val="Body text|2_"/>
    <w:basedOn w:val="3"/>
    <w:link w:val="6"/>
    <w:qFormat/>
    <w:uiPriority w:val="0"/>
    <w:rPr>
      <w:rFonts w:ascii="Arial" w:hAnsi="Arial" w:eastAsia="Arial" w:cs="Arial"/>
      <w:color w:val="555555"/>
      <w:sz w:val="20"/>
      <w:szCs w:val="20"/>
      <w:u w:val="none"/>
      <w:lang w:val="zh-CN" w:eastAsia="zh-CN" w:bidi="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2026-06-23T05:23:00Z</dcterms:created>
  <dc:creator>丿Mars小霸王</dc:creator>
  <cp:lastModifiedBy>丿Mars小霸王</cp:lastModifiedBy>
  <dcterms:modified xsi:type="dcterms:W3CDTF">2026-06-23T06:14:13Z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CDDE4354150A44799DA71F9F830B28DB_11</vt:lpwstr>
  </property>
  <property fmtid="{D5CDD505-2E9C-101B-9397-08002B2CF9AE}" pid="4" name="KSOTemplateDocerSaveRecord">
    <vt:lpwstr>eyJoZGlkIjoiMmE2YmFhNDM2ODg5ZWIxMDFhMzIzYjAxYTIyNGI4NzMiLCJ1c2VySWQiOiIzODAxNTMwOTgifQ==</vt:lpwstr>
  </property>
</Properties>
</file>