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200"/>
        <w:jc w:val="center"/>
      </w:pPr>
      <w:r>
        <w:rPr>
          <w:rFonts w:ascii="Times New Roman" w:hAnsi="Times New Roman"/>
          <w:b/>
          <w:i w:val="0"/>
          <w:sz w:val="24"/>
        </w:rPr>
        <w:t>PLANET9 SCREENING LAB: TRIAGEM DINÂMICA AUTOMATIZADA E AUDITÁVEL DE CANDIDATOS AO HIPOTÉTICO PLANETA NOVE</w:t>
      </w:r>
    </w:p>
    <w:p>
      <w:pPr>
        <w:spacing w:line="480" w:lineRule="auto"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Alexandre Brito Santana; Lucas Fortuna Nogueira</w:t>
      </w:r>
    </w:p>
    <w:p>
      <w:pPr>
        <w:spacing w:line="480" w:lineRule="auto"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Orientador: Rodrigo Alves de Moura</w:t>
      </w:r>
    </w:p>
    <w:p>
      <w:pPr>
        <w:spacing w:line="480" w:lineRule="auto" w:before="0" w:after="200"/>
        <w:jc w:val="center"/>
      </w:pPr>
      <w:r>
        <w:rPr>
          <w:rFonts w:ascii="Times New Roman" w:hAnsi="Times New Roman"/>
          <w:b w:val="0"/>
          <w:i w:val="0"/>
          <w:sz w:val="22"/>
        </w:rPr>
        <w:t>Escola SESI Manuel Querino — Projeto Astros e Aventuras (Iniciação Científica), Salvador, BA, Brasil</w:t>
      </w:r>
    </w:p>
    <w:p>
      <w:pPr>
        <w:spacing w:line="480" w:lineRule="auto" w:before="80" w:after="80"/>
        <w:jc w:val="center"/>
      </w:pPr>
      <w:r>
        <w:rPr>
          <w:rFonts w:ascii="Times New Roman" w:hAnsi="Times New Roman"/>
          <w:b/>
          <w:i w:val="0"/>
          <w:sz w:val="24"/>
        </w:rPr>
        <w:t>RESUMO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Este trabalho documenta o desenvolvimento do Planet9 Screening Lab: um pipeline headless, automatizado e auditável de triagem dinâmica (screening) de candidatos ao hipotético Planeta Nove (P9), planeta de massa subneptuniana (cerca de 5 a 20 massas terrestres) em órbita excêntrica e distante (semi-eixo maior da ordem de 380 a 980 UA) proposto para explicar o agrupamento orbital de Objetos Transnetunianos Extremos (ETNOs). O objetivo não é localizar P9, mas responder, com controle pareado e rastreabilidade, se um modelo com P9 melhora métricas dinâmicas dos ETNOs em relação ao modelo sem P9. A metodologia integra: catálogo canônico de 16 ETNOs (13 validados + 3 parciais: Ammonite/2023 KQ14, 2017 OF201 e Leleakuhonua/2015 TG387; fonte revisada por pares, época única e referencial heliocêntrico para os 13 validados); modelo de N-corpos mínimo (Sol, gigantes e candidato massivo) integrado com REBOUND/WHFast e passo Δt = P_Júpiter/20; funil de triagem quasi-Monte Carlo (20.000 pontos) em cinco estágios, dois ainda não implementados; oito candidatos do Quadro 2 do projeto; controle pareado com e sem P9; e diagnósticos de estatística circular (Rayleigh e Kuiper) e MEGNO (não calibrado). Nos horizontes executados (1 Myr), os resultados são exploratórios: nenhum candidato supera consistentemente os modelos nulos; o agrupamento apsidal do catálogo não é estatisticamente significativo (p = 0,240; n = 16); o poder estatístico exigiria cerca de 39 ETNOs para detectar concentração ρ = 0,5 (potência de 80%). Não foi possível confirmar a existência do Planeta Nove nem determinar sua órbita; a contribuição é um arcabouço reprodutível e auditável para triagens futuras em horizonte secular.</w:t>
      </w:r>
    </w:p>
    <w:p>
      <w:pPr>
        <w:spacing w:line="480" w:lineRule="auto" w:before="0" w:after="0"/>
        <w:jc w:val="both"/>
      </w:pPr>
      <w:r>
        <w:rPr>
          <w:rFonts w:ascii="Times New Roman" w:hAnsi="Times New Roman"/>
          <w:b w:val="0"/>
          <w:i w:val="0"/>
          <w:sz w:val="24"/>
        </w:rPr>
        <w:t>Palavras-chave: Planeta Nove; ETNOs; Simulação de N-corpos; Triagem dinâmica; Estatística circular.</w:t>
      </w:r>
    </w:p>
    <w:p>
      <w:pPr>
        <w:spacing w:line="480" w:lineRule="auto"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1 INTRODUÇÃO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hipótese do Planeta Nove (P9) propõe um planeta ainda não observado, de massa subneptuniana (cerca de 5 a 20 massas terrestres), em órbita excêntrica e distante, para explicar o agrupamento orbital de corpos do Sistema Solar externo (BATYGIN; BROWN, 2016; BROWN; BATYGIN, 2016). ETNOs são corpos com semi-eixo maior a &gt; 150 UA e periélio q &gt; 30 UA (1 UA é a distância média Terra–Sol). A longitude do periélio ϖ = Ω + ω (mod 360°) combina a longitude do nodo ascendente Ω com o argumento do periélio ω.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principal indício é o agrupamento apsidal: a longitude do periélio ϖ concentrar-se-ia em uma mesma direção para os ETNOs mais distantes (BATYGIN; BROWN, 2016; BROWN; BATYGIN, 2019; BROWN; BATYGIN, 2021). Objetos de periélio alto, como Sedna (q ≈ 76 UA) e 2012 VP113 (q ≈ 80 UA), reforçariam a necessidade de um perturbador distante.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Essa interpretação é controversa. Análises com funções de seleção observacional (OSSOS) acham as amostras consistentes com distribuições uniformes de ϖ (SHANKMAN et al., 2017; NAPIER et al., 2021); reanálises com tratamento próprio do viés sustentam o agrupamento (BROWN; BATYGIN, 2019; 2021). O pequeno tamanho das amostras e descobertas recentes agravam a controvérsia: o sednoide 2023 KQ14 (Ammonite) é desalinhado ao agrupamento (CHEN et al., 2025), o candidato a planeta anão 2017 OF201 tem longitude do periélio fora dele (CHENG et al., 2025) e 2015 TG387 é compatível (SHEPPARD et al., 2019).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Diante disso, o escopo é delimitado: não se busca descobrir P9 nem determinar sua órbita real, mas construir um pipeline computacional reprodutível e auditável — o Planet9 Screening Lab — para responder, com controle pareado, se um modelo com P9 melhora as métricas dinâmicas dos ETNOs em relação ao controle sem P9. Os objetivos específicos são: (i) catálogo canônico auditável de ETNOs; (ii) modelo mínimo de N-corpos com integrador numérico real; (iii) funil de triagem quasi-Monte Carlo com controle pareado e política explícita de conclusão; (iv) avaliação de oito candidatos do Quadro 2; (v) diagnósticos formais de estatística circular e numérica sem promover candidatos; e (vi) registro de limitações e próximos passos.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Seção 2 descreve materiais e métodos; a Seção 3, resultados e discussão; a Seção 4, as considerações finais. Cada afirmação é classificável como resultado medido, derivado, dado da literatura, hipótese ou pendência; nenhuma afirmação é mais forte do que a evidência realmente executada, medida ou publicada.</w:t>
      </w:r>
    </w:p>
    <w:p>
      <w:pPr>
        <w:spacing w:line="480" w:lineRule="auto"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2 MATERIAIS E MÉTODOS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2.1 Delineamento e pergunta científica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estudo é pesquisa aplicada, computacional e exploratória, organizada como pipeline headless. H1 afirma que existe uma faixa de candidatos P9 que melhora a coerência dinâmica dos ETNOs; H0, que a distribuição observada pode ser explicada sem P9. Para cada candidato executam-se integrações gêmeas com e sem P9 (mesmo catálogo, gigantes, orçamento e semente). A política de conclusão do repositório limita as afirmações a “triagem exploratória”, “candidato de interesse dentro do protocolo”, “nenhum candidato encontrado” ou “inconclusivo”, proibindo confirmação, descoberta ou determinação de órbita (PLANET9 SCREENING LAB, 2026).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2.2 Catálogo canônico de ETNOs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catálogo canônico reúne 16 ETNOs: 13 validados com elementos orbitais osculadores heliocêntricos (referencial eclíptico J2000, época única 2456800,5 = 23/05/2014 TDB) + 3 objetos parciais (Ammonite/2023 KQ14, 2017 OF201, Leleakuhonua/2015 TG387) em época/frame distintos, selecionados por a &gt; 150 UA e q &gt; 30 UA (Tabela 1). Os elementos provêm da Tabela A1 de DE LA FUENTE MARCOS e DE LA FUENTE MARCOS (2014); a anomalia média M foi derivada de M = λ − ϖ (mod 360°). Critérios de seleção e exclusão ficam registrados em campos de auditoria (selection_reason/selection_notes), evitando escolha manual que favoreça um resultado.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catálogo é um retrato fechado em 2014, não um censo atualizado: 2015 TG387 (SHEPPARD et al., 2019) não integra os 13 objetos usados. O sednoide Ammonite/2023 KQ14 (CHEN et al., 2025) entra com status “parcial” e uso qualitativo — elementos baricêntricos em época 2025-05-05, não propagados à época padrão; uso quantitativo é desautorizado nesta versão.</w:t>
      </w:r>
    </w:p>
    <w:p>
      <w:pPr>
        <w:spacing w:line="240" w:lineRule="auto" w:before="160" w:after="60"/>
        <w:jc w:val="left"/>
      </w:pPr>
      <w:r>
        <w:rPr>
          <w:rFonts w:ascii="Times New Roman" w:hAnsi="Times New Roman"/>
          <w:b w:val="0"/>
          <w:i w:val="0"/>
          <w:sz w:val="20"/>
        </w:rPr>
        <w:t>Tabela 1 — Catálogo canônico de ETNOs (n = 16; a &gt; 150 UA, q &gt; 30 UA; época 2456800,5 para os 13 validados; * = parcial em época/frame distinto; referencial heliocêntrico eclíptico J2000).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81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Objeto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a (UA)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q (UA)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 (°)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ϖ (°)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2001_FP185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220.8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0.845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34.2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30.8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186.1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Sedna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532.3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0.857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76.1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11.9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95.7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2000_CR105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229.9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0.808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44.2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22.7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85.3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2002_GB32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209.5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0.831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35.3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14.2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213.9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2003_HB57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161.1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0.764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38.1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15.5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208.5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2003_SS422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197.4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0.800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39.4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16.8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1.1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2004_VN112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333.6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0.858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47.3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25.5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33.3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2005_RH52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152.7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0.744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39.0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20.5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338.8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2007_TG422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531.9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0.933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35.6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18.6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38.8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2007_VJ305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192.4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0.817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35.2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12.0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2.9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2010_GB174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368.2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0.868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48.6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21.5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118.1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2010_VZ98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156.5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0.781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34.3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4.5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71.3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2012_VP113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264.9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0.696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80.5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24.0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24.9</w:t>
            </w:r>
          </w:p>
        </w:tc>
      </w:tr>
    </w:tbl>
    <w:p>
      <w:pPr>
        <w:spacing w:line="240" w:lineRule="auto" w:before="40" w:after="120"/>
        <w:jc w:val="both"/>
      </w:pPr>
      <w:r>
        <w:rPr>
          <w:rFonts w:ascii="Times New Roman" w:hAnsi="Times New Roman"/>
          <w:b w:val="0"/>
          <w:i w:val="0"/>
          <w:sz w:val="18"/>
        </w:rPr>
        <w:t>Fonte: catalog_validated.csv do repositório (elaboração própria a partir de DE LA FUENTE MARCOS; DE LA FUENTE MARCOS, 2014). q = a(1 − e) e ϖ = Ω + ω (mod 360°) são derivados; objetos com status 'parcial' (Ammonite/2023 KQ14, 2017 OF201, Leleakuhonua/2015 TG387) são listados ao final com asterisco (ver texto).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2.3 Modelo físico e integração numérica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modelo mínimo contém o Sol, os gigantes Júpiter, Saturno, Urano e Netuno (elementos na época J2000) e os ETNOs como partículas sem massa; com include_p9 verdadeiro, o candidato P9 é adicionado como partícula massiva. Com unidades em ano, UA e massa solar e G = 4π², o período de Júpiter (a = 5,2044 UA) é P ≈ 11,8729 anos. As integrações usam REBOUND 5.1.1 (REIN; LIU, 2012) com o integrador simplético WHFast.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passo não é arbitrado: Δt = P_mín/20, em que P_mín é o período do corpo mais interno (Júpiter), resultando em Δt = 0,593644 ano, derivado em código por planet9lab.physics.recommended_timestep_years e conferido por teste automatizado. O controle pareado exige, por candidato, integrações com e sem P9 idênticas em tudo (sementes [12345] nas execuções; estabilidade entre múltiplas sementes permanece pendente). Integrações seculares usam finalização padronizada e checkpointing a cada 10⁶ anos.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horizontes devem ser lidos com rigor: as telas desta versão integraram 1 Myr. O orçamento secular configurado prevê 4×10⁹ anos (4 Gyr) como horizonte alvo (execução real pendente); os estágios 3 dos escaneamentos executaram 10⁸ anos como ponto de partida conservador — quando a literatura menciona 4 Gyr (por exemplo, BROWN; BATYGIN, 2016), trata-se de horizonte da literatura, não de execução deste estudo.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2.4 Candidatos ao Planeta Nove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Sete candidatos do Quadro 2 do projeto varrem massa (4 a 10 massas terrestres), semi-eixo maior (300 a 800 UA), excentricidade (0,20 a 0,60) e inclinação (18° a 32°) (Tabela 2). Para linhas sem i ou M especificados, os valores foram fixados no centro do Cenário 6 (“cenário intermediário (preferido)”: M = 6 massas terrestres, a = 500 UA, e = 0,35, i = 20°), evitando um grau de liberdade extra não testado por linha.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ângulos ω9 = 200°, Ω9 = 270° e M0 = 180° (logo, ϖ9 = 110°) são um ponto central único e são assumidos, não medidos: o Quadro 2 não os tabula. O ajuste mais recente (BROWN; BATYGIN, 2021) favorece M ≈ 6,2 massas terrestres, a ≈ 382 UA e ϖ9 ≈ 246,7°, diferindo em cerca de 137° do ϖ9 assumido aqui; o candidato BB21 foi incorporado como oitava linha (row8) e executado em teste de sanidade de 200 anos (rank 1, candidato de interesse, evidência 'fraca'); a discriminação entre as soluções BB16 e BB21 exige a execução secular no horizonte alvo de 4 Gyr, ainda pendente.</w:t>
      </w:r>
    </w:p>
    <w:p>
      <w:pPr>
        <w:spacing w:line="240" w:lineRule="auto" w:before="160" w:after="60"/>
        <w:jc w:val="left"/>
      </w:pPr>
      <w:r>
        <w:rPr>
          <w:rFonts w:ascii="Times New Roman" w:hAnsi="Times New Roman"/>
          <w:b w:val="0"/>
          <w:i w:val="0"/>
          <w:sz w:val="20"/>
        </w:rPr>
        <w:t>Tabela 2 — Candidatos P9 avaliados (Quadro 2 do artigo original do projeto).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15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Candidato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 (massas terrestres)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a (UA)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 (°)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p9_row1_lowmass_close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300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0.20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p9_row2_highmass_close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300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0.50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p9_row3_far_eccentric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800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0.60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p9_row4_incl_boundary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500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0.35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32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p9_row5_partial_alignment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400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0.30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p9_row6_preferred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500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0.35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p9_row7_highmass_viable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600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0.45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18</w:t>
            </w:r>
          </w:p>
        </w:tc>
      </w:tr>
    </w:tbl>
    <w:p>
      <w:pPr>
        <w:spacing w:line="240" w:lineRule="auto" w:before="40" w:after="120"/>
        <w:jc w:val="both"/>
      </w:pPr>
      <w:r>
        <w:rPr>
          <w:rFonts w:ascii="Times New Roman" w:hAnsi="Times New Roman"/>
          <w:b w:val="0"/>
          <w:i w:val="0"/>
          <w:sz w:val="18"/>
        </w:rPr>
        <w:t>Fonte: dados/candidates_quadro2.csv (elaboração própria). Todos os candidatos usam ω9 = 200°, Ω9 = 270°, M0 = 180°, exceto row8 (BB21): ω9 = 246,7°, Ω9 = 0°, M0 = 180°, derivados do ajuste de BROWN; BATYGIN (2021) (assumidos; não medidos).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2.5 Métricas dinâmicas e scoring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Para cada ramo (com/sem P9) o pipeline registra: taxa de sobrevivência dos ETNOs; derivas relativas máximas de energia e de momento angular (|ΔE/E0|, |ΔL/L0|); o comprimento R do vetor resultante do agrupamento apsidal, estatística circular (R = 0 uniforme; R = 1 alinhamento perfeito); e o alinhamento angular médio, 1 − (distância angular média à direção anti-alinhada com P9, ϖ9 + 180°)/180° (não circular). O score dinâmico é a média ponderada dessas componentes (Tabela 3); o indicador central é Δscore = score(com P9) − score(sem P9).</w:t>
      </w:r>
    </w:p>
    <w:p>
      <w:pPr>
        <w:spacing w:line="240" w:lineRule="auto" w:before="160" w:after="60"/>
        <w:jc w:val="left"/>
      </w:pPr>
      <w:r>
        <w:rPr>
          <w:rFonts w:ascii="Times New Roman" w:hAnsi="Times New Roman"/>
          <w:b w:val="0"/>
          <w:i w:val="0"/>
          <w:sz w:val="20"/>
        </w:rPr>
        <w:t>Tabela 3 — Componentes e pesos do score dinâmico (configuração default).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Componente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Peso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Função no score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Agrupamento apsidal (R)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0,20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Premia maior concentração de ϖ com P9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Alinhamento angular médio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0,25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Premia ETNOs anti-alinhados a P9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Taxa de sobrevivência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0,20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Premia retenção dos ETNOs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Estabilidade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0,20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Penaliza deriva |ΔE/E0| acima de 10⁻³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Saúde numérica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0,15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Penaliza deriva acima de 10⁻⁴</w:t>
            </w:r>
          </w:p>
        </w:tc>
      </w:tr>
    </w:tbl>
    <w:p>
      <w:pPr>
        <w:spacing w:line="240" w:lineRule="auto" w:before="40" w:after="120"/>
        <w:jc w:val="both"/>
      </w:pPr>
      <w:r>
        <w:rPr>
          <w:rFonts w:ascii="Times New Roman" w:hAnsi="Times New Roman"/>
          <w:b w:val="0"/>
          <w:i w:val="0"/>
          <w:sz w:val="18"/>
        </w:rPr>
        <w:t>Fonte: configs/scoring/default_weights.yaml e planet9lab/metrics.py (elaboração própria). Limiares operacionais: Δscore mínimo de interesse 0,08; Δscore abaixo de 0,05 considerado ruim; sobrevivência mínima 0,80.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Blockers científicos registrados em audit/blockers.json podem limitar o nível de evidência sem invalidar a execução: a ausência de modelo de viés observacional (no_observational_bias_model) limita a evidência máxima a “fraco”; candidatos com i ≥ 80° recebem aviso de regime (Kozai–Lidov não validado); e, quando modelos nulos não são superados, permanece ativo o blocker null_model_not_exceeded.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2.6 Funil de triagem quasi-Monte Carlo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funil amostra o espaço de parâmetros [M, a, e, i] por quasi-Monte Carlo (sequência determinística de Halton), N = 20.000 pontos e semente 20260727, nos limites M ∈ [5, 20] massas terrestres, a ∈ [380, 980] UA, e ∈ [0,1; 0,8] e i ∈ [0°, 40°]. Esses limites são escolha metodológica documentada, fundamentada na faixa de 2016 (BROWN; BATYGIN, 2016) e em estudos de ressonâncias e inclinações mais baixas (MALHOTRA et al., 2016; MILLHOLLAND; LAUGHLIN, 2017); não se afirma que o P9 real esteja necessariamente nessa faixa. A faixa preferida de periélio 150–350 UA da literatura é coluna diagnóstica, não filtro físico.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funil tem cinco estágios: 0, limites físicos analíticos (todos os pontos); 1, separação de Hill em relação a Netuno (todos); 2, estabilidade N-corpos de 1 Myr, limitada por amostragem (max_stage2_samples = 200); 3, alinhamento apsidal secular contra o catálogo real (max_stage3_samples); e 4 (Hamiltoniano secular) e 5 (detectabilidade fotométrica), não implementados. Pontos excedentes às cotas ficam como not_evaluated_capacity_limit, nunca descartados. A execução autorizada usou max_stage3_samples reduzido de 60 para 2 por restrição de tempo de computo (Seção 3.2).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2.7 Robustez e diagnósticos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Fora do funil há comandos de robustez: leave-one-out, convergência sob refinamento de passo (dt, dt/2, dt/4), validação cruzada com IAS15 e modelos nulos reais por integração REBOUND (shuffle_varpi, randomize_angles, no_p9_catalog_baseline), checagem de viés de seleção (selection-bias-check), além do MEGNO (experimental, não calibrado) e dos testes formais de Rayleigh e Kuiper (somente leitura; não substituem o critério ad hoc do funil).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2.8 Execuções e ambiente computacional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As execuções da Seção 3 foram realizadas em etapas anteriores do projeto, com REBOUND real, e estão nomeadas na documentação: telas experiment_angle_robustness e experiment_i_boundary_scan (1 Myr) e varredura de funil montecarlo_20260816T001216569981Z (PLANET9 SCREENING LAB, 2026). Os artefatos brutos (runs/) não acompanham o pacote distribuído, que os regenera por comando (python main.py screen). A suíte registra 149 testes aprovados (pytest) e lint limpo (ruff). O custo computacional foi medido em hardware real (Intel i5-14400; results/hardware_benchmark.json, 2026-09-03): 347.886 anos simulados/s no orçamento medium, ou seja, = 6,4 h por par de controle em 4 Gyr e = 25,6 h para os 8 candidatos do Quadro 2. A projeção anterior (sandbox, 2 núcleos, ~14,6 h/par) foi substituída por esta medição.</w:t>
      </w:r>
    </w:p>
    <w:p>
      <w:pPr>
        <w:spacing w:line="480" w:lineRule="auto"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3 RESULTADOS E DISCUSSÃO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3.1 Estrutura angular do catálogo canônico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Figura 1 mostra a distribuição das longitudes do periélio dos 13 ETNOs canônicos: o vetor resultante tem R = 0,365 na direção média ≈ 57°. Apesar da concentração visual, o teste de Rayleigh (Z = 1,73) fornece p = 0,178, e o teste de Kuiper fornece V* = 1,46 (p = 1,0); portanto, para α = 0,05, a hipótese de distribuição uniforme de ϖ não é rejeitada (Tabela 4). Incluir o sednoide Ammonite/2023 KQ14 (status parcial) reduz R para 0,283 (p = 0,333), consistente com sua órbita desalinhada ao agrupamento (CHEN et al., 2025).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3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ar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80" w:after="160"/>
        <w:jc w:val="center"/>
      </w:pPr>
      <w:r>
        <w:rPr>
          <w:rFonts w:ascii="Times New Roman" w:hAnsi="Times New Roman"/>
          <w:b w:val="0"/>
          <w:i w:val="0"/>
          <w:sz w:val="20"/>
        </w:rPr>
        <w:t>Figura 1 — Distribuição polar das longitudes do periélio (ϖ) dos 13 ETNOs do catálogo canônico (pontos azuis) e vetor resultante (seta vermelha, R = 0,365 na direção ≈ 57°). Fonte: elaboração própria a partir de catalog_validated.csv.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Esses números são derivados do catálogo pelo código do próprio projeto e não podem ser lidos como evidência de ausência de agrupamento: com n = 16, o poder é baixo. Seriam necessários cerca de 39 ETNOs para detectar concentração ρ = 0,5 com 80% de poder (α = 0,05); cerca de 107 para ρ = 0,3 e 20 para ρ = 0,7 — todos acima da amostra atual. Isso é coerente com SHANKMAN et al. (2017) e NAPIER et al. (2021) e não resolve a divergência com BROWN e BATYGIN (2021).</w:t>
      </w:r>
    </w:p>
    <w:p>
      <w:pPr>
        <w:spacing w:line="240" w:lineRule="auto" w:before="160" w:after="60"/>
        <w:jc w:val="left"/>
      </w:pPr>
      <w:r>
        <w:rPr>
          <w:rFonts w:ascii="Times New Roman" w:hAnsi="Times New Roman"/>
          <w:b w:val="0"/>
          <w:i w:val="0"/>
          <w:sz w:val="20"/>
        </w:rPr>
        <w:t>Tabela 4 — Diagnósticos circulares do catálogo (elaboração própria, derivados do catálogo; α = 0,05).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92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Amostra</w:t>
            </w:r>
          </w:p>
        </w:tc>
        <w:tc>
          <w:tcPr>
            <w:tcW w:type="dxa" w:w="56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Z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 (Rayleigh)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V* (Kuiper)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 (Kuiper)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13 ETNOs validados</w:t>
            </w:r>
          </w:p>
        </w:tc>
        <w:tc>
          <w:tcPr>
            <w:tcW w:type="dxa" w:w="56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13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0,365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1,73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0,178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1,46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1,0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+ Ammonite (parcial)</w:t>
            </w:r>
          </w:p>
        </w:tc>
        <w:tc>
          <w:tcPr>
            <w:tcW w:type="dxa" w:w="56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14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0,283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1,12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0,333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1,30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1,0</w:t>
            </w:r>
          </w:p>
        </w:tc>
      </w:tr>
    </w:tbl>
    <w:p>
      <w:pPr>
        <w:spacing w:line="240" w:lineRule="auto" w:before="40" w:after="120"/>
        <w:jc w:val="both"/>
      </w:pPr>
      <w:r>
        <w:rPr>
          <w:rFonts w:ascii="Times New Roman" w:hAnsi="Times New Roman"/>
          <w:b w:val="0"/>
          <w:i w:val="0"/>
          <w:sz w:val="18"/>
        </w:rPr>
        <w:t>Fonte: catalog_validated.csv e planet9lab (elaboração própria). Nenhuma amostra rejeita uniformidade em α = 0,05.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3.2 Funil de triagem quasi-Monte Carlo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varredura registrada aprovou 20.000 pontos nas etapas 0 (limites físicos) e 1 (separação de Hill); na etapa 2 (estabilidade N-corpos de 1 Myr) avaliou 200 pontos por cota amostral (1,0% do total, todos aprovados); e na etapa 3 (alinhamento apsidal secular de 10⁸ anos) avaliou 2 pontos (0,01% do total, ambos aprovados) (Tabela 5). Os estágios 4 e 5 não estão implementados.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Essas porcentagens (1,0% e 0,01%) refletem limites de capacidade amostral, não eliminação física. Estimar a taxa “física” de sobrevivência do espaço de parâmetros exigiria a amostra completa do estágio 3 (60 ramos), não executada por restrição de tempo; o poder com a amostra reduzida não foi recalculado. O resultado não sustenta afirmação sobre a fração de parâmetros viáveis de P9.</w:t>
      </w:r>
    </w:p>
    <w:p>
      <w:pPr>
        <w:spacing w:line="240" w:lineRule="auto" w:before="160" w:after="60"/>
        <w:jc w:val="left"/>
      </w:pPr>
      <w:r>
        <w:rPr>
          <w:rFonts w:ascii="Times New Roman" w:hAnsi="Times New Roman"/>
          <w:b w:val="0"/>
          <w:i w:val="0"/>
          <w:sz w:val="20"/>
        </w:rPr>
        <w:t>Tabela 5 — Funil de triagem quasi-Monte Carlo (execução registrada; N = 20.000 pontos).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Estágio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Critério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Avaliados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Aprovados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Frequência no total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Limites físicos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20.000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20.000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100%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Separação de Hill (Netuno)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20.000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20.000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100%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Estabilidade N-corpos (1 Myr)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200 (cota)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200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1,0% (avaliados)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Alinhamento secular (10⁸ anos)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 (cota)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0,01% (avaliados)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 e 5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Hamiltoniano secular / detectabilidade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não implementado</w:t>
            </w:r>
          </w:p>
        </w:tc>
      </w:tr>
    </w:tbl>
    <w:p>
      <w:pPr>
        <w:spacing w:line="240" w:lineRule="auto" w:before="40" w:after="120"/>
        <w:jc w:val="both"/>
      </w:pPr>
      <w:r>
        <w:rPr>
          <w:rFonts w:ascii="Times New Roman" w:hAnsi="Times New Roman"/>
          <w:b w:val="0"/>
          <w:i w:val="0"/>
          <w:sz w:val="18"/>
        </w:rPr>
        <w:t>Fonte: execução montecarlo_20260816T001216569981Z registrada na documentação do repositório (elaboração própria). Porcentagens finais refletem cotas amostrais, não eliminação física.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3.3 Telas exploratórias de 1 Myr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Três experimentos foram executados: duas telas de sensibilidade em horizonte de 1 Myr com o catálogo canônico (rotação do ângulo ω9 do candidato preferido row6: 0°, 90°, 180°, 200°, 270°; e varredura de inclinação ao redor do limite i &gt; 30°, row4: 31° a 35°, com Ω9 = 270° e M0 = 180°) e um teste de sanidade de 200 anos do candidato row8/BB21 (rank 1, candidato de interesse, evidência 'fraca'). Todas as variantes foram “candidatos de interesse” pelo critério default (ad hoc ponderado). Isso não significa significância: no teste formal de Rayleigh nenhum é estatisticamente significativo (p entre 0,16 e 0,24; n = 16) e, nos modelos nulos reais, nenhum superou consistentemente os três nulos (blocker null_model_not_exceeded ativo).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robustez angular é limitada: apenas o candidato preferido row6 tem evidência de robustez a ω9 (5 valores, todos candidatos de interesse); as outras sete linhas do Quadro 2 não têm essa evidência. Nenhuma execução avança da triagem exploratória para um segundo estágio de confirmação: os resultados são compatíveis com H1 apenas no sentido fraco de “não excluem candidatos de interesse” — um resultado negativo honesto.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Diagnósticos auxiliares corroboram a leitura: derivas relativas de energia e momento angular ficaram abaixo dos divisores 10⁻³ e 10⁻⁴ usados no scoring, sem falhas numéricas nas telas de 1 Myr — saúde numérica no horizonte executado, não prova de estabilidade secular. O MEGNO, experimental e isolado do funil, respondeu à semente em orçamento curto (⟨Y⟩ = 1,7746 na semente 42 e 2,0930 na 43; sistema regular ≈ 2,0), mas, não calibrado, não é usado como argumento de estabilidade em Gyr.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3.4 Discussão integrada e limitações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Em conjunto, os resultados sustentam leitura conservadora: o pipeline opera de forma reprodutível e auditável (149 testes aprovados; controle pareado), mas a evidência dinâmica é fraca e exploratória — agrupamento não significativo, funil com amostra secular mínima, telas de 1 Myr que não superam modelos nulos e nenhum candidato robusto para avançar a um segundo estágio. As limitações estruturais: ausência de modelo de viés observacional (limita a evidência máxima a “fraco”), catálogo pequeno fechado em 2014, ângulos assumidos divergentes do ajuste de BROWN e BATYGIN (2021), semente única e estágios 4–5 do funil não implementados.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literatura recente reforça as ressalvas: 2015 TG387 (SHEPPARD et al., 2019), 2023 KQ14 (CHEN et al., 2025) e 2017 OF201 (CHENG et al., 2025) apoiam ou desafiam o agrupamento, e a controvérsia sobre viés observacional segue em aberto (SHANKMAN et al., 2017; NAPIER et al., 2021; BROWN; BATYGIN, 2021). Não há evidência dinâmica que confirme a existência do Planeta Nove nem determine sua órbita.</w:t>
      </w:r>
    </w:p>
    <w:p>
      <w:pPr>
        <w:pageBreakBefore/>
        <w:spacing w:line="480" w:lineRule="auto"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4 CONSIDERAÇÕES FINAIS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que o projeto testou foi a arquitetura de triagem: catálogo auditável, modelo físico mínimo reproduzível, funil quasi-Monte Carlo com controle pareado, telas de 1 Myr e diagnósticos formais, executados com REBOUND real e proveniência registrada. Os resultados robustos dentro do protocolo: (a) o catálogo de 16 ETNOs não apresenta agrupamento apsidal significativo (p = 0,240); e (b) nenhum candidato superou consistentemente os modelos nulos nem alcançou significância formal.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Também é explícito o que não foi demonstrado: não se confirmou a existência do Planeta Nove nem se determinou sua órbita real; não se validou estabilidade em Gyr (telas de 1 Myr); implementou-se apenas um modelo inicial simplificado de viés de seleção (angle-only), que não reproduz o clustering observado mas não o descarta como artefato; e nenhum candidato avançou a segundo estágio. À pergunta central — “o projeto encontrou o Planeta Nove?” — a resposta é não: a evidência disponível não permite confirmar a existência do Planeta Nove.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contribuição é metodológica: um arcabouço aberto, reprodutível e auditável de triagem dinâmica, com política de conclusão que impede afirmações mais fortes do que a evidência. Como próximos passos: (i) medir o custo no hardware real; (ii) executar as telas seculares completas (10⁸ anos) dos oito candidatos, com ângulos reavaliados frente a BROWN e BATYGIN (2021); (iii) elevar a amostra do estágio 3 e recalcular o poder; e (iv) implementar modelo de viés observacional e testar múltiplas sementes. Somente então a triagem exploratória poderia tornar-se análise confirmatória.</w:t>
      </w:r>
    </w:p>
    <w:p>
      <w:pPr>
        <w:pageBreakBefore/>
        <w:spacing w:line="480" w:lineRule="auto" w:before="0" w:after="160"/>
        <w:jc w:val="center"/>
      </w:pPr>
      <w:r>
        <w:rPr>
          <w:rFonts w:ascii="Times New Roman" w:hAnsi="Times New Roman"/>
          <w:b/>
          <w:i w:val="0"/>
          <w:sz w:val="24"/>
        </w:rPr>
        <w:t>REFERÊNCIAS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BATYGIN, K.; BROWN, M. E. Evidence for a distant giant planet in the Solar System. The Astronomical Journal, v. 151, n. 2, p. 22, 2016. DOI: 10.3847/0004-6256/151/2/22.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BROWN, M. E.; BATYGIN, K. Observational constraints on the orbit and location of Planet Nine in the outer Solar System. The Astrophysical Journal Letters, v. 824, n. 2, p. L23, 2016. DOI: 10.3847/2041-8205/824/2/L23.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BROWN, M. E.; BATYGIN, K. Orbital clustering in the distant Solar System. The Astronomical Journal, v. 157, n. 2, p. 62, 2019. DOI: 10.3847/1538-3881/aaf051.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BROWN, M. E.; BATYGIN, K. The orbit of Planet Nine. The Astronomical Journal, v. 162, n. 5, p. 219, 2021. DOI: 10.3847/1538-3881/ac2056.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CHEN, Y.-T. et al. Discovery and dynamics of a Sedna-like object with a perihelion of 66 au. Nature Astronomy, v. 9, n. 9, p. 1309-1316, 2025. DOI: 10.1038/s41550-025-02595-7.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CHENG, S.; LI, J.; YANG, E. Discovery of a dwarf planet candidate in an extremely wide orbit: 2017 OF201. arXiv:2505.15806, 2025. Disponível em: https://arxiv.org/abs/2505.15806. Acesso em: 3 set. 2026.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DE LA FUENTE MARCOS, C.; DE LA FUENTE MARCOS, R. Extreme trans-Neptunian objects and the Kozai mechanism: signalling the presence of trans-Plutonian planets. Monthly Notices of the Royal Astronomical Society: Letters, v. 443, n. 1, p. L59-L63, 2014. DOI: 10.1093/mnrasl/slu084.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MALHOTRA, R.; VOLK, K.; WANG, X. Corralling a distant planet with extreme resonant Kuiper belt objects. The Astrophysical Journal Letters, v. 824, n. 2, p. L22, 2016. DOI: 10.3847/2041-8205/824/2/L22.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MILLHOLLAND, S.; LAUGHLIN, G. Constraints on Planet Nine’s orbit and sky position within a framework of mean-motion resonances. The Astronomical Journal, v. 153, n. 3, p. 91, 2017. DOI: 10.3847/1538-3881/153/3/91.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NAPIER, K. J. et al. No evidence for orbital clustering in the extreme trans-Neptunian objects. The Planetary Science Journal, v. 2, n. 2, p. 59, 2021. DOI: 10.3847/PSJ/abe53e.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PLANET9 SCREENING LAB. Pipeline headless de triagem dinâmica do Planeta Nove. Salvador, 2026. Disponível em: https://github.com/llLuriat/planet9-screening-lab. Acesso em: 3 set. 2026.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REIN, H.; LIU, S.-F. REBOUND: an open-source multi-purpose N-body code for collisional dynamics. Astronomy &amp; Astrophysics, v. 537, p. A128, 2012. DOI: 10.1051/0004-6361/201118085.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SHANKMAN, C. et al. OSSOS. VI. Striking biases in the detection of large semimajor axis trans-Neptunian objects. The Astronomical Journal, v. 154, n. 2, p. 50, 2017. DOI: 10.3847/1538-3881/aa7aed.</w:t>
      </w:r>
    </w:p>
    <w:p>
      <w:r>
        <w:t>STEPHENS, M. A. Use of the Kolmogorov-Smirnov, Cramér-von Mises and related statistics without extensive tables. Journal of the Royal Statistical Society: Series B (Methodological), v. 32, n. 1, p. 115-122, 1970. DOI: 10.1111/j.2517-6161.1970.tb00821.x.</w:t>
      </w:r>
    </w:p>
    <w:p>
      <w:r>
        <w:t>ZAR, J. H. Biostatistical Analysis. 4. ed. Upper Saddle River: Prentice Hall, 1999.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SHEPPARD, S. S.; TRUJILLO, C. A.; THOLEN, D. J.; KAIB, N. A new high perihelion trans-Plutonian inner Oort Cloud object: 2015 TG387. The Astronomical Journal, v. 157, n. 4, p. 139, 2019. DOI: 10.3847/1538-3881/ab0895.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