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before="0" w:after="200"/>
        <w:jc w:val="center"/>
      </w:pPr>
      <w:r>
        <w:rPr>
          <w:rFonts w:ascii="Times New Roman" w:hAnsi="Times New Roman"/>
          <w:b/>
          <w:i w:val="0"/>
          <w:sz w:val="24"/>
        </w:rPr>
        <w:t>PLANET9 SCREENING LAB: TRIAGEM DINÂMICA AUTOMATIZADA E AUDITÁVEL DE CANDIDATOS AO HIPOTÉTICO PLANETA NOVE</w:t>
      </w:r>
    </w:p>
    <w:p>
      <w:pPr>
        <w:spacing w:line="480" w:lineRule="auto"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Alexandre Brito Santana; Lucas Fortuna Nogueira</w:t>
      </w:r>
    </w:p>
    <w:p>
      <w:pPr>
        <w:spacing w:line="480" w:lineRule="auto"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Orientador: Rodrigo Alves de Moura</w:t>
      </w:r>
    </w:p>
    <w:p>
      <w:pPr>
        <w:spacing w:line="480" w:lineRule="auto" w:before="0" w:after="200"/>
        <w:jc w:val="center"/>
      </w:pPr>
      <w:r>
        <w:rPr>
          <w:rFonts w:ascii="Times New Roman" w:hAnsi="Times New Roman"/>
          <w:b w:val="0"/>
          <w:i w:val="0"/>
          <w:sz w:val="22"/>
        </w:rPr>
        <w:t>Escola SESI Manuel Querino — Projeto Astros e Aventuras (Iniciação Científica), Salvador, BA, Brasil</w:t>
      </w:r>
    </w:p>
    <w:p>
      <w:pPr>
        <w:spacing w:line="480" w:lineRule="auto" w:before="80" w:after="80"/>
        <w:jc w:val="center"/>
      </w:pPr>
      <w:r>
        <w:rPr>
          <w:rFonts w:ascii="Times New Roman" w:hAnsi="Times New Roman"/>
          <w:b/>
          <w:i w:val="0"/>
          <w:sz w:val="24"/>
        </w:rPr>
        <w:t>RESUMO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Este trabalho documenta o desenvolvimento do Planet9 Screening Lab: um pipeline headless, automatizado e auditável de triagem dinâmica (screening) de candidatos ao hipotético Planeta Nove (P9), planeta de massa subneptuniana (cerca de 5 a 20 massas terrestres) em órbita excêntrica e distante (semi-eixo maior da ordem de 380 a 980 UA) proposto para explicar o agrupamento orbital de Objetos Transnetunianos Extremos (ETNOs). O objetivo não é localizar P9, mas responder, com controle pareado e rastreabilidade, se um modelo com P9 melhora métricas dinâmicas dos ETNOs em relação ao modelo sem P9. A metodologia integra: catálogo canônico de 13 ETNOs validados (fonte revisada por pares, época única e referencial heliocêntrico), linha parcial de robustez com o sednoide Ammonite/2023 KQ14; modelo de N-corpos mínimo (Sol, gigantes e candidato massivo) integrado com REBOUND/WHFast e passo Δt = P_Júpiter/20; funil de triagem quasi-Monte Carlo (20.000 pontos) em cinco estágios, dois ainda não implementados; sete candidatos do Quadro 2 do projeto; controle pareado com e sem P9; e diagnósticos de estatística circular (Rayleigh e Kuiper) e MEGNO (não calibrado). Nos horizontes executados (1 Myr), os resultados são exploratórios: nenhum candidato supera consistentemente os modelos nulos; o agrupamento apsidal do catálogo não é estatisticamente significativo (p = 0,178; n = 13); o poder estatístico exigiria cerca de 39 ETNOs para detectar concentração ρ = 0,5 (potência de 80%). Não foi possível confirmar a existência do Planeta Nove nem determinar sua órbita; a contribuição é um arcabouço reprodutível e auditável para triagens futuras em horizonte secular.</w:t>
      </w:r>
    </w:p>
    <w:p>
      <w:pPr>
        <w:spacing w:line="480" w:lineRule="auto" w:before="0" w:after="0"/>
        <w:jc w:val="both"/>
      </w:pPr>
      <w:r>
        <w:rPr>
          <w:rFonts w:ascii="Times New Roman" w:hAnsi="Times New Roman"/>
          <w:b w:val="0"/>
          <w:i w:val="0"/>
          <w:sz w:val="24"/>
        </w:rPr>
        <w:t>Palavras-chave: Planeta Nove; ETNOs; Simulação de N-corpos; Triagem dinâmica; Estatística circular.</w:t>
      </w:r>
    </w:p>
    <w:p>
      <w:pPr>
        <w:spacing w:line="480" w:lineRule="auto" w:before="160" w:after="60"/>
        <w:jc w:val="left"/>
      </w:pPr>
      <w:r>
        <w:rPr>
          <w:rFonts w:ascii="Times New Roman" w:hAnsi="Times New Roman"/>
          <w:b/>
          <w:i w:val="0"/>
          <w:sz w:val="24"/>
        </w:rPr>
        <w:t>1 INTRODUÇÃO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hipótese do Planeta Nove (P9) propõe um planeta ainda não observado, de massa subneptuniana (cerca de 5 a 20 massas terrestres), em órbita excêntrica e distante, para explicar o agrupamento orbital de corpos do Sistema Solar externo (BATYGIN; BROWN, 2016; BROWN; BATYGIN, 2016). ETNOs são corpos com semi-eixo maior a &gt; 150 UA e periélio q &gt; 30 UA (1 UA é a distância média Terra–Sol). A longitude do periélio ϖ = Ω + ω (mod 360°) combina a longitude do nodo ascendente Ω com o argumento do periélio ω.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principal indício é o agrupamento apsidal: a longitude do periélio ϖ concentrar-se-ia em uma mesma direção para os ETNOs mais distantes (BATYGIN; BROWN, 2016; BROWN; BATYGIN, 2019; BROWN; BATYGIN, 2021). Objetos de periélio alto, como Sedna (q ≈ 76 UA) e 2012 VP113 (q ≈ 80 UA), reforçariam a necessidade de um perturbador distante.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Essa interpretação é controversa. Análises com funções de seleção observacional (OSSOS) acham as amostras consistentes com distribuições uniformes de ϖ (SHANKMAN et al., 2017; NAPIER et al., 2021); reanálises com tratamento próprio do viés sustentam o agrupamento (BROWN; BATYGIN, 2019; 2021). O pequeno tamanho das amostras e descobertas recentes agravam a controvérsia: o sednoide 2023 KQ14 (Ammonite) é desalinhado ao agrupamento (CHEN et al., 2025), o candidato a planeta anão 2017 OF201 tem longitude do periélio fora dele (CHENG et al., 2025) e 2015 TG387 é compatível (SHEPPARD et al., 2019).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Diante disso, o escopo é delimitado: não se busca descobrir P9 nem determinar sua órbita real, mas construir um pipeline computacional reprodutível e auditável — o Planet9 Screening Lab — para responder, com controle pareado, se um modelo com P9 melhora as métricas dinâmicas dos ETNOs em relação ao controle sem P9. Os objetivos específicos são: (i) catálogo canônico auditável de ETNOs; (ii) modelo mínimo de N-corpos com integrador numérico real; (iii) funil de triagem quasi-Monte Carlo com controle pareado e política explícita de conclusão; (iv) avaliação de sete candidatos do Quadro 2; (v) diagnósticos formais de estatística circular e numérica sem promover candidatos; e (vi) registro de limitações e próximos passos.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Seção 2 descreve materiais e métodos; a Seção 3, resultados e discussão; a Seção 4, as considerações finais. Cada afirmação é classificável como resultado medido, derivado, dado da literatura, hipótese ou pendência; nenhuma afirmação é mais forte do que a evidência realmente executada, medida ou publicada.</w:t>
      </w:r>
    </w:p>
    <w:p>
      <w:pPr>
        <w:spacing w:line="480" w:lineRule="auto" w:before="160" w:after="60"/>
        <w:jc w:val="left"/>
      </w:pPr>
      <w:r>
        <w:rPr>
          <w:rFonts w:ascii="Times New Roman" w:hAnsi="Times New Roman"/>
          <w:b/>
          <w:i w:val="0"/>
          <w:sz w:val="24"/>
        </w:rPr>
        <w:t>2 MATERIAIS E MÉTODOS</w:t>
      </w:r>
    </w:p>
    <w:p>
      <w:pPr>
        <w:spacing w:line="480" w:lineRule="auto" w:before="80" w:after="40"/>
        <w:jc w:val="left"/>
      </w:pPr>
      <w:r>
        <w:rPr>
          <w:rFonts w:ascii="Times New Roman" w:hAnsi="Times New Roman"/>
          <w:b/>
          <w:i w:val="0"/>
          <w:sz w:val="24"/>
        </w:rPr>
        <w:t>2.1 Delineamento e pergunta científica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estudo é pesquisa aplicada, computacional e exploratória, organizada como pipeline headless. H1 afirma que existe uma faixa de candidatos P9 que melhora a coerência dinâmica dos ETNOs; H0, que a distribuição observada pode ser explicada sem P9. Para cada candidato executam-se integrações gêmeas com e sem P9 (mesmo catálogo, gigantes, orçamento e semente). A política de conclusão do repositório limita as afirmações a “triagem exploratória”, “candidato de interesse dentro do protocolo”, “nenhum candidato encontrado” ou “inconclusivo”, proibindo confirmação, descoberta ou determinação de órbita (PLANET9 SCREENING LAB, 2026).</w:t>
      </w:r>
    </w:p>
    <w:p>
      <w:pPr>
        <w:spacing w:line="480" w:lineRule="auto" w:before="80" w:after="40"/>
        <w:jc w:val="left"/>
      </w:pPr>
      <w:r>
        <w:rPr>
          <w:rFonts w:ascii="Times New Roman" w:hAnsi="Times New Roman"/>
          <w:b/>
          <w:i w:val="0"/>
          <w:sz w:val="24"/>
        </w:rPr>
        <w:t>2.2 Catálogo canônico de ETNOs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catálogo canônico reúne 13 ETNOs com elementos orbitais osculadores heliocêntricos (referencial eclíptico J2000, época única 2456800,5 = 23/05/2014 TDB), selecionados por a &gt; 150 UA e q &gt; 30 UA (Tabela 1). Os elementos provêm da Tabela A1 de DE LA FUENTE MARCOS e DE LA FUENTE MARCOS (2014); a anomalia média M foi derivada de M = λ − ϖ (mod 360°). Critérios de seleção e exclusão ficam registrados em campos de auditoria (selection_reason/selection_notes), evitando escolha manual que favoreça um resultado.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catálogo é um retrato fechado em 2014, não um censo atualizado: 2015 TG387 (SHEPPARD et al., 2019) não integra os 13 objetos usados. O sednoide Ammonite/2023 KQ14 (CHEN et al., 2025) entra com status “parcial” e uso qualitativo — elementos baricêntricos em época 2025-05-05, não propagados à época padrão; uso quantitativo é desautorizado nesta versão.</w:t>
      </w:r>
    </w:p>
    <w:p>
      <w:pPr>
        <w:spacing w:line="240" w:lineRule="auto" w:before="160" w:after="60"/>
        <w:jc w:val="left"/>
      </w:pPr>
      <w:r>
        <w:rPr>
          <w:rFonts w:ascii="Times New Roman" w:hAnsi="Times New Roman"/>
          <w:b w:val="0"/>
          <w:i w:val="0"/>
          <w:sz w:val="20"/>
        </w:rPr>
        <w:t>Tabela 1 — Catálogo canônico de ETNOs (n = 13; a &gt; 150 UA, q &gt; 30 UA; época 2456800,5; referencial heliocêntrico eclíptico J2000).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81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Objeto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a (UA)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e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q (UA)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i (°)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ϖ (°)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2001_FP185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220.8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0.845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34.2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30.8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186.1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Sedna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532.3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0.857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76.1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11.9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95.7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2000_CR105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229.9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0.808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44.2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22.7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85.3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2002_GB32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209.5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0.831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35.3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14.2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213.9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2003_HB57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161.1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0.764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38.1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15.5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208.5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2003_SS422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197.4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0.800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39.4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16.8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1.1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2004_VN112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333.6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0.858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47.3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25.5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33.3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2005_RH52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152.7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0.744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39.0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20.5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338.8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2007_TG422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531.9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0.933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35.6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18.6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38.8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2007_VJ305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192.4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0.817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35.2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12.0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2.9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2010_GB174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368.2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0.868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48.6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21.5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118.1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2010_VZ98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156.5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0.781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34.3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4.5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71.3</w:t>
            </w:r>
          </w:p>
        </w:tc>
      </w:tr>
      <w:tr>
        <w:tc>
          <w:tcPr>
            <w:tcW w:type="dxa" w:w="181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2012_VP113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264.9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0.696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80.5</w:t>
            </w:r>
          </w:p>
        </w:tc>
        <w:tc>
          <w:tcPr>
            <w:tcW w:type="dxa" w:w="7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24.0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24.9</w:t>
            </w:r>
          </w:p>
        </w:tc>
      </w:tr>
    </w:tbl>
    <w:p>
      <w:pPr>
        <w:spacing w:line="240" w:lineRule="auto" w:before="40" w:after="120"/>
        <w:jc w:val="both"/>
      </w:pPr>
      <w:r>
        <w:rPr>
          <w:rFonts w:ascii="Times New Roman" w:hAnsi="Times New Roman"/>
          <w:b w:val="0"/>
          <w:i w:val="0"/>
          <w:sz w:val="18"/>
        </w:rPr>
        <w:t>Fonte: catalog_validated.csv do repositório (elaboração própria a partir de DE LA FUENTE MARCOS; DE LA FUENTE MARCOS, 2014). q = a(1 − e) e ϖ = Ω + ω (mod 360°) são derivados; o Ammonite/2023 KQ14 (parcial) não integra esta tabela (ver texto).</w:t>
      </w:r>
    </w:p>
    <w:p>
      <w:pPr>
        <w:spacing w:line="480" w:lineRule="auto" w:before="80" w:after="40"/>
        <w:jc w:val="left"/>
      </w:pPr>
      <w:r>
        <w:rPr>
          <w:rFonts w:ascii="Times New Roman" w:hAnsi="Times New Roman"/>
          <w:b/>
          <w:i w:val="0"/>
          <w:sz w:val="24"/>
        </w:rPr>
        <w:t>2.3 Modelo físico e integração numérica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modelo mínimo contém o Sol, os gigantes Júpiter, Saturno, Urano e Netuno (elementos na época J2000) e os ETNOs como partículas sem massa; com include_p9 verdadeiro, o candidato P9 é adicionado como partícula massiva. Com unidades em ano, UA e massa solar e G = 4π², o período de Júpiter (a = 5,2044 UA) é P ≈ 11,8729 anos. As integrações usam REBOUND 5.1.1 (REIN; LIU, 2012) com o integrador simplético WHFast.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passo não é arbitrado: Δt = P_mín/20, em que P_mín é o período do corpo mais interno (Júpiter), resultando em Δt = 0,593644 ano, derivado em código por planet9lab.physics.recommended_timestep_years e conferido por teste automatizado. O controle pareado exige, por candidato, integrações com e sem P9 idênticas em tudo (sementes [12345] nas execuções; estabilidade entre múltiplas sementes permanece pendente). Integrações seculares usam finalização padronizada e checkpointing a cada 10⁶ anos.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Os horizontes devem ser lidos com rigor: as telas desta versão integraram 1 Myr. O orçamento secular configurado prevê 10⁸ anos (100 Myr) como ponto de partida conservador; integrações de 1 Gyr ou 4 Gyr não foram executadas neste projeto — quando a literatura menciona 4 Gyr (por exemplo, BROWN; BATYGIN, 2016), trata-se de horizonte da literatura, não de execução deste estudo.</w:t>
      </w:r>
    </w:p>
    <w:p>
      <w:pPr>
        <w:spacing w:line="480" w:lineRule="auto" w:before="80" w:after="40"/>
        <w:jc w:val="left"/>
      </w:pPr>
      <w:r>
        <w:rPr>
          <w:rFonts w:ascii="Times New Roman" w:hAnsi="Times New Roman"/>
          <w:b/>
          <w:i w:val="0"/>
          <w:sz w:val="24"/>
        </w:rPr>
        <w:t>2.4 Candidatos ao Planeta Nove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Sete candidatos do Quadro 2 do projeto varrem massa (4 a 10 massas terrestres), semi-eixo maior (300 a 800 UA), excentricidade (0,20 a 0,60) e inclinação (18° a 32°) (Tabela 2). Para linhas sem i ou M especificados, os valores foram fixados no centro do Cenário 6 (“cenário intermediário (preferido)”: M = 6 massas terrestres, a = 500 UA, e = 0,35, i = 20°), evitando um grau de liberdade extra não testado por linha.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Os ângulos ω9 = 200°, Ω9 = 270° e M0 = 180° (logo, ϖ9 = 110°) são um ponto central único e são assumidos, não medidos: o Quadro 2 não os tabula. O ajuste mais recente (BROWN; BATYGIN, 2021) favorece M ≈ 6,2 massas terrestres, a ≈ 382 UA e ϖ9 ≈ 246,7°, diferindo em cerca de 137° do ϖ9 assumido aqui; a divergência é registrada como pendência.</w:t>
      </w:r>
    </w:p>
    <w:p>
      <w:pPr>
        <w:spacing w:line="240" w:lineRule="auto" w:before="160" w:after="60"/>
        <w:jc w:val="left"/>
      </w:pPr>
      <w:r>
        <w:rPr>
          <w:rFonts w:ascii="Times New Roman" w:hAnsi="Times New Roman"/>
          <w:b w:val="0"/>
          <w:i w:val="0"/>
          <w:sz w:val="20"/>
        </w:rPr>
        <w:t>Tabela 2 — Candidatos P9 avaliados (Quadro 2 do artigo original do projeto).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15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Candidato</w:t>
            </w:r>
          </w:p>
        </w:tc>
        <w:tc>
          <w:tcPr>
            <w:tcW w:type="dxa" w:w="147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 (massas terrestres)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a (UA)</w:t>
            </w:r>
          </w:p>
        </w:tc>
        <w:tc>
          <w:tcPr>
            <w:tcW w:type="dxa" w:w="73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e</w:t>
            </w:r>
          </w:p>
        </w:tc>
        <w:tc>
          <w:tcPr>
            <w:tcW w:type="dxa" w:w="73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i (°)</w:t>
            </w:r>
          </w:p>
        </w:tc>
      </w:tr>
      <w:tr>
        <w:tc>
          <w:tcPr>
            <w:tcW w:type="dxa" w:w="215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p9_row1_lowmass_close</w:t>
            </w:r>
          </w:p>
        </w:tc>
        <w:tc>
          <w:tcPr>
            <w:tcW w:type="dxa" w:w="147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300</w:t>
            </w:r>
          </w:p>
        </w:tc>
        <w:tc>
          <w:tcPr>
            <w:tcW w:type="dxa" w:w="73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0.20</w:t>
            </w:r>
          </w:p>
        </w:tc>
        <w:tc>
          <w:tcPr>
            <w:tcW w:type="dxa" w:w="73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20</w:t>
            </w:r>
          </w:p>
        </w:tc>
      </w:tr>
      <w:tr>
        <w:tc>
          <w:tcPr>
            <w:tcW w:type="dxa" w:w="215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p9_row2_highmass_close</w:t>
            </w:r>
          </w:p>
        </w:tc>
        <w:tc>
          <w:tcPr>
            <w:tcW w:type="dxa" w:w="147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300</w:t>
            </w:r>
          </w:p>
        </w:tc>
        <w:tc>
          <w:tcPr>
            <w:tcW w:type="dxa" w:w="73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0.50</w:t>
            </w:r>
          </w:p>
        </w:tc>
        <w:tc>
          <w:tcPr>
            <w:tcW w:type="dxa" w:w="73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20</w:t>
            </w:r>
          </w:p>
        </w:tc>
      </w:tr>
      <w:tr>
        <w:tc>
          <w:tcPr>
            <w:tcW w:type="dxa" w:w="215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p9_row3_far_eccentric</w:t>
            </w:r>
          </w:p>
        </w:tc>
        <w:tc>
          <w:tcPr>
            <w:tcW w:type="dxa" w:w="147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800</w:t>
            </w:r>
          </w:p>
        </w:tc>
        <w:tc>
          <w:tcPr>
            <w:tcW w:type="dxa" w:w="73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0.60</w:t>
            </w:r>
          </w:p>
        </w:tc>
        <w:tc>
          <w:tcPr>
            <w:tcW w:type="dxa" w:w="73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20</w:t>
            </w:r>
          </w:p>
        </w:tc>
      </w:tr>
      <w:tr>
        <w:tc>
          <w:tcPr>
            <w:tcW w:type="dxa" w:w="215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p9_row4_incl_boundary</w:t>
            </w:r>
          </w:p>
        </w:tc>
        <w:tc>
          <w:tcPr>
            <w:tcW w:type="dxa" w:w="147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500</w:t>
            </w:r>
          </w:p>
        </w:tc>
        <w:tc>
          <w:tcPr>
            <w:tcW w:type="dxa" w:w="73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0.35</w:t>
            </w:r>
          </w:p>
        </w:tc>
        <w:tc>
          <w:tcPr>
            <w:tcW w:type="dxa" w:w="73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32</w:t>
            </w:r>
          </w:p>
        </w:tc>
      </w:tr>
      <w:tr>
        <w:tc>
          <w:tcPr>
            <w:tcW w:type="dxa" w:w="215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p9_row5_partial_alignment</w:t>
            </w:r>
          </w:p>
        </w:tc>
        <w:tc>
          <w:tcPr>
            <w:tcW w:type="dxa" w:w="147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400</w:t>
            </w:r>
          </w:p>
        </w:tc>
        <w:tc>
          <w:tcPr>
            <w:tcW w:type="dxa" w:w="73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0.30</w:t>
            </w:r>
          </w:p>
        </w:tc>
        <w:tc>
          <w:tcPr>
            <w:tcW w:type="dxa" w:w="73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20</w:t>
            </w:r>
          </w:p>
        </w:tc>
      </w:tr>
      <w:tr>
        <w:tc>
          <w:tcPr>
            <w:tcW w:type="dxa" w:w="215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p9_row6_preferred</w:t>
            </w:r>
          </w:p>
        </w:tc>
        <w:tc>
          <w:tcPr>
            <w:tcW w:type="dxa" w:w="147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500</w:t>
            </w:r>
          </w:p>
        </w:tc>
        <w:tc>
          <w:tcPr>
            <w:tcW w:type="dxa" w:w="73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0.35</w:t>
            </w:r>
          </w:p>
        </w:tc>
        <w:tc>
          <w:tcPr>
            <w:tcW w:type="dxa" w:w="73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20</w:t>
            </w:r>
          </w:p>
        </w:tc>
      </w:tr>
      <w:tr>
        <w:tc>
          <w:tcPr>
            <w:tcW w:type="dxa" w:w="215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p9_row7_highmass_viable</w:t>
            </w:r>
          </w:p>
        </w:tc>
        <w:tc>
          <w:tcPr>
            <w:tcW w:type="dxa" w:w="147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600</w:t>
            </w:r>
          </w:p>
        </w:tc>
        <w:tc>
          <w:tcPr>
            <w:tcW w:type="dxa" w:w="73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0.45</w:t>
            </w:r>
          </w:p>
        </w:tc>
        <w:tc>
          <w:tcPr>
            <w:tcW w:type="dxa" w:w="73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18</w:t>
            </w:r>
          </w:p>
        </w:tc>
      </w:tr>
    </w:tbl>
    <w:p>
      <w:pPr>
        <w:spacing w:line="240" w:lineRule="auto" w:before="40" w:after="120"/>
        <w:jc w:val="both"/>
      </w:pPr>
      <w:r>
        <w:rPr>
          <w:rFonts w:ascii="Times New Roman" w:hAnsi="Times New Roman"/>
          <w:b w:val="0"/>
          <w:i w:val="0"/>
          <w:sz w:val="18"/>
        </w:rPr>
        <w:t>Fonte: dados/candidates_quadro2.csv (elaboração própria). Todos os candidatos usam ω9 = 200°, Ω9 = 270°, M0 = 180° (assumidos; não medidos).</w:t>
      </w:r>
    </w:p>
    <w:p>
      <w:pPr>
        <w:spacing w:line="480" w:lineRule="auto" w:before="80" w:after="40"/>
        <w:jc w:val="left"/>
      </w:pPr>
      <w:r>
        <w:rPr>
          <w:rFonts w:ascii="Times New Roman" w:hAnsi="Times New Roman"/>
          <w:b/>
          <w:i w:val="0"/>
          <w:sz w:val="24"/>
        </w:rPr>
        <w:t>2.5 Métricas dinâmicas e scoring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Para cada ramo (com/sem P9) o pipeline registra: taxa de sobrevivência dos ETNOs; derivas relativas máximas de energia e de momento angular (|ΔE/E0|, |ΔL/L0|); o comprimento R do vetor resultante do agrupamento apsidal, estatística circular (R = 0 uniforme; R = 1 alinhamento perfeito); e o alinhamento angular médio, 1 − (distância angular média à direção anti-alinhada com P9, ϖ9 + 180°)/180° (não circular). O score dinâmico é a média ponderada dessas componentes (Tabela 3); o indicador central é Δscore = score(com P9) − score(sem P9).</w:t>
      </w:r>
    </w:p>
    <w:p>
      <w:pPr>
        <w:spacing w:line="240" w:lineRule="auto" w:before="160" w:after="60"/>
        <w:jc w:val="left"/>
      </w:pPr>
      <w:r>
        <w:rPr>
          <w:rFonts w:ascii="Times New Roman" w:hAnsi="Times New Roman"/>
          <w:b w:val="0"/>
          <w:i w:val="0"/>
          <w:sz w:val="20"/>
        </w:rPr>
        <w:t>Tabela 3 — Componentes e pesos do score dinâmico (configuração default).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494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Componente</w:t>
            </w:r>
          </w:p>
        </w:tc>
        <w:tc>
          <w:tcPr>
            <w:tcW w:type="dxa" w:w="85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Peso</w:t>
            </w:r>
          </w:p>
        </w:tc>
        <w:tc>
          <w:tcPr>
            <w:tcW w:type="dxa" w:w="3628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Função no score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Agrupamento apsidal (R)</w:t>
            </w:r>
          </w:p>
        </w:tc>
        <w:tc>
          <w:tcPr>
            <w:tcW w:type="dxa" w:w="85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0,20</w:t>
            </w:r>
          </w:p>
        </w:tc>
        <w:tc>
          <w:tcPr>
            <w:tcW w:type="dxa" w:w="362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Premia maior concentração de ϖ com P9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Alinhamento angular médio</w:t>
            </w:r>
          </w:p>
        </w:tc>
        <w:tc>
          <w:tcPr>
            <w:tcW w:type="dxa" w:w="85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0,25</w:t>
            </w:r>
          </w:p>
        </w:tc>
        <w:tc>
          <w:tcPr>
            <w:tcW w:type="dxa" w:w="362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Premia ETNOs anti-alinhados a P9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Taxa de sobrevivência</w:t>
            </w:r>
          </w:p>
        </w:tc>
        <w:tc>
          <w:tcPr>
            <w:tcW w:type="dxa" w:w="85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0,20</w:t>
            </w:r>
          </w:p>
        </w:tc>
        <w:tc>
          <w:tcPr>
            <w:tcW w:type="dxa" w:w="362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Premia retenção dos ETNOs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Estabilidade</w:t>
            </w:r>
          </w:p>
        </w:tc>
        <w:tc>
          <w:tcPr>
            <w:tcW w:type="dxa" w:w="85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0,20</w:t>
            </w:r>
          </w:p>
        </w:tc>
        <w:tc>
          <w:tcPr>
            <w:tcW w:type="dxa" w:w="362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Penaliza deriva |ΔE/E0| acima de 10⁻³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Saúde numérica</w:t>
            </w:r>
          </w:p>
        </w:tc>
        <w:tc>
          <w:tcPr>
            <w:tcW w:type="dxa" w:w="85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0,15</w:t>
            </w:r>
          </w:p>
        </w:tc>
        <w:tc>
          <w:tcPr>
            <w:tcW w:type="dxa" w:w="362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Penaliza deriva acima de 10⁻⁴</w:t>
            </w:r>
          </w:p>
        </w:tc>
      </w:tr>
    </w:tbl>
    <w:p>
      <w:pPr>
        <w:spacing w:line="240" w:lineRule="auto" w:before="40" w:after="120"/>
        <w:jc w:val="both"/>
      </w:pPr>
      <w:r>
        <w:rPr>
          <w:rFonts w:ascii="Times New Roman" w:hAnsi="Times New Roman"/>
          <w:b w:val="0"/>
          <w:i w:val="0"/>
          <w:sz w:val="18"/>
        </w:rPr>
        <w:t>Fonte: configs/scoring/default_weights.yaml e planet9lab/metrics.py (elaboração própria). Limiares operacionais: Δscore mínimo de interesse 0,08; Δscore abaixo de 0,05 considerado ruim; sobrevivência mínima 0,80.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Blockers científicos registrados em audit/blockers.json podem limitar o nível de evidência sem invalidar a execução: a ausência de modelo de viés observacional (no_observational_bias_model) limita a evidência máxima a “fraco”; candidatos com i ≥ 80° recebem aviso de regime (Kozai–Lidov não validado); e, quando modelos nulos não são superados, permanece ativo o blocker null_model_not_exceeded.</w:t>
      </w:r>
    </w:p>
    <w:p>
      <w:pPr>
        <w:spacing w:line="480" w:lineRule="auto" w:before="80" w:after="40"/>
        <w:jc w:val="left"/>
      </w:pPr>
      <w:r>
        <w:rPr>
          <w:rFonts w:ascii="Times New Roman" w:hAnsi="Times New Roman"/>
          <w:b/>
          <w:i w:val="0"/>
          <w:sz w:val="24"/>
        </w:rPr>
        <w:t>2.6 Funil de triagem quasi-Monte Carlo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funil amostra o espaço de parâmetros [M, a, e, i] por quasi-Monte Carlo (sequência determinística de Halton), N = 20.000 pontos e semente 20260727, nos limites M ∈ [5, 20] massas terrestres, a ∈ [380, 980] UA, e ∈ [0,1; 0,8] e i ∈ [0°, 40°]. Esses limites são escolha metodológica documentada, fundamentada na faixa de 2016 (BROWN; BATYGIN, 2016) e em estudos de ressonâncias e inclinações mais baixas (MALHOTRA et al., 2016; MILLHOLLAND; LAUGHLIN, 2017); não se afirma que o P9 real esteja necessariamente nessa faixa. A faixa preferida de periélio 150–350 UA da literatura é coluna diagnóstica, não filtro físico.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funil tem cinco estágios: 0, limites físicos analíticos (todos os pontos); 1, separação de Hill em relação a Netuno (todos); 2, estabilidade N-corpos de 1 Myr, limitada por amostragem (max_stage2_samples = 200); 3, alinhamento apsidal secular contra o catálogo real (max_stage3_samples); e 4 (Hamiltoniano secular) e 5 (detectabilidade fotométrica), não implementados. Pontos excedentes às cotas ficam como not_evaluated_capacity_limit, nunca descartados. A execução autorizada usou max_stage3_samples reduzido de 60 para 2 por restrição de tempo de computo (Seção 3.2).</w:t>
      </w:r>
    </w:p>
    <w:p>
      <w:pPr>
        <w:spacing w:line="480" w:lineRule="auto" w:before="80" w:after="40"/>
        <w:jc w:val="left"/>
      </w:pPr>
      <w:r>
        <w:rPr>
          <w:rFonts w:ascii="Times New Roman" w:hAnsi="Times New Roman"/>
          <w:b/>
          <w:i w:val="0"/>
          <w:sz w:val="24"/>
        </w:rPr>
        <w:t>2.7 Robustez e diagnósticos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Fora do funil há comandos de robustez: leave-one-out, convergência sob refinamento de passo (dt, dt/2, dt/4), validação cruzada com IAS15 e modelos nulos reais por integração REBOUND (shuffle_varpi, randomize_angles, no_p9_catalog_baseline), além do MEGNO (experimental, não calibrado) e dos testes formais de Rayleigh e Kuiper (somente leitura; não substituem o critério ad hoc do funil).</w:t>
      </w:r>
    </w:p>
    <w:p>
      <w:pPr>
        <w:spacing w:line="480" w:lineRule="auto" w:before="80" w:after="40"/>
        <w:jc w:val="left"/>
      </w:pPr>
      <w:r>
        <w:rPr>
          <w:rFonts w:ascii="Times New Roman" w:hAnsi="Times New Roman"/>
          <w:b/>
          <w:i w:val="0"/>
          <w:sz w:val="24"/>
        </w:rPr>
        <w:t>2.8 Execuções e ambiente computacional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As execuções da Seção 3 foram realizadas em etapas anteriores do projeto, com REBOUND real, e estão nomeadas na documentação: telas experiment_angle_robustness e experiment_i_boundary_scan (1 Myr) e varredura de funil montecarlo_20260816T001216569981Z (PLANET9 SCREENING LAB, 2026). Os artefatos brutos (runs/) não acompanham o pacote distribuído, que os regenera por comando (python main.py screen). A suíte registra 140 testes aprovados (pytest) e lint limpo (ruff). O custo computacional foi calibrado apenas no sandbox de desenvolvimento (2 núcleos, Intel Xeon 2,50 GHz; results/hardware_benchmark.json); a projeção single-core de cerca de 14,6 horas por par de controle em 4×10⁹ anos é projeção de custo, não um resultado dinâmico, e o benchmark no hardware real permanece pendente.</w:t>
      </w:r>
    </w:p>
    <w:p>
      <w:pPr>
        <w:spacing w:line="480" w:lineRule="auto" w:before="160" w:after="60"/>
        <w:jc w:val="left"/>
      </w:pPr>
      <w:r>
        <w:rPr>
          <w:rFonts w:ascii="Times New Roman" w:hAnsi="Times New Roman"/>
          <w:b/>
          <w:i w:val="0"/>
          <w:sz w:val="24"/>
        </w:rPr>
        <w:t>3 RESULTADOS E DISCUSSÃO</w:t>
      </w:r>
    </w:p>
    <w:p>
      <w:pPr>
        <w:spacing w:line="480" w:lineRule="auto" w:before="80" w:after="40"/>
        <w:jc w:val="left"/>
      </w:pPr>
      <w:r>
        <w:rPr>
          <w:rFonts w:ascii="Times New Roman" w:hAnsi="Times New Roman"/>
          <w:b/>
          <w:i w:val="0"/>
          <w:sz w:val="24"/>
        </w:rPr>
        <w:t>3.1 Estrutura angular do catálogo canônico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Figura 1 mostra a distribuição das longitudes do periélio dos 13 ETNOs canônicos: o vetor resultante tem R = 0,365 na direção média ≈ 57°. Apesar da concentração visual, o teste de Rayleigh (Z = 1,73) fornece p = 0,178, e o teste de Kuiper fornece V* = 1,46 (p = 1,0); portanto, para α = 0,05, a hipótese de distribuição uniforme de ϖ não é rejeitada (Tabela 4). Incluir o sednoide Ammonite/2023 KQ14 (status parcial) reduz R para 0,283 (p = 0,333), consistente com sua órbita desalinhada ao agrupamento (CHEN et al., 2025).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34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varp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 w:before="80" w:after="160"/>
        <w:jc w:val="center"/>
      </w:pPr>
      <w:r>
        <w:rPr>
          <w:rFonts w:ascii="Times New Roman" w:hAnsi="Times New Roman"/>
          <w:b w:val="0"/>
          <w:i w:val="0"/>
          <w:sz w:val="20"/>
        </w:rPr>
        <w:t>Figura 1 — Distribuição polar das longitudes do periélio (ϖ) dos 13 ETNOs do catálogo canônico (pontos azuis) e vetor resultante (seta vermelha, R = 0,365 na direção ≈ 57°). Fonte: elaboração própria a partir de catalog_validated.csv.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Esses números são derivados do catálogo pelo código do próprio projeto e não podem ser lidos como evidência de ausência de agrupamento: com n = 13, o poder é baixo. Seriam necessários cerca de 39 ETNOs para detectar concentração ρ = 0,5 com 80% de poder (α = 0,05); cerca de 107 para ρ = 0,3 e 20 para ρ = 0,7 — todos acima da amostra atual. Isso é coerente com SHANKMAN et al. (2017) e NAPIER et al. (2021) e não resolve a divergência com BROWN e BATYGIN (2021).</w:t>
      </w:r>
    </w:p>
    <w:p>
      <w:pPr>
        <w:spacing w:line="240" w:lineRule="auto" w:before="160" w:after="60"/>
        <w:jc w:val="left"/>
      </w:pPr>
      <w:r>
        <w:rPr>
          <w:rFonts w:ascii="Times New Roman" w:hAnsi="Times New Roman"/>
          <w:b w:val="0"/>
          <w:i w:val="0"/>
          <w:sz w:val="20"/>
        </w:rPr>
        <w:t>Tabela 4 — Diagnósticos circulares do catálogo (elaboração própria, derivados do catálogo; α = 0,05).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928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Amostra</w:t>
            </w:r>
          </w:p>
        </w:tc>
        <w:tc>
          <w:tcPr>
            <w:tcW w:type="dxa" w:w="56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n</w:t>
            </w:r>
          </w:p>
        </w:tc>
        <w:tc>
          <w:tcPr>
            <w:tcW w:type="dxa" w:w="73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</w:t>
            </w:r>
          </w:p>
        </w:tc>
        <w:tc>
          <w:tcPr>
            <w:tcW w:type="dxa" w:w="73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Z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 (Rayleigh)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V* (Kuiper)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 (Kuiper)</w:t>
            </w:r>
          </w:p>
        </w:tc>
      </w:tr>
      <w:tr>
        <w:tc>
          <w:tcPr>
            <w:tcW w:type="dxa" w:w="192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13 ETNOs validados</w:t>
            </w:r>
          </w:p>
        </w:tc>
        <w:tc>
          <w:tcPr>
            <w:tcW w:type="dxa" w:w="56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13</w:t>
            </w:r>
          </w:p>
        </w:tc>
        <w:tc>
          <w:tcPr>
            <w:tcW w:type="dxa" w:w="73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0,365</w:t>
            </w:r>
          </w:p>
        </w:tc>
        <w:tc>
          <w:tcPr>
            <w:tcW w:type="dxa" w:w="73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1,73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0,178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1,46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1,0</w:t>
            </w:r>
          </w:p>
        </w:tc>
      </w:tr>
      <w:tr>
        <w:tc>
          <w:tcPr>
            <w:tcW w:type="dxa" w:w="192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+ Ammonite (parcial)</w:t>
            </w:r>
          </w:p>
        </w:tc>
        <w:tc>
          <w:tcPr>
            <w:tcW w:type="dxa" w:w="56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14</w:t>
            </w:r>
          </w:p>
        </w:tc>
        <w:tc>
          <w:tcPr>
            <w:tcW w:type="dxa" w:w="73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0,283</w:t>
            </w:r>
          </w:p>
        </w:tc>
        <w:tc>
          <w:tcPr>
            <w:tcW w:type="dxa" w:w="73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1,12</w:t>
            </w:r>
          </w:p>
        </w:tc>
        <w:tc>
          <w:tcPr>
            <w:tcW w:type="dxa" w:w="107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0,333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1,30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1,0</w:t>
            </w:r>
          </w:p>
        </w:tc>
      </w:tr>
    </w:tbl>
    <w:p>
      <w:pPr>
        <w:spacing w:line="240" w:lineRule="auto" w:before="40" w:after="120"/>
        <w:jc w:val="both"/>
      </w:pPr>
      <w:r>
        <w:rPr>
          <w:rFonts w:ascii="Times New Roman" w:hAnsi="Times New Roman"/>
          <w:b w:val="0"/>
          <w:i w:val="0"/>
          <w:sz w:val="18"/>
        </w:rPr>
        <w:t>Fonte: catalog_validated.csv e planet9lab (elaboração própria). Nenhuma amostra rejeita uniformidade em α = 0,05.</w:t>
      </w:r>
    </w:p>
    <w:p>
      <w:pPr>
        <w:spacing w:line="480" w:lineRule="auto" w:before="80" w:after="40"/>
        <w:jc w:val="left"/>
      </w:pPr>
      <w:r>
        <w:rPr>
          <w:rFonts w:ascii="Times New Roman" w:hAnsi="Times New Roman"/>
          <w:b/>
          <w:i w:val="0"/>
          <w:sz w:val="24"/>
        </w:rPr>
        <w:t>3.2 Funil de triagem quasi-Monte Carlo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varredura registrada aprovou 20.000 pontos nas etapas 0 (limites físicos) e 1 (separação de Hill); na etapa 2 (estabilidade N-corpos de 1 Myr) avaliou 200 pontos por cota amostral (1,0% do total, todos aprovados); e na etapa 3 (alinhamento apsidal secular de 10⁸ anos) avaliou 2 pontos (0,01% do total, ambos aprovados) (Tabela 5). Os estágios 4 e 5 não estão implementados.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Essas porcentagens (1,0% e 0,01%) refletem limites de capacidade amostral, não eliminação física. Estimar a taxa “física” de sobrevivência do espaço de parâmetros exigiria a amostra completa do estágio 3 (60 ramos), não executada por restrição de tempo; o poder com a amostra reduzida não foi recalculado. O resultado não sustenta afirmação sobre a fração de parâmetros viáveis de P9.</w:t>
      </w:r>
    </w:p>
    <w:p>
      <w:pPr>
        <w:spacing w:line="240" w:lineRule="auto" w:before="160" w:after="60"/>
        <w:jc w:val="left"/>
      </w:pPr>
      <w:r>
        <w:rPr>
          <w:rFonts w:ascii="Times New Roman" w:hAnsi="Times New Roman"/>
          <w:b w:val="0"/>
          <w:i w:val="0"/>
          <w:sz w:val="20"/>
        </w:rPr>
        <w:t>Tabela 5 — Funil de triagem quasi-Monte Carlo (execução registrada; N = 20.000 pontos).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Estágio</w:t>
            </w:r>
          </w:p>
        </w:tc>
        <w:tc>
          <w:tcPr>
            <w:tcW w:type="dxa" w:w="2778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Critério</w:t>
            </w:r>
          </w:p>
        </w:tc>
        <w:tc>
          <w:tcPr>
            <w:tcW w:type="dxa" w:w="136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Avaliados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Aprovados</w:t>
            </w:r>
          </w:p>
        </w:tc>
        <w:tc>
          <w:tcPr>
            <w:tcW w:type="dxa" w:w="175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Frequência no total</w:t>
            </w:r>
          </w:p>
        </w:tc>
      </w:tr>
      <w:tr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277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Limites físicos</w:t>
            </w:r>
          </w:p>
        </w:tc>
        <w:tc>
          <w:tcPr>
            <w:tcW w:type="dxa" w:w="136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20.000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20.000</w:t>
            </w:r>
          </w:p>
        </w:tc>
        <w:tc>
          <w:tcPr>
            <w:tcW w:type="dxa" w:w="175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100%</w:t>
            </w:r>
          </w:p>
        </w:tc>
      </w:tr>
      <w:tr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77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Separação de Hill (Netuno)</w:t>
            </w:r>
          </w:p>
        </w:tc>
        <w:tc>
          <w:tcPr>
            <w:tcW w:type="dxa" w:w="136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20.000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20.000</w:t>
            </w:r>
          </w:p>
        </w:tc>
        <w:tc>
          <w:tcPr>
            <w:tcW w:type="dxa" w:w="175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100%</w:t>
            </w:r>
          </w:p>
        </w:tc>
      </w:tr>
      <w:tr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77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Estabilidade N-corpos (1 Myr)</w:t>
            </w:r>
          </w:p>
        </w:tc>
        <w:tc>
          <w:tcPr>
            <w:tcW w:type="dxa" w:w="136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200 (cota)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200</w:t>
            </w:r>
          </w:p>
        </w:tc>
        <w:tc>
          <w:tcPr>
            <w:tcW w:type="dxa" w:w="175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1,0% (avaliados)</w:t>
            </w:r>
          </w:p>
        </w:tc>
      </w:tr>
      <w:tr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77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Alinhamento secular (10⁸ anos)</w:t>
            </w:r>
          </w:p>
        </w:tc>
        <w:tc>
          <w:tcPr>
            <w:tcW w:type="dxa" w:w="136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 (cota)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175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0,01% (avaliados)</w:t>
            </w:r>
          </w:p>
        </w:tc>
      </w:tr>
      <w:tr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4 e 5</w:t>
            </w:r>
          </w:p>
        </w:tc>
        <w:tc>
          <w:tcPr>
            <w:tcW w:type="dxa" w:w="2778"/>
          </w:tcPr>
          <w:p>
            <w:pPr>
              <w:spacing w:line="240" w:lineRule="auto" w:before="20" w:after="2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Hamiltoniano secular / detectabilidade</w:t>
            </w:r>
          </w:p>
        </w:tc>
        <w:tc>
          <w:tcPr>
            <w:tcW w:type="dxa" w:w="1361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type="dxa" w:w="90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type="dxa" w:w="1757"/>
          </w:tcPr>
          <w:p>
            <w:pPr>
              <w:spacing w:line="240" w:lineRule="auto"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não implementado</w:t>
            </w:r>
          </w:p>
        </w:tc>
      </w:tr>
    </w:tbl>
    <w:p>
      <w:pPr>
        <w:spacing w:line="240" w:lineRule="auto" w:before="40" w:after="120"/>
        <w:jc w:val="both"/>
      </w:pPr>
      <w:r>
        <w:rPr>
          <w:rFonts w:ascii="Times New Roman" w:hAnsi="Times New Roman"/>
          <w:b w:val="0"/>
          <w:i w:val="0"/>
          <w:sz w:val="18"/>
        </w:rPr>
        <w:t>Fonte: execução montecarlo_20260816T001216569981Z registrada na documentação do repositório (elaboração própria). Porcentagens finais refletem cotas amostrais, não eliminação física.</w:t>
      </w:r>
    </w:p>
    <w:p>
      <w:pPr>
        <w:spacing w:line="480" w:lineRule="auto" w:before="80" w:after="40"/>
        <w:jc w:val="left"/>
      </w:pPr>
      <w:r>
        <w:rPr>
          <w:rFonts w:ascii="Times New Roman" w:hAnsi="Times New Roman"/>
          <w:b/>
          <w:i w:val="0"/>
          <w:sz w:val="24"/>
        </w:rPr>
        <w:t>3.3 Telas exploratórias de 1 Myr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Duas telas de sensibilidade foram executadas em horizonte de 1 Myr com o catálogo canônico: rotação do ângulo ω9 do candidato preferido (row6: 0°, 90°, 180°, 200°, 270°) e varredura de inclinação ao redor do limite i &gt; 30° (row4: 31° a 35°), com Ω9 = 270° e M0 = 180°. Todas as variantes foram “candidatos de interesse” pelo critério default (ad hoc ponderado). Isso não significa significância: no teste formal de Rayleigh nenhum é estatisticamente significativo (p entre 0,16 e 0,18; n = 13) e, nos modelos nulos reais, nenhum superou consistentemente os três nulos (blocker null_model_not_exceeded ativo).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robustez angular é limitada: apenas o candidato preferido row6 tem evidência de robustez a ω9 (5 valores, todos candidatos de interesse); as outras seis linhas do Quadro 2 não têm essa evidência. Nenhuma execução avança da triagem exploratória para um segundo estágio de confirmação: os resultados são compatíveis com H1 apenas no sentido fraco de “não excluem candidatos de interesse” — um resultado negativo honesto.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Diagnósticos auxiliares corroboram a leitura: derivas relativas de energia e momento angular ficaram abaixo dos divisores 10⁻³ e 10⁻⁴ usados no scoring, sem falhas numéricas nas telas de 1 Myr — saúde numérica no horizonte executado, não prova de estabilidade secular. O MEGNO, experimental e isolado do funil, respondeu à semente em orçamento curto (⟨Y⟩ = 1,7746 na semente 42 e 2,0930 na 43; sistema regular ≈ 2,0), mas, não calibrado, não é usado como argumento de estabilidade em Gyr.</w:t>
      </w:r>
    </w:p>
    <w:p>
      <w:pPr>
        <w:spacing w:line="480" w:lineRule="auto" w:before="80" w:after="40"/>
        <w:jc w:val="left"/>
      </w:pPr>
      <w:r>
        <w:rPr>
          <w:rFonts w:ascii="Times New Roman" w:hAnsi="Times New Roman"/>
          <w:b/>
          <w:i w:val="0"/>
          <w:sz w:val="24"/>
        </w:rPr>
        <w:t>3.4 Discussão integrada e limitações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Em conjunto, os resultados sustentam leitura conservadora: o pipeline opera de forma reprodutível e auditável (140 testes aprovados; controle pareado), mas a evidência dinâmica é fraca e exploratória — agrupamento não significativo, funil com amostra secular mínima, telas de 1 Myr que não superam modelos nulos e nenhum candidato robusto para avançar a um segundo estágio. As limitações estruturais: ausência de modelo de viés observacional (limita a evidência máxima a “fraco”), catálogo pequeno fechado em 2014, ângulos assumidos divergentes do ajuste de BROWN e BATYGIN (2021), semente única e estágios 4–5 do funil não implementados.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literatura recente reforça as ressalvas: 2015 TG387 (SHEPPARD et al., 2019), 2023 KQ14 (CHEN et al., 2025) e 2017 OF201 (CHENG et al., 2025) apoiam ou desafiam o agrupamento, e a controvérsia sobre viés observacional segue em aberto (SHANKMAN et al., 2017; NAPIER et al., 2021; BROWN; BATYGIN, 2021). Não há evidência dinâmica que confirme a existência do Planeta Nove nem determine sua órbita.</w:t>
      </w:r>
    </w:p>
    <w:p>
      <w:pPr>
        <w:pageBreakBefore/>
        <w:spacing w:line="480" w:lineRule="auto" w:before="160" w:after="60"/>
        <w:jc w:val="left"/>
      </w:pPr>
      <w:r>
        <w:rPr>
          <w:rFonts w:ascii="Times New Roman" w:hAnsi="Times New Roman"/>
          <w:b/>
          <w:i w:val="0"/>
          <w:sz w:val="24"/>
        </w:rPr>
        <w:t>4 CONSIDERAÇÕES FINAIS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 que o projeto testou foi a arquitetura de triagem: catálogo auditável, modelo físico mínimo reproduzível, funil quasi-Monte Carlo com controle pareado, telas de 1 Myr e diagnósticos formais, executados com REBOUND real e proveniência registrada. Os resultados robustos dentro do protocolo: (a) o catálogo de 13 ETNOs não apresenta agrupamento apsidal significativo (p = 0,178); e (b) nenhum candidato superou consistentemente os modelos nulos nem alcançou significância formal.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Também é explícito o que não foi demonstrado: não se confirmou a existência do Planeta Nove nem se determinou sua órbita real; não se validou estabilidade em Gyr (telas de 1 Myr); não se implementou modelo de viés observacional; e nenhum candidato avançou a segundo estágio. À pergunta central — “o projeto encontrou o Planeta Nove?” — a resposta é não: a evidência disponível não permite confirmar a existência do Planeta Nove.</w:t>
      </w:r>
    </w:p>
    <w:p>
      <w:pPr>
        <w:spacing w:line="48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 contribuição é metodológica: um arcabouço aberto, reprodutível e auditável de triagem dinâmica, com política de conclusão que impede afirmações mais fortes do que a evidência. Como próximos passos: (i) medir o custo no hardware real; (ii) executar as telas seculares completas (10⁸ anos) dos sete candidatos, com ângulos reavaliados frente a BROWN e BATYGIN (2021); (iii) elevar a amostra do estágio 3 e recalcular o poder; e (iv) implementar modelo de viés observacional e testar múltiplas sementes. Somente então a triagem exploratória poderia tornar-se análise confirmatória.</w:t>
      </w:r>
    </w:p>
    <w:p>
      <w:pPr>
        <w:pageBreakBefore/>
        <w:spacing w:line="480" w:lineRule="auto" w:before="0" w:after="160"/>
        <w:jc w:val="center"/>
      </w:pPr>
      <w:r>
        <w:rPr>
          <w:rFonts w:ascii="Times New Roman" w:hAnsi="Times New Roman"/>
          <w:b/>
          <w:i w:val="0"/>
          <w:sz w:val="24"/>
        </w:rPr>
        <w:t>REFERÊNCIAS</w:t>
      </w:r>
    </w:p>
    <w:p>
      <w:pPr>
        <w:spacing w:line="240" w:lineRule="auto" w:before="0" w:after="120"/>
        <w:ind w:left="709" w:hanging="709"/>
        <w:jc w:val="both"/>
      </w:pPr>
      <w:r>
        <w:rPr>
          <w:rFonts w:ascii="Times New Roman" w:hAnsi="Times New Roman"/>
          <w:sz w:val="22"/>
        </w:rPr>
        <w:t>BATYGIN, K.; BROWN, M. E. Evidence for a distant giant planet in the Solar System. The Astronomical Journal, v. 151, n. 2, p. 22, 2016. DOI: 10.3847/0004-6256/151/2/22.</w:t>
      </w:r>
    </w:p>
    <w:p>
      <w:pPr>
        <w:spacing w:line="240" w:lineRule="auto" w:before="0" w:after="120"/>
        <w:ind w:left="709" w:hanging="709"/>
        <w:jc w:val="both"/>
      </w:pPr>
      <w:r>
        <w:rPr>
          <w:rFonts w:ascii="Times New Roman" w:hAnsi="Times New Roman"/>
          <w:sz w:val="22"/>
        </w:rPr>
        <w:t>BROWN, M. E.; BATYGIN, K. Observational constraints on the orbit and location of Planet Nine in the outer Solar System. The Astrophysical Journal Letters, v. 824, n. 2, p. L23, 2016. DOI: 10.3847/2041-8205/824/2/L23.</w:t>
      </w:r>
    </w:p>
    <w:p>
      <w:pPr>
        <w:spacing w:line="240" w:lineRule="auto" w:before="0" w:after="120"/>
        <w:ind w:left="709" w:hanging="709"/>
        <w:jc w:val="both"/>
      </w:pPr>
      <w:r>
        <w:rPr>
          <w:rFonts w:ascii="Times New Roman" w:hAnsi="Times New Roman"/>
          <w:sz w:val="22"/>
        </w:rPr>
        <w:t>BROWN, M. E.; BATYGIN, K. Orbital clustering in the distant Solar System. The Astronomical Journal, v. 157, n. 2, p. 62, 2019. DOI: 10.3847/1538-3881/aaf051.</w:t>
      </w:r>
    </w:p>
    <w:p>
      <w:pPr>
        <w:spacing w:line="240" w:lineRule="auto" w:before="0" w:after="120"/>
        <w:ind w:left="709" w:hanging="709"/>
        <w:jc w:val="both"/>
      </w:pPr>
      <w:r>
        <w:rPr>
          <w:rFonts w:ascii="Times New Roman" w:hAnsi="Times New Roman"/>
          <w:sz w:val="22"/>
        </w:rPr>
        <w:t>BROWN, M. E.; BATYGIN, K. The orbit of Planet Nine. The Astronomical Journal, v. 162, n. 5, p. 219, 2021. DOI: 10.3847/1538-3881/ac2056.</w:t>
      </w:r>
    </w:p>
    <w:p>
      <w:pPr>
        <w:spacing w:line="240" w:lineRule="auto" w:before="0" w:after="120"/>
        <w:ind w:left="709" w:hanging="709"/>
        <w:jc w:val="both"/>
      </w:pPr>
      <w:r>
        <w:rPr>
          <w:rFonts w:ascii="Times New Roman" w:hAnsi="Times New Roman"/>
          <w:sz w:val="22"/>
        </w:rPr>
        <w:t>CHEN, Y.-T. et al. Discovery and dynamics of a Sedna-like object with a perihelion of 66 au. Nature Astronomy, v. 9, n. 9, p. 1309-1316, 2025. DOI: 10.1038/s41550-025-02595-7.</w:t>
      </w:r>
    </w:p>
    <w:p>
      <w:pPr>
        <w:spacing w:line="240" w:lineRule="auto" w:before="0" w:after="120"/>
        <w:ind w:left="709" w:hanging="709"/>
        <w:jc w:val="both"/>
      </w:pPr>
      <w:r>
        <w:rPr>
          <w:rFonts w:ascii="Times New Roman" w:hAnsi="Times New Roman"/>
          <w:sz w:val="22"/>
        </w:rPr>
        <w:t>CHENG, S.; LI, J.; YANG, E. Discovery of a dwarf planet candidate in an extremely wide orbit: 2017 OF201. arXiv:2505.15806, 2025. Disponível em: https://arxiv.org/abs/2505.15806. Acesso em: 3 set. 2026.</w:t>
      </w:r>
    </w:p>
    <w:p>
      <w:pPr>
        <w:spacing w:line="240" w:lineRule="auto" w:before="0" w:after="120"/>
        <w:ind w:left="709" w:hanging="709"/>
        <w:jc w:val="both"/>
      </w:pPr>
      <w:r>
        <w:rPr>
          <w:rFonts w:ascii="Times New Roman" w:hAnsi="Times New Roman"/>
          <w:sz w:val="22"/>
        </w:rPr>
        <w:t>DE LA FUENTE MARCOS, C.; DE LA FUENTE MARCOS, R. Extreme trans-Neptunian objects and the Kozai mechanism: signalling the presence of trans-Plutonian planets. Monthly Notices of the Royal Astronomical Society: Letters, v. 443, n. 1, p. L59-L63, 2014. DOI: 10.1093/mnrasl/slu084.</w:t>
      </w:r>
    </w:p>
    <w:p>
      <w:pPr>
        <w:spacing w:line="240" w:lineRule="auto" w:before="0" w:after="120"/>
        <w:ind w:left="709" w:hanging="709"/>
        <w:jc w:val="both"/>
      </w:pPr>
      <w:r>
        <w:rPr>
          <w:rFonts w:ascii="Times New Roman" w:hAnsi="Times New Roman"/>
          <w:sz w:val="22"/>
        </w:rPr>
        <w:t>MALHOTRA, R.; VOLK, K.; WANG, X. Corralling a distant planet with extreme resonant Kuiper belt objects. The Astrophysical Journal Letters, v. 824, n. 2, p. L22, 2016. DOI: 10.3847/2041-8205/824/2/L22.</w:t>
      </w:r>
    </w:p>
    <w:p>
      <w:pPr>
        <w:spacing w:line="240" w:lineRule="auto" w:before="0" w:after="120"/>
        <w:ind w:left="709" w:hanging="709"/>
        <w:jc w:val="both"/>
      </w:pPr>
      <w:r>
        <w:rPr>
          <w:rFonts w:ascii="Times New Roman" w:hAnsi="Times New Roman"/>
          <w:sz w:val="22"/>
        </w:rPr>
        <w:t>MILLHOLLAND, S.; LAUGHLIN, G. Constraints on Planet Nine’s orbit and sky position within a framework of mean-motion resonances. The Astronomical Journal, v. 153, n. 3, p. 91, 2017. DOI: 10.3847/1538-3881/153/3/91.</w:t>
      </w:r>
    </w:p>
    <w:p>
      <w:pPr>
        <w:spacing w:line="240" w:lineRule="auto" w:before="0" w:after="120"/>
        <w:ind w:left="709" w:hanging="709"/>
        <w:jc w:val="both"/>
      </w:pPr>
      <w:r>
        <w:rPr>
          <w:rFonts w:ascii="Times New Roman" w:hAnsi="Times New Roman"/>
          <w:sz w:val="22"/>
        </w:rPr>
        <w:t>NAPIER, K. J. et al. No evidence for orbital clustering in the extreme trans-Neptunian objects. The Planetary Science Journal, v. 2, n. 2, p. 59, 2021. DOI: 10.3847/PSJ/abe53e.</w:t>
      </w:r>
    </w:p>
    <w:p>
      <w:pPr>
        <w:spacing w:line="240" w:lineRule="auto" w:before="0" w:after="120"/>
        <w:ind w:left="709" w:hanging="709"/>
        <w:jc w:val="both"/>
      </w:pPr>
      <w:r>
        <w:rPr>
          <w:rFonts w:ascii="Times New Roman" w:hAnsi="Times New Roman"/>
          <w:sz w:val="22"/>
        </w:rPr>
        <w:t>PLANET9 SCREENING LAB. Pipeline headless de triagem dinâmica do Planeta Nove. Salvador, 2026. Disponível em: https://github.com/llLuriat/planet9-screening-lab. Acesso em: 3 set. 2026.</w:t>
      </w:r>
    </w:p>
    <w:p>
      <w:pPr>
        <w:spacing w:line="240" w:lineRule="auto" w:before="0" w:after="120"/>
        <w:ind w:left="709" w:hanging="709"/>
        <w:jc w:val="both"/>
      </w:pPr>
      <w:r>
        <w:rPr>
          <w:rFonts w:ascii="Times New Roman" w:hAnsi="Times New Roman"/>
          <w:sz w:val="22"/>
        </w:rPr>
        <w:t>REIN, H.; LIU, S.-F. REBOUND: an open-source multi-purpose N-body code for collisional dynamics. Astronomy &amp; Astrophysics, v. 537, p. A128, 2012. DOI: 10.1051/0004-6361/201118085.</w:t>
      </w:r>
    </w:p>
    <w:p>
      <w:pPr>
        <w:spacing w:line="240" w:lineRule="auto" w:before="0" w:after="120"/>
        <w:ind w:left="709" w:hanging="709"/>
        <w:jc w:val="both"/>
      </w:pPr>
      <w:r>
        <w:rPr>
          <w:rFonts w:ascii="Times New Roman" w:hAnsi="Times New Roman"/>
          <w:sz w:val="22"/>
        </w:rPr>
        <w:t>SHANKMAN, C. et al. OSSOS. VI. Striking biases in the detection of large semimajor axis trans-Neptunian objects. The Astronomical Journal, v. 154, n. 2, p. 50, 2017. DOI: 10.3847/1538-3881/aa7aed.</w:t>
      </w:r>
    </w:p>
    <w:p>
      <w:pPr>
        <w:spacing w:line="240" w:lineRule="auto" w:before="0" w:after="120"/>
        <w:ind w:left="709" w:hanging="709"/>
        <w:jc w:val="both"/>
      </w:pPr>
      <w:r>
        <w:rPr>
          <w:rFonts w:ascii="Times New Roman" w:hAnsi="Times New Roman"/>
          <w:sz w:val="22"/>
        </w:rPr>
        <w:t>SHEPPARD, S. S.; TRUJILLO, C. A.; THOLEN, D. J.; KAIB, N. A new high perihelion trans-Plutonian inner Oort Cloud object: 2015 TG387. The Astronomical Journal, v. 157, n. 4, p. 139, 2019. DOI: 10.3847/1538-3881/ab0895.</w:t>
      </w:r>
    </w:p>
    <w:sectPr w:rsidR="00FC693F" w:rsidRPr="0006063C" w:rsidSect="00034616">
      <w:footerReference w:type="default" r:id="rId9"/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rFonts w:ascii="Times New Roman" w:hAnsi="Times New Roman"/>
          <w:sz w:val="24"/>
        </w:rPr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