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24"/>
          <w:szCs w:val="24"/>
        </w:rPr>
        <w:t xml:space="preserve">PLANET9 SCREENING LAB: TRIAGEM DINÂMICA AUTOMATIZADA E AUDITÁVEL DE CANDIDATOS AO HIPOTÉTICO PLANETA NOVE</w:t>
      </w:r>
    </w:p>
    <w:p>
      <w:pPr>
        <w:spacing w:after="100" w:line="360"/>
        <w:jc w:val="center"/>
      </w:pPr>
      <w:r>
        <w:rPr>
          <w:rFonts w:ascii="Times New Roman" w:cs="Times New Roman" w:eastAsia="Times New Roman" w:hAnsi="Times New Roman"/>
          <w:sz w:val="24"/>
          <w:szCs w:val="24"/>
        </w:rPr>
        <w:t xml:space="preserve">Alexandre Brito Santana; Lucas Fortuna Nogueira</w:t>
      </w:r>
    </w:p>
    <w:p>
      <w:pPr>
        <w:spacing w:after="100" w:line="360"/>
        <w:jc w:val="center"/>
      </w:pPr>
      <w:r>
        <w:rPr>
          <w:rFonts w:ascii="Times New Roman" w:cs="Times New Roman" w:eastAsia="Times New Roman" w:hAnsi="Times New Roman"/>
          <w:sz w:val="24"/>
          <w:szCs w:val="24"/>
        </w:rPr>
        <w:t xml:space="preserve">Orientador: Rodrigo Alves de Moura</w:t>
      </w:r>
    </w:p>
    <w:p>
      <w:pPr>
        <w:spacing w:after="300" w:line="360"/>
        <w:jc w:val="center"/>
      </w:pPr>
      <w:r>
        <w:rPr>
          <w:rFonts w:ascii="Times New Roman" w:cs="Times New Roman" w:eastAsia="Times New Roman" w:hAnsi="Times New Roman"/>
          <w:sz w:val="24"/>
          <w:szCs w:val="24"/>
        </w:rPr>
        <w:t xml:space="preserve">Escola SESI Manuel Querino — Projeto Astros e Aventuras (Iniciação Científica), Salvador, BA, Brasil</w:t>
      </w:r>
    </w:p>
    <w:p>
      <w:pPr>
        <w:spacing w:after="200" w:before="400" w:line="360"/>
        <w:jc w:val="left"/>
      </w:pPr>
      <w:r>
        <w:rPr>
          <w:rFonts w:ascii="Times New Roman" w:cs="Times New Roman" w:eastAsia="Times New Roman" w:hAnsi="Times New Roman"/>
          <w:b/>
          <w:bCs/>
          <w:sz w:val="24"/>
          <w:szCs w:val="24"/>
        </w:rPr>
        <w:t xml:space="preserve">RESUMO</w:t>
      </w:r>
    </w:p>
    <w:p>
      <w:pPr>
        <w:spacing w:after="200" w:line="360"/>
        <w:jc w:val="both"/>
      </w:pPr>
      <w:r>
        <w:rPr>
          <w:rFonts w:ascii="Times New Roman" w:cs="Times New Roman" w:eastAsia="Times New Roman" w:hAnsi="Times New Roman"/>
          <w:sz w:val="24"/>
          <w:szCs w:val="24"/>
        </w:rPr>
        <w:t>Este trabalho documenta a evolução do Planet9 Screening Lab: um pipeline headless, automatizado e auditável de triagem dinâmica (screening) de candidatos ao hipotético Planeta Nove (P9), planeta de massa subneptuniana (cerca de 5 a 20 massas terrestres) em órbita excêntrica e distante (semi-eixo maior da ordem de 380 a 980 UA) proposto para explicar o agrupamento orbital de Objetos Transnetunianos Extremos (ETNOs). O objetivo não é localizar P9, mas responder, com controle pareado e rastreabilidade, se um modelo com P9 melhora métricas dinâmicas dos ETNOs em relação ao modelo sem P9. A metodologia integra: catálogo canônico ampliado para 16 objetos (os 13 validados por DE LA FUENTE MARCOS e DE LA FUENTE MARCOS (2014), mais Ammonite/2023 KQ14, 2017 OF201 e Leleākūhonua/2015 TG387, os três últimos com status de validação parcial); modelo de N-corpos mínimo (Sol, gigantes e candidato massivo) integrado com REBOUND/WHFast e passo Δt = P_Júpiter/20; funil de triagem quasi-Monte Carlo em dois cenários (o scan largo original e um novo scan restrito à região de alta probabilidade do ajuste de BROWN e BATYGIN (2021)); oito candidatos do Quadro 2, incluindo uma nova linha derivada diretamente daquele ajuste; controle pareado com e sem P9; diagnósticos de estatística circular (Rayleigh e Kuiper); e um modelo inicial, simplificado, de viés de seleção observacional. Nos horizontes executados (1 Myr para as telas de candidatos; 10⁸ anos para o Estágio 3 do funil), os resultados seguem exploratórios: o agrupamento apsidal do catálogo de 16 objetos não é estatisticamente significativo (R = 0,299836; p de Rayleigh = 0,24046; p de Kuiper = 1,0; direção média ≈ 39,37°); a nova linha do Quadro 2, derivada do ajuste de 2021, foi classificada como candidata de interesse com evidência fraca, em teste de sanidade de 200 anos, restando pendente a discriminação em horizonte secular frente à solução angular original; e o modelo de viés de seleção implementado nesta etapa — que reduz a concentração angular de uma população sintética de 5.000 ETNOs a R ≈ 0,032567 — não reproduz o agrupamento observado no catálogo real, resultado favorável mas limitado por ser um modelo apenas parcialmente dependente dos ângulos orbitais. Não foi possível confirmar a existência do Planeta Nove nem determinar sua órbita; a contribuição permanece um arcabouço reprodutível e auditável para triagens futuras em horizonte secular.</w:t>
      </w:r>
    </w:p>
    <w:p>
      <w:pPr>
        <w:spacing w:after="200" w:line="360"/>
        <w:jc w:val="both"/>
      </w:pPr>
      <w:r>
        <w:rPr>
          <w:rFonts w:ascii="Times New Roman" w:cs="Times New Roman" w:eastAsia="Times New Roman" w:hAnsi="Times New Roman"/>
          <w:sz w:val="24"/>
          <w:szCs w:val="24"/>
        </w:rPr>
        <w:t xml:space="preserve">Palavras-chave: Planeta Nove; ETNOs; Simulação de N-corpos; Triagem dinâmica; Estatística circular; Viés de seleção observacional.</w:t>
      </w:r>
    </w:p>
    <w:p>
      <w:pPr>
        <w:spacing w:after="200" w:before="400" w:line="360"/>
        <w:jc w:val="left"/>
      </w:pPr>
      <w:r>
        <w:rPr>
          <w:rFonts w:ascii="Times New Roman" w:cs="Times New Roman" w:eastAsia="Times New Roman" w:hAnsi="Times New Roman"/>
          <w:b/>
          <w:bCs/>
          <w:sz w:val="24"/>
          <w:szCs w:val="24"/>
        </w:rPr>
        <w:t xml:space="preserve">1 INTRODUÇÃO</w:t>
      </w:r>
    </w:p>
    <w:p>
      <w:pPr>
        <w:spacing w:after="200" w:line="360"/>
        <w:jc w:val="both"/>
      </w:pPr>
      <w:r>
        <w:rPr>
          <w:rFonts w:ascii="Times New Roman" w:cs="Times New Roman" w:eastAsia="Times New Roman" w:hAnsi="Times New Roman"/>
          <w:sz w:val="24"/>
          <w:szCs w:val="24"/>
        </w:rPr>
        <w:t xml:space="preserve">A hipótese do Planeta Nove (P9) propõe um planeta ainda não observado, de massa subneptuniana (cerca de 5 a 20 massas terrestres), em órbita excêntrica e distante, para explicar o agrupamento orbital de corpos do Sistema Solar externo (BATYGIN; BROWN, 2016; BROWN; BATYGIN, 2016). ETNOs são corpos com semi-eixo maior a &gt; 150 UA e periélio q &gt; 30 UA (1 UA é a distância média Terra–Sol). A longitude do periélio ϖ = Ω + ω (mod 360°) combina a longitude do nodo ascendente Ω com o argumento do periélio ω.</w:t>
      </w:r>
    </w:p>
    <w:p>
      <w:pPr>
        <w:spacing w:after="200" w:line="360"/>
        <w:jc w:val="both"/>
      </w:pPr>
      <w:r>
        <w:rPr>
          <w:rFonts w:ascii="Times New Roman" w:cs="Times New Roman" w:eastAsia="Times New Roman" w:hAnsi="Times New Roman"/>
          <w:sz w:val="24"/>
          <w:szCs w:val="24"/>
        </w:rPr>
        <w:t xml:space="preserve">O principal indício é o agrupamento apsidal: a longitude do periélio ϖ concentrar-se-ia em uma mesma direção para os ETNOs mais distantes (BATYGIN; BROWN, 2016; BROWN; BATYGIN, 2019; BROWN; BATYGIN, 2021). Objetos de periélio alto, como Sedna (q ≈ 76 UA) e 2012 VP113 (q ≈ 80 UA), reforçariam a necessidade de um perturbador distante.</w:t>
      </w:r>
    </w:p>
    <w:p>
      <w:pPr>
        <w:spacing w:after="200" w:line="360"/>
        <w:jc w:val="both"/>
      </w:pPr>
      <w:r>
        <w:rPr>
          <w:rFonts w:ascii="Times New Roman" w:cs="Times New Roman" w:eastAsia="Times New Roman" w:hAnsi="Times New Roman"/>
          <w:sz w:val="24"/>
          <w:szCs w:val="24"/>
        </w:rPr>
        <w:t xml:space="preserve">Essa interpretação é controversa. Análises com funções de seleção observacional (OSSOS) acham as amostras consistentes com distribuições uniformes de ϖ (SHANKMAN et al., 2017; NAPIER et al., 2021); reanálises com tratamento próprio do viés sustentam o agrupamento (BROWN; BATYGIN, 2019; 2021). O pequeno tamanho das amostras e descobertas recentes agravam a controvérsia: o sednoide 2023 KQ14 (Ammonite) tem alinhamento debatido ao agrupamento (CHEN et al., 2025); o candidato a planeta anão 2017 OF201 tem longitude do periélio (ϖ ≈ 306,9°) fora da direção historicamente associada ao agrupamento, desafiando-o (CHENG; LI; YANG, 2025); e Leleākūhonua/2015 TG387 é reportado como consistente com o agrupamento (SHEPPARD et al., 2019).</w:t>
      </w:r>
    </w:p>
    <w:p>
      <w:pPr>
        <w:spacing w:after="200" w:line="360"/>
        <w:jc w:val="both"/>
      </w:pPr>
      <w:r>
        <w:rPr>
          <w:rFonts w:ascii="Times New Roman" w:cs="Times New Roman" w:eastAsia="Times New Roman" w:hAnsi="Times New Roman"/>
          <w:sz w:val="24"/>
          <w:szCs w:val="24"/>
        </w:rPr>
        <w:t xml:space="preserve">Diante disso, o escopo permanece delimitado: não se busca descobrir P9 nem determinar sua órbita real, mas evoluir um pipeline computacional reprodutível e auditável — o Planet9 Screening Lab — para responder, com controle pareado, se um modelo com P9 melhora as métricas dinâmicas dos ETNOs em relação ao controle sem P9. Nesta etapa do projeto, três frentes foram incorporadas em relação à versão anterior: (i) ampliação do catálogo canônico de 13 para 16 objetos, com a inclusão de 2017 OF201 e Leleākūhonua/2015 TG387 ao lado de Ammonite; (ii) avaliação de um oitavo candidato do Quadro 2, derivado diretamente do ajuste orbital de BROWN e BATYGIN (2021); e (iii) implementação de um modelo inicial de viés de seleção observacional, ausente na versão anterior. Os objetivos específicos permanecem: (i) catálogo canônico auditável de ETNOs; (ii) modelo mínimo de N-corpos com integrador numérico real; (iii) funil de triagem quasi-Monte Carlo com controle pareado e política explícita de conclusão; (iv) avaliação dos candidatos do Quadro 2; (v) diagnósticos formais de estatística circular e numérica sem promover candidatos; (vi) um primeiro modelo, ainda simplificado, de viés de seleção observacional; e (vii) registro de limitações e próximos passos.</w:t>
      </w:r>
    </w:p>
    <w:p>
      <w:pPr>
        <w:spacing w:after="200" w:line="360"/>
        <w:jc w:val="both"/>
      </w:pPr>
      <w:r>
        <w:rPr>
          <w:rFonts w:ascii="Times New Roman" w:cs="Times New Roman" w:eastAsia="Times New Roman" w:hAnsi="Times New Roman"/>
          <w:sz w:val="24"/>
          <w:szCs w:val="24"/>
        </w:rPr>
        <w:t xml:space="preserve">A Seção 2 descreve materiais e métodos; a Seção 3, resultados e discussão; a Seção 4, as considerações finais. Cada afirmação é classificável como resultado medido, derivado, dado da literatura, hipótese ou pendência; nenhuma afirmação é mais forte do que a evidência realmente executada, medida ou publicada.</w:t>
      </w:r>
    </w:p>
    <w:p>
      <w:pPr>
        <w:spacing w:after="200" w:before="400" w:line="360"/>
        <w:jc w:val="left"/>
      </w:pPr>
      <w:r>
        <w:rPr>
          <w:rFonts w:ascii="Times New Roman" w:cs="Times New Roman" w:eastAsia="Times New Roman" w:hAnsi="Times New Roman"/>
          <w:b/>
          <w:bCs/>
          <w:sz w:val="24"/>
          <w:szCs w:val="24"/>
        </w:rPr>
        <w:t xml:space="preserve">2 MATERIAIS E MÉTODOS</w:t>
      </w:r>
    </w:p>
    <w:p>
      <w:pPr>
        <w:spacing w:after="200" w:before="400" w:line="360"/>
        <w:jc w:val="left"/>
      </w:pPr>
      <w:r>
        <w:rPr>
          <w:rFonts w:ascii="Times New Roman" w:cs="Times New Roman" w:eastAsia="Times New Roman" w:hAnsi="Times New Roman"/>
          <w:b/>
          <w:bCs/>
          <w:sz w:val="24"/>
          <w:szCs w:val="24"/>
        </w:rPr>
        <w:t xml:space="preserve">2.1 Delineamento e pergunta científica</w:t>
      </w:r>
    </w:p>
    <w:p>
      <w:pPr>
        <w:spacing w:after="200" w:line="360"/>
        <w:jc w:val="both"/>
      </w:pPr>
      <w:r>
        <w:rPr>
          <w:rFonts w:ascii="Times New Roman" w:cs="Times New Roman" w:eastAsia="Times New Roman" w:hAnsi="Times New Roman"/>
          <w:sz w:val="24"/>
          <w:szCs w:val="24"/>
        </w:rPr>
        <w:t xml:space="preserve">O estudo é pesquisa aplicada, computacional e exploratória, organizada como pipeline headless. H1 afirma que existe uma faixa de candidatos P9 que melhora a coerência dinâmica dos ETNOs; H0, que a distribuição observada pode ser explicada sem P9. Para cada candidato executam-se integrações gêmeas com e sem P9 (mesmo catálogo, gigantes, orçamento e semente). A política de conclusão do repositório limita as afirmações a “triagem exploratória”, “candidato de interesse dentro do protocolo”, “nenhum candidato encontrado” ou “inconclusivo”, proibindo confirmação, descoberta ou determinação de órbita (PLANET9 SCREENING LAB, 2026).</w:t>
      </w:r>
    </w:p>
    <w:p>
      <w:pPr>
        <w:spacing w:after="200" w:before="400" w:line="360"/>
        <w:jc w:val="left"/>
      </w:pPr>
      <w:r>
        <w:rPr>
          <w:rFonts w:ascii="Times New Roman" w:cs="Times New Roman" w:eastAsia="Times New Roman" w:hAnsi="Times New Roman"/>
          <w:b/>
          <w:bCs/>
          <w:sz w:val="24"/>
          <w:szCs w:val="24"/>
        </w:rPr>
        <w:t xml:space="preserve">2.2 Catálogo canônico de ETNOs</w:t>
      </w:r>
    </w:p>
    <w:p>
      <w:pPr>
        <w:spacing w:after="200" w:line="360"/>
        <w:jc w:val="both"/>
      </w:pPr>
      <w:r>
        <w:rPr>
          <w:rFonts w:ascii="Times New Roman" w:cs="Times New Roman" w:eastAsia="Times New Roman" w:hAnsi="Times New Roman"/>
          <w:sz w:val="24"/>
          <w:szCs w:val="24"/>
        </w:rPr>
        <w:t xml:space="preserve">O núcleo do catálogo reúne 13 ETNOs com elementos orbitais osculadores heliocêntricos (referencial eclíptico J2000, época única 2456800,5 = 23/05/2014 TDB), selecionados por a &gt; 150 UA e q &gt; 30 UA (Tabela 1). Os elementos provêm da Tabela A1 de DE LA FUENTE MARCOS e DE LA FUENTE MARCOS (2014); a anomalia média M foi derivada de M = λ − ϖ (mod 360°). Critérios de seleção e exclusão ficam registrados em campos de auditoria (selection_reason/selection_notes), evitando escolha manual que favoreça um resultado.</w:t>
      </w:r>
    </w:p>
    <w:p>
      <w:pPr>
        <w:spacing w:after="200" w:line="360"/>
        <w:jc w:val="both"/>
      </w:pPr>
      <w:r>
        <w:rPr>
          <w:rFonts w:ascii="Times New Roman" w:cs="Times New Roman" w:eastAsia="Times New Roman" w:hAnsi="Times New Roman"/>
          <w:sz w:val="24"/>
          <w:szCs w:val="24"/>
        </w:rPr>
        <w:t xml:space="preserve">Nesta etapa, o catálogo foi ampliado de 14 (13 objetos validados mais Ammonite em uso qualitativo) para 16 objetos, com a inclusão de 2017 OF201 (CHENG; LI; YANG, 2025; ϖ ≈ 306,9°, fora da direção historicamente associada ao agrupamento) e de Leleākūhonua/2015 TG387 (SHEPPARD et al., 2019), reportado como compatível com o agrupamento. Os três objetos adicionais — Ammonite, 2017 OF201 e Leleākūhonua — mantêm status de validação “parcial”, por terem época e/ou referencial diferentes dos 13 objetos originais de 2014; seu uso quantitativo nesta versão limita-se aos diagnósticos de estatística circular agregados (Seção 3.1), não integrando a Tabela 1. A linha histórica de n = 14 (13 mais Ammonite), publicada na versão anterior deste artigo, permanece registrada na Tabela 4 como marco da evolução do catálogo, e não como limitação do estado atual.</w:t>
      </w:r>
    </w:p>
    <w:p>
      <w:pPr>
        <w:spacing w:after="100" w:line="360"/>
        <w:jc w:val="left"/>
      </w:pPr>
      <w:r>
        <w:rPr>
          <w:rFonts w:ascii="Times New Roman" w:cs="Times New Roman" w:eastAsia="Times New Roman" w:hAnsi="Times New Roman"/>
          <w:sz w:val="24"/>
          <w:szCs w:val="24"/>
        </w:rPr>
        <w:t xml:space="preserve">Tabela 1 — Catálogo canônico de ETNOs (n = 13; a &gt; 150 UA, q &gt; 30 UA; época 2456800,5; referencial heliocêntrico eclíptico J2000).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200"/>
        <w:gridCol w:w="1000"/>
        <w:gridCol w:w="1200"/>
      </w:tblGrid>
      <w:tr>
        <w:tc>
          <w:tcPr>
            <w:tcW w:type="dxa" w:w="2200"/>
            <w:shd w:fill="D9D9D9" w:val="clear"/>
          </w:tcPr>
          <w:p>
            <w:pPr>
              <w:jc w:val="center"/>
            </w:pPr>
            <w:r>
              <w:rPr>
                <w:rFonts w:ascii="Times New Roman" w:cs="Times New Roman" w:eastAsia="Times New Roman" w:hAnsi="Times New Roman"/>
                <w:b/>
                <w:bCs/>
                <w:sz w:val="20"/>
                <w:szCs w:val="20"/>
              </w:rPr>
              <w:t xml:space="preserve">Objeto</w:t>
            </w:r>
          </w:p>
        </w:tc>
        <w:tc>
          <w:tcPr>
            <w:tcW w:type="dxa" w:w="1200"/>
            <w:shd w:fill="D9D9D9" w:val="clear"/>
          </w:tcPr>
          <w:p>
            <w:pPr>
              <w:jc w:val="center"/>
            </w:pPr>
            <w:r>
              <w:rPr>
                <w:rFonts w:ascii="Times New Roman" w:cs="Times New Roman" w:eastAsia="Times New Roman" w:hAnsi="Times New Roman"/>
                <w:b/>
                <w:bCs/>
                <w:sz w:val="20"/>
                <w:szCs w:val="20"/>
              </w:rPr>
              <w:t xml:space="preserve">a (UA)</w:t>
            </w:r>
          </w:p>
        </w:tc>
        <w:tc>
          <w:tcPr>
            <w:tcW w:type="dxa" w:w="1000"/>
            <w:shd w:fill="D9D9D9" w:val="clear"/>
          </w:tcPr>
          <w:p>
            <w:pPr>
              <w:jc w:val="center"/>
            </w:pPr>
            <w:r>
              <w:rPr>
                <w:rFonts w:ascii="Times New Roman" w:cs="Times New Roman" w:eastAsia="Times New Roman" w:hAnsi="Times New Roman"/>
                <w:b/>
                <w:bCs/>
                <w:sz w:val="20"/>
                <w:szCs w:val="20"/>
              </w:rPr>
              <w:t xml:space="preserve">e</w:t>
            </w:r>
          </w:p>
        </w:tc>
        <w:tc>
          <w:tcPr>
            <w:tcW w:type="dxa" w:w="1200"/>
            <w:shd w:fill="D9D9D9" w:val="clear"/>
          </w:tcPr>
          <w:p>
            <w:pPr>
              <w:jc w:val="center"/>
            </w:pPr>
            <w:r>
              <w:rPr>
                <w:rFonts w:ascii="Times New Roman" w:cs="Times New Roman" w:eastAsia="Times New Roman" w:hAnsi="Times New Roman"/>
                <w:b/>
                <w:bCs/>
                <w:sz w:val="20"/>
                <w:szCs w:val="20"/>
              </w:rPr>
              <w:t xml:space="preserve">q (UA)</w:t>
            </w:r>
          </w:p>
        </w:tc>
        <w:tc>
          <w:tcPr>
            <w:tcW w:type="dxa" w:w="1000"/>
            <w:shd w:fill="D9D9D9" w:val="clear"/>
          </w:tcPr>
          <w:p>
            <w:pPr>
              <w:jc w:val="center"/>
            </w:pPr>
            <w:r>
              <w:rPr>
                <w:rFonts w:ascii="Times New Roman" w:cs="Times New Roman" w:eastAsia="Times New Roman" w:hAnsi="Times New Roman"/>
                <w:b/>
                <w:bCs/>
                <w:sz w:val="20"/>
                <w:szCs w:val="20"/>
              </w:rPr>
              <w:t xml:space="preserve">i (°)</w:t>
            </w:r>
          </w:p>
        </w:tc>
        <w:tc>
          <w:tcPr>
            <w:tcW w:type="dxa" w:w="1200"/>
            <w:shd w:fill="D9D9D9" w:val="clear"/>
          </w:tcPr>
          <w:p>
            <w:pPr>
              <w:jc w:val="center"/>
            </w:pPr>
            <w:r>
              <w:rPr>
                <w:rFonts w:ascii="Times New Roman" w:cs="Times New Roman" w:eastAsia="Times New Roman" w:hAnsi="Times New Roman"/>
                <w:b/>
                <w:bCs/>
                <w:sz w:val="20"/>
                <w:szCs w:val="20"/>
              </w:rPr>
              <w:t xml:space="preserve">ϖ (°)</w:t>
            </w:r>
          </w:p>
        </w:tc>
      </w:tr>
      <w:tr>
        <w:tc>
          <w:tcPr>
            <w:tcW w:type="dxa" w:w="2200"/>
          </w:tcPr>
          <w:p>
            <w:pPr>
              <w:jc w:val="center"/>
            </w:pPr>
            <w:r>
              <w:rPr>
                <w:rFonts w:ascii="Times New Roman" w:cs="Times New Roman" w:eastAsia="Times New Roman" w:hAnsi="Times New Roman"/>
                <w:b w:val="false"/>
                <w:bCs w:val="false"/>
                <w:sz w:val="20"/>
                <w:szCs w:val="20"/>
              </w:rPr>
              <w:t xml:space="preserve">2001 FP185</w:t>
            </w:r>
          </w:p>
        </w:tc>
        <w:tc>
          <w:tcPr>
            <w:tcW w:type="dxa" w:w="1200"/>
          </w:tcPr>
          <w:p>
            <w:pPr>
              <w:jc w:val="center"/>
            </w:pPr>
            <w:r>
              <w:rPr>
                <w:rFonts w:ascii="Times New Roman" w:cs="Times New Roman" w:eastAsia="Times New Roman" w:hAnsi="Times New Roman"/>
                <w:b w:val="false"/>
                <w:bCs w:val="false"/>
                <w:sz w:val="20"/>
                <w:szCs w:val="20"/>
              </w:rPr>
              <w:t xml:space="preserve">220,8</w:t>
            </w:r>
          </w:p>
        </w:tc>
        <w:tc>
          <w:tcPr>
            <w:tcW w:type="dxa" w:w="1000"/>
          </w:tcPr>
          <w:p>
            <w:pPr>
              <w:jc w:val="center"/>
            </w:pPr>
            <w:r>
              <w:rPr>
                <w:rFonts w:ascii="Times New Roman" w:cs="Times New Roman" w:eastAsia="Times New Roman" w:hAnsi="Times New Roman"/>
                <w:b w:val="false"/>
                <w:bCs w:val="false"/>
                <w:sz w:val="20"/>
                <w:szCs w:val="20"/>
              </w:rPr>
              <w:t xml:space="preserve">0,845</w:t>
            </w:r>
          </w:p>
        </w:tc>
        <w:tc>
          <w:tcPr>
            <w:tcW w:type="dxa" w:w="1200"/>
          </w:tcPr>
          <w:p>
            <w:pPr>
              <w:jc w:val="center"/>
            </w:pPr>
            <w:r>
              <w:rPr>
                <w:rFonts w:ascii="Times New Roman" w:cs="Times New Roman" w:eastAsia="Times New Roman" w:hAnsi="Times New Roman"/>
                <w:b w:val="false"/>
                <w:bCs w:val="false"/>
                <w:sz w:val="20"/>
                <w:szCs w:val="20"/>
              </w:rPr>
              <w:t xml:space="preserve">34,2</w:t>
            </w:r>
          </w:p>
        </w:tc>
        <w:tc>
          <w:tcPr>
            <w:tcW w:type="dxa" w:w="1000"/>
          </w:tcPr>
          <w:p>
            <w:pPr>
              <w:jc w:val="center"/>
            </w:pPr>
            <w:r>
              <w:rPr>
                <w:rFonts w:ascii="Times New Roman" w:cs="Times New Roman" w:eastAsia="Times New Roman" w:hAnsi="Times New Roman"/>
                <w:b w:val="false"/>
                <w:bCs w:val="false"/>
                <w:sz w:val="20"/>
                <w:szCs w:val="20"/>
              </w:rPr>
              <w:t xml:space="preserve">30,8</w:t>
            </w:r>
          </w:p>
        </w:tc>
        <w:tc>
          <w:tcPr>
            <w:tcW w:type="dxa" w:w="1200"/>
          </w:tcPr>
          <w:p>
            <w:pPr>
              <w:jc w:val="center"/>
            </w:pPr>
            <w:r>
              <w:rPr>
                <w:rFonts w:ascii="Times New Roman" w:cs="Times New Roman" w:eastAsia="Times New Roman" w:hAnsi="Times New Roman"/>
                <w:b w:val="false"/>
                <w:bCs w:val="false"/>
                <w:sz w:val="20"/>
                <w:szCs w:val="20"/>
              </w:rPr>
              <w:t xml:space="preserve">186,1</w:t>
            </w:r>
          </w:p>
        </w:tc>
      </w:tr>
      <w:tr>
        <w:tc>
          <w:tcPr>
            <w:tcW w:type="dxa" w:w="2200"/>
          </w:tcPr>
          <w:p>
            <w:pPr>
              <w:jc w:val="center"/>
            </w:pPr>
            <w:r>
              <w:rPr>
                <w:rFonts w:ascii="Times New Roman" w:cs="Times New Roman" w:eastAsia="Times New Roman" w:hAnsi="Times New Roman"/>
                <w:b w:val="false"/>
                <w:bCs w:val="false"/>
                <w:sz w:val="20"/>
                <w:szCs w:val="20"/>
              </w:rPr>
              <w:t xml:space="preserve">Sedna</w:t>
            </w:r>
          </w:p>
        </w:tc>
        <w:tc>
          <w:tcPr>
            <w:tcW w:type="dxa" w:w="1200"/>
          </w:tcPr>
          <w:p>
            <w:pPr>
              <w:jc w:val="center"/>
            </w:pPr>
            <w:r>
              <w:rPr>
                <w:rFonts w:ascii="Times New Roman" w:cs="Times New Roman" w:eastAsia="Times New Roman" w:hAnsi="Times New Roman"/>
                <w:b w:val="false"/>
                <w:bCs w:val="false"/>
                <w:sz w:val="20"/>
                <w:szCs w:val="20"/>
              </w:rPr>
              <w:t xml:space="preserve">532,3</w:t>
            </w:r>
          </w:p>
        </w:tc>
        <w:tc>
          <w:tcPr>
            <w:tcW w:type="dxa" w:w="1000"/>
          </w:tcPr>
          <w:p>
            <w:pPr>
              <w:jc w:val="center"/>
            </w:pPr>
            <w:r>
              <w:rPr>
                <w:rFonts w:ascii="Times New Roman" w:cs="Times New Roman" w:eastAsia="Times New Roman" w:hAnsi="Times New Roman"/>
                <w:b w:val="false"/>
                <w:bCs w:val="false"/>
                <w:sz w:val="20"/>
                <w:szCs w:val="20"/>
              </w:rPr>
              <w:t xml:space="preserve">0,857</w:t>
            </w:r>
          </w:p>
        </w:tc>
        <w:tc>
          <w:tcPr>
            <w:tcW w:type="dxa" w:w="1200"/>
          </w:tcPr>
          <w:p>
            <w:pPr>
              <w:jc w:val="center"/>
            </w:pPr>
            <w:r>
              <w:rPr>
                <w:rFonts w:ascii="Times New Roman" w:cs="Times New Roman" w:eastAsia="Times New Roman" w:hAnsi="Times New Roman"/>
                <w:b w:val="false"/>
                <w:bCs w:val="false"/>
                <w:sz w:val="20"/>
                <w:szCs w:val="20"/>
              </w:rPr>
              <w:t xml:space="preserve">76,1</w:t>
            </w:r>
          </w:p>
        </w:tc>
        <w:tc>
          <w:tcPr>
            <w:tcW w:type="dxa" w:w="1000"/>
          </w:tcPr>
          <w:p>
            <w:pPr>
              <w:jc w:val="center"/>
            </w:pPr>
            <w:r>
              <w:rPr>
                <w:rFonts w:ascii="Times New Roman" w:cs="Times New Roman" w:eastAsia="Times New Roman" w:hAnsi="Times New Roman"/>
                <w:b w:val="false"/>
                <w:bCs w:val="false"/>
                <w:sz w:val="20"/>
                <w:szCs w:val="20"/>
              </w:rPr>
              <w:t xml:space="preserve">11,9</w:t>
            </w:r>
          </w:p>
        </w:tc>
        <w:tc>
          <w:tcPr>
            <w:tcW w:type="dxa" w:w="1200"/>
          </w:tcPr>
          <w:p>
            <w:pPr>
              <w:jc w:val="center"/>
            </w:pPr>
            <w:r>
              <w:rPr>
                <w:rFonts w:ascii="Times New Roman" w:cs="Times New Roman" w:eastAsia="Times New Roman" w:hAnsi="Times New Roman"/>
                <w:b w:val="false"/>
                <w:bCs w:val="false"/>
                <w:sz w:val="20"/>
                <w:szCs w:val="20"/>
              </w:rPr>
              <w:t xml:space="preserve">95,7</w:t>
            </w:r>
          </w:p>
        </w:tc>
      </w:tr>
      <w:tr>
        <w:tc>
          <w:tcPr>
            <w:tcW w:type="dxa" w:w="2200"/>
          </w:tcPr>
          <w:p>
            <w:pPr>
              <w:jc w:val="center"/>
            </w:pPr>
            <w:r>
              <w:rPr>
                <w:rFonts w:ascii="Times New Roman" w:cs="Times New Roman" w:eastAsia="Times New Roman" w:hAnsi="Times New Roman"/>
                <w:b w:val="false"/>
                <w:bCs w:val="false"/>
                <w:sz w:val="20"/>
                <w:szCs w:val="20"/>
              </w:rPr>
              <w:t xml:space="preserve">2000 CR105</w:t>
            </w:r>
          </w:p>
        </w:tc>
        <w:tc>
          <w:tcPr>
            <w:tcW w:type="dxa" w:w="1200"/>
          </w:tcPr>
          <w:p>
            <w:pPr>
              <w:jc w:val="center"/>
            </w:pPr>
            <w:r>
              <w:rPr>
                <w:rFonts w:ascii="Times New Roman" w:cs="Times New Roman" w:eastAsia="Times New Roman" w:hAnsi="Times New Roman"/>
                <w:b w:val="false"/>
                <w:bCs w:val="false"/>
                <w:sz w:val="20"/>
                <w:szCs w:val="20"/>
              </w:rPr>
              <w:t xml:space="preserve">229,9</w:t>
            </w:r>
          </w:p>
        </w:tc>
        <w:tc>
          <w:tcPr>
            <w:tcW w:type="dxa" w:w="1000"/>
          </w:tcPr>
          <w:p>
            <w:pPr>
              <w:jc w:val="center"/>
            </w:pPr>
            <w:r>
              <w:rPr>
                <w:rFonts w:ascii="Times New Roman" w:cs="Times New Roman" w:eastAsia="Times New Roman" w:hAnsi="Times New Roman"/>
                <w:b w:val="false"/>
                <w:bCs w:val="false"/>
                <w:sz w:val="20"/>
                <w:szCs w:val="20"/>
              </w:rPr>
              <w:t xml:space="preserve">0,808</w:t>
            </w:r>
          </w:p>
        </w:tc>
        <w:tc>
          <w:tcPr>
            <w:tcW w:type="dxa" w:w="1200"/>
          </w:tcPr>
          <w:p>
            <w:pPr>
              <w:jc w:val="center"/>
            </w:pPr>
            <w:r>
              <w:rPr>
                <w:rFonts w:ascii="Times New Roman" w:cs="Times New Roman" w:eastAsia="Times New Roman" w:hAnsi="Times New Roman"/>
                <w:b w:val="false"/>
                <w:bCs w:val="false"/>
                <w:sz w:val="20"/>
                <w:szCs w:val="20"/>
              </w:rPr>
              <w:t xml:space="preserve">44,2</w:t>
            </w:r>
          </w:p>
        </w:tc>
        <w:tc>
          <w:tcPr>
            <w:tcW w:type="dxa" w:w="1000"/>
          </w:tcPr>
          <w:p>
            <w:pPr>
              <w:jc w:val="center"/>
            </w:pPr>
            <w:r>
              <w:rPr>
                <w:rFonts w:ascii="Times New Roman" w:cs="Times New Roman" w:eastAsia="Times New Roman" w:hAnsi="Times New Roman"/>
                <w:b w:val="false"/>
                <w:bCs w:val="false"/>
                <w:sz w:val="20"/>
                <w:szCs w:val="20"/>
              </w:rPr>
              <w:t xml:space="preserve">22,7</w:t>
            </w:r>
          </w:p>
        </w:tc>
        <w:tc>
          <w:tcPr>
            <w:tcW w:type="dxa" w:w="1200"/>
          </w:tcPr>
          <w:p>
            <w:pPr>
              <w:jc w:val="center"/>
            </w:pPr>
            <w:r>
              <w:rPr>
                <w:rFonts w:ascii="Times New Roman" w:cs="Times New Roman" w:eastAsia="Times New Roman" w:hAnsi="Times New Roman"/>
                <w:b w:val="false"/>
                <w:bCs w:val="false"/>
                <w:sz w:val="20"/>
                <w:szCs w:val="20"/>
              </w:rPr>
              <w:t xml:space="preserve">85,3</w:t>
            </w:r>
          </w:p>
        </w:tc>
      </w:tr>
      <w:tr>
        <w:tc>
          <w:tcPr>
            <w:tcW w:type="dxa" w:w="2200"/>
          </w:tcPr>
          <w:p>
            <w:pPr>
              <w:jc w:val="center"/>
            </w:pPr>
            <w:r>
              <w:rPr>
                <w:rFonts w:ascii="Times New Roman" w:cs="Times New Roman" w:eastAsia="Times New Roman" w:hAnsi="Times New Roman"/>
                <w:b w:val="false"/>
                <w:bCs w:val="false"/>
                <w:sz w:val="20"/>
                <w:szCs w:val="20"/>
              </w:rPr>
              <w:t xml:space="preserve">2002 GB32</w:t>
            </w:r>
          </w:p>
        </w:tc>
        <w:tc>
          <w:tcPr>
            <w:tcW w:type="dxa" w:w="1200"/>
          </w:tcPr>
          <w:p>
            <w:pPr>
              <w:jc w:val="center"/>
            </w:pPr>
            <w:r>
              <w:rPr>
                <w:rFonts w:ascii="Times New Roman" w:cs="Times New Roman" w:eastAsia="Times New Roman" w:hAnsi="Times New Roman"/>
                <w:b w:val="false"/>
                <w:bCs w:val="false"/>
                <w:sz w:val="20"/>
                <w:szCs w:val="20"/>
              </w:rPr>
              <w:t xml:space="preserve">209,5</w:t>
            </w:r>
          </w:p>
        </w:tc>
        <w:tc>
          <w:tcPr>
            <w:tcW w:type="dxa" w:w="1000"/>
          </w:tcPr>
          <w:p>
            <w:pPr>
              <w:jc w:val="center"/>
            </w:pPr>
            <w:r>
              <w:rPr>
                <w:rFonts w:ascii="Times New Roman" w:cs="Times New Roman" w:eastAsia="Times New Roman" w:hAnsi="Times New Roman"/>
                <w:b w:val="false"/>
                <w:bCs w:val="false"/>
                <w:sz w:val="20"/>
                <w:szCs w:val="20"/>
              </w:rPr>
              <w:t xml:space="preserve">0,831</w:t>
            </w:r>
          </w:p>
        </w:tc>
        <w:tc>
          <w:tcPr>
            <w:tcW w:type="dxa" w:w="1200"/>
          </w:tcPr>
          <w:p>
            <w:pPr>
              <w:jc w:val="center"/>
            </w:pPr>
            <w:r>
              <w:rPr>
                <w:rFonts w:ascii="Times New Roman" w:cs="Times New Roman" w:eastAsia="Times New Roman" w:hAnsi="Times New Roman"/>
                <w:b w:val="false"/>
                <w:bCs w:val="false"/>
                <w:sz w:val="20"/>
                <w:szCs w:val="20"/>
              </w:rPr>
              <w:t xml:space="preserve">35,3</w:t>
            </w:r>
          </w:p>
        </w:tc>
        <w:tc>
          <w:tcPr>
            <w:tcW w:type="dxa" w:w="1000"/>
          </w:tcPr>
          <w:p>
            <w:pPr>
              <w:jc w:val="center"/>
            </w:pPr>
            <w:r>
              <w:rPr>
                <w:rFonts w:ascii="Times New Roman" w:cs="Times New Roman" w:eastAsia="Times New Roman" w:hAnsi="Times New Roman"/>
                <w:b w:val="false"/>
                <w:bCs w:val="false"/>
                <w:sz w:val="20"/>
                <w:szCs w:val="20"/>
              </w:rPr>
              <w:t xml:space="preserve">14,2</w:t>
            </w:r>
          </w:p>
        </w:tc>
        <w:tc>
          <w:tcPr>
            <w:tcW w:type="dxa" w:w="1200"/>
          </w:tcPr>
          <w:p>
            <w:pPr>
              <w:jc w:val="center"/>
            </w:pPr>
            <w:r>
              <w:rPr>
                <w:rFonts w:ascii="Times New Roman" w:cs="Times New Roman" w:eastAsia="Times New Roman" w:hAnsi="Times New Roman"/>
                <w:b w:val="false"/>
                <w:bCs w:val="false"/>
                <w:sz w:val="20"/>
                <w:szCs w:val="20"/>
              </w:rPr>
              <w:t xml:space="preserve">213,9</w:t>
            </w:r>
          </w:p>
        </w:tc>
      </w:tr>
      <w:tr>
        <w:tc>
          <w:tcPr>
            <w:tcW w:type="dxa" w:w="2200"/>
          </w:tcPr>
          <w:p>
            <w:pPr>
              <w:jc w:val="center"/>
            </w:pPr>
            <w:r>
              <w:rPr>
                <w:rFonts w:ascii="Times New Roman" w:cs="Times New Roman" w:eastAsia="Times New Roman" w:hAnsi="Times New Roman"/>
                <w:b w:val="false"/>
                <w:bCs w:val="false"/>
                <w:sz w:val="20"/>
                <w:szCs w:val="20"/>
              </w:rPr>
              <w:t xml:space="preserve">2003 HB57</w:t>
            </w:r>
          </w:p>
        </w:tc>
        <w:tc>
          <w:tcPr>
            <w:tcW w:type="dxa" w:w="1200"/>
          </w:tcPr>
          <w:p>
            <w:pPr>
              <w:jc w:val="center"/>
            </w:pPr>
            <w:r>
              <w:rPr>
                <w:rFonts w:ascii="Times New Roman" w:cs="Times New Roman" w:eastAsia="Times New Roman" w:hAnsi="Times New Roman"/>
                <w:b w:val="false"/>
                <w:bCs w:val="false"/>
                <w:sz w:val="20"/>
                <w:szCs w:val="20"/>
              </w:rPr>
              <w:t xml:space="preserve">161,1</w:t>
            </w:r>
          </w:p>
        </w:tc>
        <w:tc>
          <w:tcPr>
            <w:tcW w:type="dxa" w:w="1000"/>
          </w:tcPr>
          <w:p>
            <w:pPr>
              <w:jc w:val="center"/>
            </w:pPr>
            <w:r>
              <w:rPr>
                <w:rFonts w:ascii="Times New Roman" w:cs="Times New Roman" w:eastAsia="Times New Roman" w:hAnsi="Times New Roman"/>
                <w:b w:val="false"/>
                <w:bCs w:val="false"/>
                <w:sz w:val="20"/>
                <w:szCs w:val="20"/>
              </w:rPr>
              <w:t xml:space="preserve">0,764</w:t>
            </w:r>
          </w:p>
        </w:tc>
        <w:tc>
          <w:tcPr>
            <w:tcW w:type="dxa" w:w="1200"/>
          </w:tcPr>
          <w:p>
            <w:pPr>
              <w:jc w:val="center"/>
            </w:pPr>
            <w:r>
              <w:rPr>
                <w:rFonts w:ascii="Times New Roman" w:cs="Times New Roman" w:eastAsia="Times New Roman" w:hAnsi="Times New Roman"/>
                <w:b w:val="false"/>
                <w:bCs w:val="false"/>
                <w:sz w:val="20"/>
                <w:szCs w:val="20"/>
              </w:rPr>
              <w:t xml:space="preserve">38,1</w:t>
            </w:r>
          </w:p>
        </w:tc>
        <w:tc>
          <w:tcPr>
            <w:tcW w:type="dxa" w:w="1000"/>
          </w:tcPr>
          <w:p>
            <w:pPr>
              <w:jc w:val="center"/>
            </w:pPr>
            <w:r>
              <w:rPr>
                <w:rFonts w:ascii="Times New Roman" w:cs="Times New Roman" w:eastAsia="Times New Roman" w:hAnsi="Times New Roman"/>
                <w:b w:val="false"/>
                <w:bCs w:val="false"/>
                <w:sz w:val="20"/>
                <w:szCs w:val="20"/>
              </w:rPr>
              <w:t xml:space="preserve">15,5</w:t>
            </w:r>
          </w:p>
        </w:tc>
        <w:tc>
          <w:tcPr>
            <w:tcW w:type="dxa" w:w="1200"/>
          </w:tcPr>
          <w:p>
            <w:pPr>
              <w:jc w:val="center"/>
            </w:pPr>
            <w:r>
              <w:rPr>
                <w:rFonts w:ascii="Times New Roman" w:cs="Times New Roman" w:eastAsia="Times New Roman" w:hAnsi="Times New Roman"/>
                <w:b w:val="false"/>
                <w:bCs w:val="false"/>
                <w:sz w:val="20"/>
                <w:szCs w:val="20"/>
              </w:rPr>
              <w:t xml:space="preserve">208,5</w:t>
            </w:r>
          </w:p>
        </w:tc>
      </w:tr>
      <w:tr>
        <w:tc>
          <w:tcPr>
            <w:tcW w:type="dxa" w:w="2200"/>
          </w:tcPr>
          <w:p>
            <w:pPr>
              <w:jc w:val="center"/>
            </w:pPr>
            <w:r>
              <w:rPr>
                <w:rFonts w:ascii="Times New Roman" w:cs="Times New Roman" w:eastAsia="Times New Roman" w:hAnsi="Times New Roman"/>
                <w:b w:val="false"/>
                <w:bCs w:val="false"/>
                <w:sz w:val="20"/>
                <w:szCs w:val="20"/>
              </w:rPr>
              <w:t xml:space="preserve">2003 SS422</w:t>
            </w:r>
          </w:p>
        </w:tc>
        <w:tc>
          <w:tcPr>
            <w:tcW w:type="dxa" w:w="1200"/>
          </w:tcPr>
          <w:p>
            <w:pPr>
              <w:jc w:val="center"/>
            </w:pPr>
            <w:r>
              <w:rPr>
                <w:rFonts w:ascii="Times New Roman" w:cs="Times New Roman" w:eastAsia="Times New Roman" w:hAnsi="Times New Roman"/>
                <w:b w:val="false"/>
                <w:bCs w:val="false"/>
                <w:sz w:val="20"/>
                <w:szCs w:val="20"/>
              </w:rPr>
              <w:t xml:space="preserve">197,4</w:t>
            </w:r>
          </w:p>
        </w:tc>
        <w:tc>
          <w:tcPr>
            <w:tcW w:type="dxa" w:w="1000"/>
          </w:tcPr>
          <w:p>
            <w:pPr>
              <w:jc w:val="center"/>
            </w:pPr>
            <w:r>
              <w:rPr>
                <w:rFonts w:ascii="Times New Roman" w:cs="Times New Roman" w:eastAsia="Times New Roman" w:hAnsi="Times New Roman"/>
                <w:b w:val="false"/>
                <w:bCs w:val="false"/>
                <w:sz w:val="20"/>
                <w:szCs w:val="20"/>
              </w:rPr>
              <w:t xml:space="preserve">0,800</w:t>
            </w:r>
          </w:p>
        </w:tc>
        <w:tc>
          <w:tcPr>
            <w:tcW w:type="dxa" w:w="1200"/>
          </w:tcPr>
          <w:p>
            <w:pPr>
              <w:jc w:val="center"/>
            </w:pPr>
            <w:r>
              <w:rPr>
                <w:rFonts w:ascii="Times New Roman" w:cs="Times New Roman" w:eastAsia="Times New Roman" w:hAnsi="Times New Roman"/>
                <w:b w:val="false"/>
                <w:bCs w:val="false"/>
                <w:sz w:val="20"/>
                <w:szCs w:val="20"/>
              </w:rPr>
              <w:t xml:space="preserve">39,4</w:t>
            </w:r>
          </w:p>
        </w:tc>
        <w:tc>
          <w:tcPr>
            <w:tcW w:type="dxa" w:w="1000"/>
          </w:tcPr>
          <w:p>
            <w:pPr>
              <w:jc w:val="center"/>
            </w:pPr>
            <w:r>
              <w:rPr>
                <w:rFonts w:ascii="Times New Roman" w:cs="Times New Roman" w:eastAsia="Times New Roman" w:hAnsi="Times New Roman"/>
                <w:b w:val="false"/>
                <w:bCs w:val="false"/>
                <w:sz w:val="20"/>
                <w:szCs w:val="20"/>
              </w:rPr>
              <w:t xml:space="preserve">16,8</w:t>
            </w:r>
          </w:p>
        </w:tc>
        <w:tc>
          <w:tcPr>
            <w:tcW w:type="dxa" w:w="1200"/>
          </w:tcPr>
          <w:p>
            <w:pPr>
              <w:jc w:val="center"/>
            </w:pPr>
            <w:r>
              <w:rPr>
                <w:rFonts w:ascii="Times New Roman" w:cs="Times New Roman" w:eastAsia="Times New Roman" w:hAnsi="Times New Roman"/>
                <w:b w:val="false"/>
                <w:bCs w:val="false"/>
                <w:sz w:val="20"/>
                <w:szCs w:val="20"/>
              </w:rPr>
              <w:t xml:space="preserve">1,1</w:t>
            </w:r>
          </w:p>
        </w:tc>
      </w:tr>
      <w:tr>
        <w:tc>
          <w:tcPr>
            <w:tcW w:type="dxa" w:w="2200"/>
          </w:tcPr>
          <w:p>
            <w:pPr>
              <w:jc w:val="center"/>
            </w:pPr>
            <w:r>
              <w:rPr>
                <w:rFonts w:ascii="Times New Roman" w:cs="Times New Roman" w:eastAsia="Times New Roman" w:hAnsi="Times New Roman"/>
                <w:b w:val="false"/>
                <w:bCs w:val="false"/>
                <w:sz w:val="20"/>
                <w:szCs w:val="20"/>
              </w:rPr>
              <w:t xml:space="preserve">2004 VN112</w:t>
            </w:r>
          </w:p>
        </w:tc>
        <w:tc>
          <w:tcPr>
            <w:tcW w:type="dxa" w:w="1200"/>
          </w:tcPr>
          <w:p>
            <w:pPr>
              <w:jc w:val="center"/>
            </w:pPr>
            <w:r>
              <w:rPr>
                <w:rFonts w:ascii="Times New Roman" w:cs="Times New Roman" w:eastAsia="Times New Roman" w:hAnsi="Times New Roman"/>
                <w:b w:val="false"/>
                <w:bCs w:val="false"/>
                <w:sz w:val="20"/>
                <w:szCs w:val="20"/>
              </w:rPr>
              <w:t xml:space="preserve">333,6</w:t>
            </w:r>
          </w:p>
        </w:tc>
        <w:tc>
          <w:tcPr>
            <w:tcW w:type="dxa" w:w="1000"/>
          </w:tcPr>
          <w:p>
            <w:pPr>
              <w:jc w:val="center"/>
            </w:pPr>
            <w:r>
              <w:rPr>
                <w:rFonts w:ascii="Times New Roman" w:cs="Times New Roman" w:eastAsia="Times New Roman" w:hAnsi="Times New Roman"/>
                <w:b w:val="false"/>
                <w:bCs w:val="false"/>
                <w:sz w:val="20"/>
                <w:szCs w:val="20"/>
              </w:rPr>
              <w:t xml:space="preserve">0,858</w:t>
            </w:r>
          </w:p>
        </w:tc>
        <w:tc>
          <w:tcPr>
            <w:tcW w:type="dxa" w:w="1200"/>
          </w:tcPr>
          <w:p>
            <w:pPr>
              <w:jc w:val="center"/>
            </w:pPr>
            <w:r>
              <w:rPr>
                <w:rFonts w:ascii="Times New Roman" w:cs="Times New Roman" w:eastAsia="Times New Roman" w:hAnsi="Times New Roman"/>
                <w:b w:val="false"/>
                <w:bCs w:val="false"/>
                <w:sz w:val="20"/>
                <w:szCs w:val="20"/>
              </w:rPr>
              <w:t xml:space="preserve">47,3</w:t>
            </w:r>
          </w:p>
        </w:tc>
        <w:tc>
          <w:tcPr>
            <w:tcW w:type="dxa" w:w="1000"/>
          </w:tcPr>
          <w:p>
            <w:pPr>
              <w:jc w:val="center"/>
            </w:pPr>
            <w:r>
              <w:rPr>
                <w:rFonts w:ascii="Times New Roman" w:cs="Times New Roman" w:eastAsia="Times New Roman" w:hAnsi="Times New Roman"/>
                <w:b w:val="false"/>
                <w:bCs w:val="false"/>
                <w:sz w:val="20"/>
                <w:szCs w:val="20"/>
              </w:rPr>
              <w:t xml:space="preserve">25,5</w:t>
            </w:r>
          </w:p>
        </w:tc>
        <w:tc>
          <w:tcPr>
            <w:tcW w:type="dxa" w:w="1200"/>
          </w:tcPr>
          <w:p>
            <w:pPr>
              <w:jc w:val="center"/>
            </w:pPr>
            <w:r>
              <w:rPr>
                <w:rFonts w:ascii="Times New Roman" w:cs="Times New Roman" w:eastAsia="Times New Roman" w:hAnsi="Times New Roman"/>
                <w:b w:val="false"/>
                <w:bCs w:val="false"/>
                <w:sz w:val="20"/>
                <w:szCs w:val="20"/>
              </w:rPr>
              <w:t xml:space="preserve">33,3</w:t>
            </w:r>
          </w:p>
        </w:tc>
      </w:tr>
      <w:tr>
        <w:tc>
          <w:tcPr>
            <w:tcW w:type="dxa" w:w="2200"/>
          </w:tcPr>
          <w:p>
            <w:pPr>
              <w:jc w:val="center"/>
            </w:pPr>
            <w:r>
              <w:rPr>
                <w:rFonts w:ascii="Times New Roman" w:cs="Times New Roman" w:eastAsia="Times New Roman" w:hAnsi="Times New Roman"/>
                <w:b w:val="false"/>
                <w:bCs w:val="false"/>
                <w:sz w:val="20"/>
                <w:szCs w:val="20"/>
              </w:rPr>
              <w:t xml:space="preserve">2005 RH52</w:t>
            </w:r>
          </w:p>
        </w:tc>
        <w:tc>
          <w:tcPr>
            <w:tcW w:type="dxa" w:w="1200"/>
          </w:tcPr>
          <w:p>
            <w:pPr>
              <w:jc w:val="center"/>
            </w:pPr>
            <w:r>
              <w:rPr>
                <w:rFonts w:ascii="Times New Roman" w:cs="Times New Roman" w:eastAsia="Times New Roman" w:hAnsi="Times New Roman"/>
                <w:b w:val="false"/>
                <w:bCs w:val="false"/>
                <w:sz w:val="20"/>
                <w:szCs w:val="20"/>
              </w:rPr>
              <w:t xml:space="preserve">152,7</w:t>
            </w:r>
          </w:p>
        </w:tc>
        <w:tc>
          <w:tcPr>
            <w:tcW w:type="dxa" w:w="1000"/>
          </w:tcPr>
          <w:p>
            <w:pPr>
              <w:jc w:val="center"/>
            </w:pPr>
            <w:r>
              <w:rPr>
                <w:rFonts w:ascii="Times New Roman" w:cs="Times New Roman" w:eastAsia="Times New Roman" w:hAnsi="Times New Roman"/>
                <w:b w:val="false"/>
                <w:bCs w:val="false"/>
                <w:sz w:val="20"/>
                <w:szCs w:val="20"/>
              </w:rPr>
              <w:t xml:space="preserve">0,744</w:t>
            </w:r>
          </w:p>
        </w:tc>
        <w:tc>
          <w:tcPr>
            <w:tcW w:type="dxa" w:w="1200"/>
          </w:tcPr>
          <w:p>
            <w:pPr>
              <w:jc w:val="center"/>
            </w:pPr>
            <w:r>
              <w:rPr>
                <w:rFonts w:ascii="Times New Roman" w:cs="Times New Roman" w:eastAsia="Times New Roman" w:hAnsi="Times New Roman"/>
                <w:b w:val="false"/>
                <w:bCs w:val="false"/>
                <w:sz w:val="20"/>
                <w:szCs w:val="20"/>
              </w:rPr>
              <w:t xml:space="preserve">39,0</w:t>
            </w:r>
          </w:p>
        </w:tc>
        <w:tc>
          <w:tcPr>
            <w:tcW w:type="dxa" w:w="1000"/>
          </w:tcPr>
          <w:p>
            <w:pPr>
              <w:jc w:val="center"/>
            </w:pPr>
            <w:r>
              <w:rPr>
                <w:rFonts w:ascii="Times New Roman" w:cs="Times New Roman" w:eastAsia="Times New Roman" w:hAnsi="Times New Roman"/>
                <w:b w:val="false"/>
                <w:bCs w:val="false"/>
                <w:sz w:val="20"/>
                <w:szCs w:val="20"/>
              </w:rPr>
              <w:t xml:space="preserve">20,5</w:t>
            </w:r>
          </w:p>
        </w:tc>
        <w:tc>
          <w:tcPr>
            <w:tcW w:type="dxa" w:w="1200"/>
          </w:tcPr>
          <w:p>
            <w:pPr>
              <w:jc w:val="center"/>
            </w:pPr>
            <w:r>
              <w:rPr>
                <w:rFonts w:ascii="Times New Roman" w:cs="Times New Roman" w:eastAsia="Times New Roman" w:hAnsi="Times New Roman"/>
                <w:b w:val="false"/>
                <w:bCs w:val="false"/>
                <w:sz w:val="20"/>
                <w:szCs w:val="20"/>
              </w:rPr>
              <w:t xml:space="preserve">338,8</w:t>
            </w:r>
          </w:p>
        </w:tc>
      </w:tr>
      <w:tr>
        <w:tc>
          <w:tcPr>
            <w:tcW w:type="dxa" w:w="2200"/>
          </w:tcPr>
          <w:p>
            <w:pPr>
              <w:jc w:val="center"/>
            </w:pPr>
            <w:r>
              <w:rPr>
                <w:rFonts w:ascii="Times New Roman" w:cs="Times New Roman" w:eastAsia="Times New Roman" w:hAnsi="Times New Roman"/>
                <w:b w:val="false"/>
                <w:bCs w:val="false"/>
                <w:sz w:val="20"/>
                <w:szCs w:val="20"/>
              </w:rPr>
              <w:t xml:space="preserve">2007 TG422</w:t>
            </w:r>
          </w:p>
        </w:tc>
        <w:tc>
          <w:tcPr>
            <w:tcW w:type="dxa" w:w="1200"/>
          </w:tcPr>
          <w:p>
            <w:pPr>
              <w:jc w:val="center"/>
            </w:pPr>
            <w:r>
              <w:rPr>
                <w:rFonts w:ascii="Times New Roman" w:cs="Times New Roman" w:eastAsia="Times New Roman" w:hAnsi="Times New Roman"/>
                <w:b w:val="false"/>
                <w:bCs w:val="false"/>
                <w:sz w:val="20"/>
                <w:szCs w:val="20"/>
              </w:rPr>
              <w:t xml:space="preserve">531,9</w:t>
            </w:r>
          </w:p>
        </w:tc>
        <w:tc>
          <w:tcPr>
            <w:tcW w:type="dxa" w:w="1000"/>
          </w:tcPr>
          <w:p>
            <w:pPr>
              <w:jc w:val="center"/>
            </w:pPr>
            <w:r>
              <w:rPr>
                <w:rFonts w:ascii="Times New Roman" w:cs="Times New Roman" w:eastAsia="Times New Roman" w:hAnsi="Times New Roman"/>
                <w:b w:val="false"/>
                <w:bCs w:val="false"/>
                <w:sz w:val="20"/>
                <w:szCs w:val="20"/>
              </w:rPr>
              <w:t xml:space="preserve">0,933</w:t>
            </w:r>
          </w:p>
        </w:tc>
        <w:tc>
          <w:tcPr>
            <w:tcW w:type="dxa" w:w="1200"/>
          </w:tcPr>
          <w:p>
            <w:pPr>
              <w:jc w:val="center"/>
            </w:pPr>
            <w:r>
              <w:rPr>
                <w:rFonts w:ascii="Times New Roman" w:cs="Times New Roman" w:eastAsia="Times New Roman" w:hAnsi="Times New Roman"/>
                <w:b w:val="false"/>
                <w:bCs w:val="false"/>
                <w:sz w:val="20"/>
                <w:szCs w:val="20"/>
              </w:rPr>
              <w:t xml:space="preserve">35,6</w:t>
            </w:r>
          </w:p>
        </w:tc>
        <w:tc>
          <w:tcPr>
            <w:tcW w:type="dxa" w:w="1000"/>
          </w:tcPr>
          <w:p>
            <w:pPr>
              <w:jc w:val="center"/>
            </w:pPr>
            <w:r>
              <w:rPr>
                <w:rFonts w:ascii="Times New Roman" w:cs="Times New Roman" w:eastAsia="Times New Roman" w:hAnsi="Times New Roman"/>
                <w:b w:val="false"/>
                <w:bCs w:val="false"/>
                <w:sz w:val="20"/>
                <w:szCs w:val="20"/>
              </w:rPr>
              <w:t xml:space="preserve">18,6</w:t>
            </w:r>
          </w:p>
        </w:tc>
        <w:tc>
          <w:tcPr>
            <w:tcW w:type="dxa" w:w="1200"/>
          </w:tcPr>
          <w:p>
            <w:pPr>
              <w:jc w:val="center"/>
            </w:pPr>
            <w:r>
              <w:rPr>
                <w:rFonts w:ascii="Times New Roman" w:cs="Times New Roman" w:eastAsia="Times New Roman" w:hAnsi="Times New Roman"/>
                <w:b w:val="false"/>
                <w:bCs w:val="false"/>
                <w:sz w:val="20"/>
                <w:szCs w:val="20"/>
              </w:rPr>
              <w:t xml:space="preserve">38,8</w:t>
            </w:r>
          </w:p>
        </w:tc>
      </w:tr>
      <w:tr>
        <w:tc>
          <w:tcPr>
            <w:tcW w:type="dxa" w:w="2200"/>
          </w:tcPr>
          <w:p>
            <w:pPr>
              <w:jc w:val="center"/>
            </w:pPr>
            <w:r>
              <w:rPr>
                <w:rFonts w:ascii="Times New Roman" w:cs="Times New Roman" w:eastAsia="Times New Roman" w:hAnsi="Times New Roman"/>
                <w:b w:val="false"/>
                <w:bCs w:val="false"/>
                <w:sz w:val="20"/>
                <w:szCs w:val="20"/>
              </w:rPr>
              <w:t xml:space="preserve">2007 VJ305</w:t>
            </w:r>
          </w:p>
        </w:tc>
        <w:tc>
          <w:tcPr>
            <w:tcW w:type="dxa" w:w="1200"/>
          </w:tcPr>
          <w:p>
            <w:pPr>
              <w:jc w:val="center"/>
            </w:pPr>
            <w:r>
              <w:rPr>
                <w:rFonts w:ascii="Times New Roman" w:cs="Times New Roman" w:eastAsia="Times New Roman" w:hAnsi="Times New Roman"/>
                <w:b w:val="false"/>
                <w:bCs w:val="false"/>
                <w:sz w:val="20"/>
                <w:szCs w:val="20"/>
              </w:rPr>
              <w:t xml:space="preserve">192,4</w:t>
            </w:r>
          </w:p>
        </w:tc>
        <w:tc>
          <w:tcPr>
            <w:tcW w:type="dxa" w:w="1000"/>
          </w:tcPr>
          <w:p>
            <w:pPr>
              <w:jc w:val="center"/>
            </w:pPr>
            <w:r>
              <w:rPr>
                <w:rFonts w:ascii="Times New Roman" w:cs="Times New Roman" w:eastAsia="Times New Roman" w:hAnsi="Times New Roman"/>
                <w:b w:val="false"/>
                <w:bCs w:val="false"/>
                <w:sz w:val="20"/>
                <w:szCs w:val="20"/>
              </w:rPr>
              <w:t xml:space="preserve">0,817</w:t>
            </w:r>
          </w:p>
        </w:tc>
        <w:tc>
          <w:tcPr>
            <w:tcW w:type="dxa" w:w="1200"/>
          </w:tcPr>
          <w:p>
            <w:pPr>
              <w:jc w:val="center"/>
            </w:pPr>
            <w:r>
              <w:rPr>
                <w:rFonts w:ascii="Times New Roman" w:cs="Times New Roman" w:eastAsia="Times New Roman" w:hAnsi="Times New Roman"/>
                <w:b w:val="false"/>
                <w:bCs w:val="false"/>
                <w:sz w:val="20"/>
                <w:szCs w:val="20"/>
              </w:rPr>
              <w:t xml:space="preserve">35,2</w:t>
            </w:r>
          </w:p>
        </w:tc>
        <w:tc>
          <w:tcPr>
            <w:tcW w:type="dxa" w:w="1000"/>
          </w:tcPr>
          <w:p>
            <w:pPr>
              <w:jc w:val="center"/>
            </w:pPr>
            <w:r>
              <w:rPr>
                <w:rFonts w:ascii="Times New Roman" w:cs="Times New Roman" w:eastAsia="Times New Roman" w:hAnsi="Times New Roman"/>
                <w:b w:val="false"/>
                <w:bCs w:val="false"/>
                <w:sz w:val="20"/>
                <w:szCs w:val="20"/>
              </w:rPr>
              <w:t xml:space="preserve">12,0</w:t>
            </w:r>
          </w:p>
        </w:tc>
        <w:tc>
          <w:tcPr>
            <w:tcW w:type="dxa" w:w="1200"/>
          </w:tcPr>
          <w:p>
            <w:pPr>
              <w:jc w:val="center"/>
            </w:pPr>
            <w:r>
              <w:rPr>
                <w:rFonts w:ascii="Times New Roman" w:cs="Times New Roman" w:eastAsia="Times New Roman" w:hAnsi="Times New Roman"/>
                <w:b w:val="false"/>
                <w:bCs w:val="false"/>
                <w:sz w:val="20"/>
                <w:szCs w:val="20"/>
              </w:rPr>
              <w:t xml:space="preserve">2,9</w:t>
            </w:r>
          </w:p>
        </w:tc>
      </w:tr>
      <w:tr>
        <w:tc>
          <w:tcPr>
            <w:tcW w:type="dxa" w:w="2200"/>
          </w:tcPr>
          <w:p>
            <w:pPr>
              <w:jc w:val="center"/>
            </w:pPr>
            <w:r>
              <w:rPr>
                <w:rFonts w:ascii="Times New Roman" w:cs="Times New Roman" w:eastAsia="Times New Roman" w:hAnsi="Times New Roman"/>
                <w:b w:val="false"/>
                <w:bCs w:val="false"/>
                <w:sz w:val="20"/>
                <w:szCs w:val="20"/>
              </w:rPr>
              <w:t xml:space="preserve">2010 GB174</w:t>
            </w:r>
          </w:p>
        </w:tc>
        <w:tc>
          <w:tcPr>
            <w:tcW w:type="dxa" w:w="1200"/>
          </w:tcPr>
          <w:p>
            <w:pPr>
              <w:jc w:val="center"/>
            </w:pPr>
            <w:r>
              <w:rPr>
                <w:rFonts w:ascii="Times New Roman" w:cs="Times New Roman" w:eastAsia="Times New Roman" w:hAnsi="Times New Roman"/>
                <w:b w:val="false"/>
                <w:bCs w:val="false"/>
                <w:sz w:val="20"/>
                <w:szCs w:val="20"/>
              </w:rPr>
              <w:t xml:space="preserve">368,2</w:t>
            </w:r>
          </w:p>
        </w:tc>
        <w:tc>
          <w:tcPr>
            <w:tcW w:type="dxa" w:w="1000"/>
          </w:tcPr>
          <w:p>
            <w:pPr>
              <w:jc w:val="center"/>
            </w:pPr>
            <w:r>
              <w:rPr>
                <w:rFonts w:ascii="Times New Roman" w:cs="Times New Roman" w:eastAsia="Times New Roman" w:hAnsi="Times New Roman"/>
                <w:b w:val="false"/>
                <w:bCs w:val="false"/>
                <w:sz w:val="20"/>
                <w:szCs w:val="20"/>
              </w:rPr>
              <w:t xml:space="preserve">0,868</w:t>
            </w:r>
          </w:p>
        </w:tc>
        <w:tc>
          <w:tcPr>
            <w:tcW w:type="dxa" w:w="1200"/>
          </w:tcPr>
          <w:p>
            <w:pPr>
              <w:jc w:val="center"/>
            </w:pPr>
            <w:r>
              <w:rPr>
                <w:rFonts w:ascii="Times New Roman" w:cs="Times New Roman" w:eastAsia="Times New Roman" w:hAnsi="Times New Roman"/>
                <w:b w:val="false"/>
                <w:bCs w:val="false"/>
                <w:sz w:val="20"/>
                <w:szCs w:val="20"/>
              </w:rPr>
              <w:t xml:space="preserve">48,6</w:t>
            </w:r>
          </w:p>
        </w:tc>
        <w:tc>
          <w:tcPr>
            <w:tcW w:type="dxa" w:w="1000"/>
          </w:tcPr>
          <w:p>
            <w:pPr>
              <w:jc w:val="center"/>
            </w:pPr>
            <w:r>
              <w:rPr>
                <w:rFonts w:ascii="Times New Roman" w:cs="Times New Roman" w:eastAsia="Times New Roman" w:hAnsi="Times New Roman"/>
                <w:b w:val="false"/>
                <w:bCs w:val="false"/>
                <w:sz w:val="20"/>
                <w:szCs w:val="20"/>
              </w:rPr>
              <w:t xml:space="preserve">21,5</w:t>
            </w:r>
          </w:p>
        </w:tc>
        <w:tc>
          <w:tcPr>
            <w:tcW w:type="dxa" w:w="1200"/>
          </w:tcPr>
          <w:p>
            <w:pPr>
              <w:jc w:val="center"/>
            </w:pPr>
            <w:r>
              <w:rPr>
                <w:rFonts w:ascii="Times New Roman" w:cs="Times New Roman" w:eastAsia="Times New Roman" w:hAnsi="Times New Roman"/>
                <w:b w:val="false"/>
                <w:bCs w:val="false"/>
                <w:sz w:val="20"/>
                <w:szCs w:val="20"/>
              </w:rPr>
              <w:t xml:space="preserve">118,1</w:t>
            </w:r>
          </w:p>
        </w:tc>
      </w:tr>
      <w:tr>
        <w:tc>
          <w:tcPr>
            <w:tcW w:type="dxa" w:w="2200"/>
          </w:tcPr>
          <w:p>
            <w:pPr>
              <w:jc w:val="center"/>
            </w:pPr>
            <w:r>
              <w:rPr>
                <w:rFonts w:ascii="Times New Roman" w:cs="Times New Roman" w:eastAsia="Times New Roman" w:hAnsi="Times New Roman"/>
                <w:b w:val="false"/>
                <w:bCs w:val="false"/>
                <w:sz w:val="20"/>
                <w:szCs w:val="20"/>
              </w:rPr>
              <w:t xml:space="preserve">2010 VZ98</w:t>
            </w:r>
          </w:p>
        </w:tc>
        <w:tc>
          <w:tcPr>
            <w:tcW w:type="dxa" w:w="1200"/>
          </w:tcPr>
          <w:p>
            <w:pPr>
              <w:jc w:val="center"/>
            </w:pPr>
            <w:r>
              <w:rPr>
                <w:rFonts w:ascii="Times New Roman" w:cs="Times New Roman" w:eastAsia="Times New Roman" w:hAnsi="Times New Roman"/>
                <w:b w:val="false"/>
                <w:bCs w:val="false"/>
                <w:sz w:val="20"/>
                <w:szCs w:val="20"/>
              </w:rPr>
              <w:t xml:space="preserve">156,5</w:t>
            </w:r>
          </w:p>
        </w:tc>
        <w:tc>
          <w:tcPr>
            <w:tcW w:type="dxa" w:w="1000"/>
          </w:tcPr>
          <w:p>
            <w:pPr>
              <w:jc w:val="center"/>
            </w:pPr>
            <w:r>
              <w:rPr>
                <w:rFonts w:ascii="Times New Roman" w:cs="Times New Roman" w:eastAsia="Times New Roman" w:hAnsi="Times New Roman"/>
                <w:b w:val="false"/>
                <w:bCs w:val="false"/>
                <w:sz w:val="20"/>
                <w:szCs w:val="20"/>
              </w:rPr>
              <w:t xml:space="preserve">0,781</w:t>
            </w:r>
          </w:p>
        </w:tc>
        <w:tc>
          <w:tcPr>
            <w:tcW w:type="dxa" w:w="1200"/>
          </w:tcPr>
          <w:p>
            <w:pPr>
              <w:jc w:val="center"/>
            </w:pPr>
            <w:r>
              <w:rPr>
                <w:rFonts w:ascii="Times New Roman" w:cs="Times New Roman" w:eastAsia="Times New Roman" w:hAnsi="Times New Roman"/>
                <w:b w:val="false"/>
                <w:bCs w:val="false"/>
                <w:sz w:val="20"/>
                <w:szCs w:val="20"/>
              </w:rPr>
              <w:t xml:space="preserve">34,3</w:t>
            </w:r>
          </w:p>
        </w:tc>
        <w:tc>
          <w:tcPr>
            <w:tcW w:type="dxa" w:w="1000"/>
          </w:tcPr>
          <w:p>
            <w:pPr>
              <w:jc w:val="center"/>
            </w:pPr>
            <w:r>
              <w:rPr>
                <w:rFonts w:ascii="Times New Roman" w:cs="Times New Roman" w:eastAsia="Times New Roman" w:hAnsi="Times New Roman"/>
                <w:b w:val="false"/>
                <w:bCs w:val="false"/>
                <w:sz w:val="20"/>
                <w:szCs w:val="20"/>
              </w:rPr>
              <w:t xml:space="preserve">4,5</w:t>
            </w:r>
          </w:p>
        </w:tc>
        <w:tc>
          <w:tcPr>
            <w:tcW w:type="dxa" w:w="1200"/>
          </w:tcPr>
          <w:p>
            <w:pPr>
              <w:jc w:val="center"/>
            </w:pPr>
            <w:r>
              <w:rPr>
                <w:rFonts w:ascii="Times New Roman" w:cs="Times New Roman" w:eastAsia="Times New Roman" w:hAnsi="Times New Roman"/>
                <w:b w:val="false"/>
                <w:bCs w:val="false"/>
                <w:sz w:val="20"/>
                <w:szCs w:val="20"/>
              </w:rPr>
              <w:t xml:space="preserve">71,3</w:t>
            </w:r>
          </w:p>
        </w:tc>
      </w:tr>
      <w:tr>
        <w:tc>
          <w:tcPr>
            <w:tcW w:type="dxa" w:w="2200"/>
          </w:tcPr>
          <w:p>
            <w:pPr>
              <w:jc w:val="center"/>
            </w:pPr>
            <w:r>
              <w:rPr>
                <w:rFonts w:ascii="Times New Roman" w:cs="Times New Roman" w:eastAsia="Times New Roman" w:hAnsi="Times New Roman"/>
                <w:b w:val="false"/>
                <w:bCs w:val="false"/>
                <w:sz w:val="20"/>
                <w:szCs w:val="20"/>
              </w:rPr>
              <w:t xml:space="preserve">2012 VP113</w:t>
            </w:r>
          </w:p>
        </w:tc>
        <w:tc>
          <w:tcPr>
            <w:tcW w:type="dxa" w:w="1200"/>
          </w:tcPr>
          <w:p>
            <w:pPr>
              <w:jc w:val="center"/>
            </w:pPr>
            <w:r>
              <w:rPr>
                <w:rFonts w:ascii="Times New Roman" w:cs="Times New Roman" w:eastAsia="Times New Roman" w:hAnsi="Times New Roman"/>
                <w:b w:val="false"/>
                <w:bCs w:val="false"/>
                <w:sz w:val="20"/>
                <w:szCs w:val="20"/>
              </w:rPr>
              <w:t xml:space="preserve">264,9</w:t>
            </w:r>
          </w:p>
        </w:tc>
        <w:tc>
          <w:tcPr>
            <w:tcW w:type="dxa" w:w="1000"/>
          </w:tcPr>
          <w:p>
            <w:pPr>
              <w:jc w:val="center"/>
            </w:pPr>
            <w:r>
              <w:rPr>
                <w:rFonts w:ascii="Times New Roman" w:cs="Times New Roman" w:eastAsia="Times New Roman" w:hAnsi="Times New Roman"/>
                <w:b w:val="false"/>
                <w:bCs w:val="false"/>
                <w:sz w:val="20"/>
                <w:szCs w:val="20"/>
              </w:rPr>
              <w:t xml:space="preserve">0,696</w:t>
            </w:r>
          </w:p>
        </w:tc>
        <w:tc>
          <w:tcPr>
            <w:tcW w:type="dxa" w:w="1200"/>
          </w:tcPr>
          <w:p>
            <w:pPr>
              <w:jc w:val="center"/>
            </w:pPr>
            <w:r>
              <w:rPr>
                <w:rFonts w:ascii="Times New Roman" w:cs="Times New Roman" w:eastAsia="Times New Roman" w:hAnsi="Times New Roman"/>
                <w:b w:val="false"/>
                <w:bCs w:val="false"/>
                <w:sz w:val="20"/>
                <w:szCs w:val="20"/>
              </w:rPr>
              <w:t xml:space="preserve">80,5</w:t>
            </w:r>
          </w:p>
        </w:tc>
        <w:tc>
          <w:tcPr>
            <w:tcW w:type="dxa" w:w="1000"/>
          </w:tcPr>
          <w:p>
            <w:pPr>
              <w:jc w:val="center"/>
            </w:pPr>
            <w:r>
              <w:rPr>
                <w:rFonts w:ascii="Times New Roman" w:cs="Times New Roman" w:eastAsia="Times New Roman" w:hAnsi="Times New Roman"/>
                <w:b w:val="false"/>
                <w:bCs w:val="false"/>
                <w:sz w:val="20"/>
                <w:szCs w:val="20"/>
              </w:rPr>
              <w:t xml:space="preserve">24,0</w:t>
            </w:r>
          </w:p>
        </w:tc>
        <w:tc>
          <w:tcPr>
            <w:tcW w:type="dxa" w:w="1200"/>
          </w:tcPr>
          <w:p>
            <w:pPr>
              <w:jc w:val="center"/>
            </w:pPr>
            <w:r>
              <w:rPr>
                <w:rFonts w:ascii="Times New Roman" w:cs="Times New Roman" w:eastAsia="Times New Roman" w:hAnsi="Times New Roman"/>
                <w:b w:val="false"/>
                <w:bCs w:val="false"/>
                <w:sz w:val="20"/>
                <w:szCs w:val="20"/>
              </w:rPr>
              <w:t xml:space="preserve">24,9</w:t>
            </w:r>
          </w:p>
        </w:tc>
      </w:tr>
    </w:tbl>
    <w:p>
      <w:pPr>
        <w:spacing w:after="240" w:line="276"/>
        <w:jc w:val="both"/>
      </w:pPr>
      <w:r>
        <w:rPr>
          <w:rFonts w:ascii="Times New Roman" w:cs="Times New Roman" w:eastAsia="Times New Roman" w:hAnsi="Times New Roman"/>
          <w:i w:val="false"/>
          <w:iCs w:val="false"/>
          <w:sz w:val="20"/>
          <w:szCs w:val="20"/>
        </w:rPr>
        <w:t xml:space="preserve">Fonte: catalog_validated.csv do repositório (elaboração própria a partir de DE LA FUENTE MARCOS; DE LA FUENTE MARCOS, 2014). q = a(1 − e) e ϖ = Ω + ω (mod 360°) são derivados; Ammonite/2023 KQ14, 2017 OF201 e Leleākūhonua/2015 TG387 (status parcial) não integram esta tabela (ver texto).</w:t>
      </w:r>
    </w:p>
    <w:p>
      <w:pPr>
        <w:spacing w:after="200" w:before="400" w:line="360"/>
        <w:jc w:val="left"/>
      </w:pPr>
      <w:r>
        <w:rPr>
          <w:rFonts w:ascii="Times New Roman" w:cs="Times New Roman" w:eastAsia="Times New Roman" w:hAnsi="Times New Roman"/>
          <w:b/>
          <w:bCs/>
          <w:sz w:val="24"/>
          <w:szCs w:val="24"/>
        </w:rPr>
        <w:t xml:space="preserve">2.3 Modelo físico e integração numérica</w:t>
      </w:r>
    </w:p>
    <w:p>
      <w:pPr>
        <w:spacing w:after="200" w:line="360"/>
        <w:jc w:val="both"/>
      </w:pPr>
      <w:r>
        <w:rPr>
          <w:rFonts w:ascii="Times New Roman" w:cs="Times New Roman" w:eastAsia="Times New Roman" w:hAnsi="Times New Roman"/>
          <w:sz w:val="24"/>
          <w:szCs w:val="24"/>
        </w:rPr>
        <w:t xml:space="preserve">O modelo mínimo contém o Sol, os gigantes Júpiter, Saturno, Urano e Netuno (elementos na época J2000) e os ETNOs como partículas sem massa; com include_p9 verdadeiro, o candidato P9 é adicionado como partícula massiva. Com unidades em ano, UA e massa solar e G = 4π², o período de Júpiter (a = 5,2044 UA) é P ≈ 11,8729 anos. As integrações usam REBOUND 5.1.1 (REIN; LIU, 2012) com o integrador simplético WHFast.</w:t>
      </w:r>
    </w:p>
    <w:p>
      <w:pPr>
        <w:spacing w:after="200" w:line="360"/>
        <w:jc w:val="both"/>
      </w:pPr>
      <w:r>
        <w:rPr>
          <w:rFonts w:ascii="Times New Roman" w:cs="Times New Roman" w:eastAsia="Times New Roman" w:hAnsi="Times New Roman"/>
          <w:sz w:val="24"/>
          <w:szCs w:val="24"/>
        </w:rPr>
        <w:t xml:space="preserve">O passo não é arbitrado: Δt = P_mín/20, em que P_mín é o período do corpo mais interno (Júpiter), resultando em Δt = 0,593644 ano, derivado em código por planet9lab.physics.recommended_timestep_years e conferido por teste automatizado. O controle pareado exige, por candidato, integrações com e sem P9 idênticas em tudo (sementes [12345] nas execuções; estabilidade entre múltiplas sementes permanece pendente). Integrações seculares usam finalização padronizada e checkpointing a cada 10⁶ anos.</w:t>
      </w:r>
    </w:p>
    <w:p>
      <w:pPr>
        <w:spacing w:after="200" w:line="360"/>
        <w:jc w:val="both"/>
      </w:pPr>
      <w:r>
        <w:rPr>
          <w:rFonts w:ascii="Times New Roman" w:cs="Times New Roman" w:eastAsia="Times New Roman" w:hAnsi="Times New Roman"/>
          <w:sz w:val="24"/>
          <w:szCs w:val="24"/>
        </w:rPr>
        <w:t xml:space="preserve">Os horizontes devem ser lidos com rigor: as telas de candidatos integraram 1 Myr. O orçamento secular configurado prevê 10⁸ anos (100 Myr) como ponto de partida conservador — horizonte efetivamente usado no Estágio 3 do funil nesta versão (Seção 2.6); integrações de 1 Gyr ou 4 Gyr não foram executadas neste projeto até o momento — quando a literatura menciona 4 Gyr (por exemplo, BROWN; BATYGIN, 2016), trata-se de horizonte da literatura, não de execução deste estudo.</w:t>
      </w:r>
    </w:p>
    <w:p>
      <w:pPr>
        <w:spacing w:after="200" w:before="400" w:line="360"/>
        <w:jc w:val="left"/>
      </w:pPr>
      <w:r>
        <w:rPr>
          <w:rFonts w:ascii="Times New Roman" w:cs="Times New Roman" w:eastAsia="Times New Roman" w:hAnsi="Times New Roman"/>
          <w:b/>
          <w:bCs/>
          <w:sz w:val="24"/>
          <w:szCs w:val="24"/>
        </w:rPr>
        <w:t xml:space="preserve">2.4 Candidatos ao Planeta Nove</w:t>
      </w:r>
    </w:p>
    <w:p>
      <w:pPr>
        <w:spacing w:after="200" w:line="360"/>
        <w:jc w:val="both"/>
      </w:pPr>
      <w:r>
        <w:rPr>
          <w:rFonts w:ascii="Times New Roman" w:cs="Times New Roman" w:eastAsia="Times New Roman" w:hAnsi="Times New Roman"/>
          <w:sz w:val="24"/>
          <w:szCs w:val="24"/>
        </w:rPr>
        <w:t xml:space="preserve">Oito candidatos do Quadro 2 do projeto varrem massa (4 a 10 massas terrestres na faixa original, ampliada a 4 a 10,2 com a nova linha), semi-eixo maior (300 a 800 UA), excentricidade (0,20 a 0,60) e inclinação (15,6° a 32°) (Tabela 2). Para linhas sem i ou M especificados nas sete originais, os valores foram fixados no centro do Cenário 6 (“cenário intermediário (preferido)”: M = 6 massas terrestres, a = 500 UA, e = 0,35, i = 20°), evitando um grau de liberdade extra não testado por linha.</w:t>
      </w:r>
    </w:p>
    <w:p>
      <w:pPr>
        <w:spacing w:after="200" w:line="360"/>
        <w:jc w:val="both"/>
      </w:pPr>
      <w:r>
        <w:rPr>
          <w:rFonts w:ascii="Times New Roman" w:cs="Times New Roman" w:eastAsia="Times New Roman" w:hAnsi="Times New Roman"/>
          <w:sz w:val="24"/>
          <w:szCs w:val="24"/>
        </w:rPr>
        <w:t xml:space="preserve">Os ângulos ω9 = 200°, Ω9 = 270° e M0 = 180° (logo, ϖ9 = 110°) permanecem, para as sete linhas originais, um ponto central único, assumido, não medido. Nesta etapa foi acrescentada a linha p9_row8_bb21_fit, derivada diretamente do ajuste de BROWN e BATYGIN (2021): M = 6,2 massas terrestres, a = 382,4 UA, e = 0,20, i = 15,6°. Os ângulos ω9 e Ω9 dessa linha foram decompostos como ω9 = 246,7° e Ω9 = 0°, escolha de modelagem feita para reproduzir a longitude do periélio ϖ9 = 246,7° publicada em BB21, com Ω9 = 0° fixado por simplicidade na ausência de decomposição própria publicada; M0 = 180° repete o baseline das demais sete linhas, por não haver dado melhor disponível. Essa decomposição diverge em cerca de 137° do ϖ9 = 110° assumido nas sete linhas originais; a discriminação entre as duas soluções angulares é registrada como pendência que exige execução em horizonte secular (Seção 3.3).</w:t>
      </w:r>
    </w:p>
    <w:p>
      <w:pPr>
        <w:spacing w:after="100" w:line="360"/>
        <w:jc w:val="left"/>
      </w:pPr>
      <w:r>
        <w:rPr>
          <w:rFonts w:ascii="Times New Roman" w:cs="Times New Roman" w:eastAsia="Times New Roman" w:hAnsi="Times New Roman"/>
          <w:sz w:val="24"/>
          <w:szCs w:val="24"/>
        </w:rPr>
        <w:t xml:space="preserve">Tabela 2 — Candidatos P9 avaliados (Quadro 2 do artigo original do projeto, ampliado para 8 linhas).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100"/>
        <w:gridCol w:w="1000"/>
        <w:gridCol w:w="1100"/>
      </w:tblGrid>
      <w:tr>
        <w:tc>
          <w:tcPr>
            <w:tcW w:type="dxa" w:w="3200"/>
            <w:shd w:fill="D9D9D9" w:val="clear"/>
          </w:tcPr>
          <w:p>
            <w:pPr>
              <w:jc w:val="center"/>
            </w:pPr>
            <w:r>
              <w:rPr>
                <w:rFonts w:ascii="Times New Roman" w:cs="Times New Roman" w:eastAsia="Times New Roman" w:hAnsi="Times New Roman"/>
                <w:b/>
                <w:bCs/>
                <w:sz w:val="20"/>
                <w:szCs w:val="20"/>
              </w:rPr>
              <w:t xml:space="preserve">Candidato</w:t>
            </w:r>
          </w:p>
        </w:tc>
        <w:tc>
          <w:tcPr>
            <w:tcW w:type="dxa" w:w="1200"/>
            <w:shd w:fill="D9D9D9" w:val="clear"/>
          </w:tcPr>
          <w:p>
            <w:pPr>
              <w:jc w:val="center"/>
            </w:pPr>
            <w:r>
              <w:rPr>
                <w:rFonts w:ascii="Times New Roman" w:cs="Times New Roman" w:eastAsia="Times New Roman" w:hAnsi="Times New Roman"/>
                <w:b/>
                <w:bCs/>
                <w:sz w:val="20"/>
                <w:szCs w:val="20"/>
              </w:rPr>
              <w:t xml:space="preserve">M (M⊕)</w:t>
            </w:r>
          </w:p>
        </w:tc>
        <w:tc>
          <w:tcPr>
            <w:tcW w:type="dxa" w:w="1100"/>
            <w:shd w:fill="D9D9D9" w:val="clear"/>
          </w:tcPr>
          <w:p>
            <w:pPr>
              <w:jc w:val="center"/>
            </w:pPr>
            <w:r>
              <w:rPr>
                <w:rFonts w:ascii="Times New Roman" w:cs="Times New Roman" w:eastAsia="Times New Roman" w:hAnsi="Times New Roman"/>
                <w:b/>
                <w:bCs/>
                <w:sz w:val="20"/>
                <w:szCs w:val="20"/>
              </w:rPr>
              <w:t xml:space="preserve">a (UA)</w:t>
            </w:r>
          </w:p>
        </w:tc>
        <w:tc>
          <w:tcPr>
            <w:tcW w:type="dxa" w:w="1000"/>
            <w:shd w:fill="D9D9D9" w:val="clear"/>
          </w:tcPr>
          <w:p>
            <w:pPr>
              <w:jc w:val="center"/>
            </w:pPr>
            <w:r>
              <w:rPr>
                <w:rFonts w:ascii="Times New Roman" w:cs="Times New Roman" w:eastAsia="Times New Roman" w:hAnsi="Times New Roman"/>
                <w:b/>
                <w:bCs/>
                <w:sz w:val="20"/>
                <w:szCs w:val="20"/>
              </w:rPr>
              <w:t xml:space="preserve">e</w:t>
            </w:r>
          </w:p>
        </w:tc>
        <w:tc>
          <w:tcPr>
            <w:tcW w:type="dxa" w:w="1100"/>
            <w:shd w:fill="D9D9D9" w:val="clear"/>
          </w:tcPr>
          <w:p>
            <w:pPr>
              <w:jc w:val="center"/>
            </w:pPr>
            <w:r>
              <w:rPr>
                <w:rFonts w:ascii="Times New Roman" w:cs="Times New Roman" w:eastAsia="Times New Roman" w:hAnsi="Times New Roman"/>
                <w:b/>
                <w:bCs/>
                <w:sz w:val="20"/>
                <w:szCs w:val="20"/>
              </w:rPr>
              <w:t xml:space="preserve">i (°)</w:t>
            </w:r>
          </w:p>
        </w:tc>
      </w:tr>
      <w:tr>
        <w:tc>
          <w:tcPr>
            <w:tcW w:type="dxa" w:w="3200"/>
          </w:tcPr>
          <w:p>
            <w:pPr>
              <w:jc w:val="center"/>
            </w:pPr>
            <w:r>
              <w:rPr>
                <w:rFonts w:ascii="Times New Roman" w:cs="Times New Roman" w:eastAsia="Times New Roman" w:hAnsi="Times New Roman"/>
                <w:b w:val="false"/>
                <w:bCs w:val="false"/>
                <w:sz w:val="20"/>
                <w:szCs w:val="20"/>
              </w:rPr>
              <w:t xml:space="preserve">p9_row1_lowmass_close</w:t>
            </w:r>
          </w:p>
        </w:tc>
        <w:tc>
          <w:tcPr>
            <w:tcW w:type="dxa" w:w="1200"/>
          </w:tcPr>
          <w:p>
            <w:pPr>
              <w:jc w:val="center"/>
            </w:pPr>
            <w:r>
              <w:rPr>
                <w:rFonts w:ascii="Times New Roman" w:cs="Times New Roman" w:eastAsia="Times New Roman" w:hAnsi="Times New Roman"/>
                <w:b w:val="false"/>
                <w:bCs w:val="false"/>
                <w:sz w:val="20"/>
                <w:szCs w:val="20"/>
              </w:rPr>
              <w:t xml:space="preserve">4</w:t>
            </w:r>
          </w:p>
        </w:tc>
        <w:tc>
          <w:tcPr>
            <w:tcW w:type="dxa" w:w="1100"/>
          </w:tcPr>
          <w:p>
            <w:pPr>
              <w:jc w:val="center"/>
            </w:pPr>
            <w:r>
              <w:rPr>
                <w:rFonts w:ascii="Times New Roman" w:cs="Times New Roman" w:eastAsia="Times New Roman" w:hAnsi="Times New Roman"/>
                <w:b w:val="false"/>
                <w:bCs w:val="false"/>
                <w:sz w:val="20"/>
                <w:szCs w:val="20"/>
              </w:rPr>
              <w:t xml:space="preserve">300</w:t>
            </w:r>
          </w:p>
        </w:tc>
        <w:tc>
          <w:tcPr>
            <w:tcW w:type="dxa" w:w="1000"/>
          </w:tcPr>
          <w:p>
            <w:pPr>
              <w:jc w:val="center"/>
            </w:pPr>
            <w:r>
              <w:rPr>
                <w:rFonts w:ascii="Times New Roman" w:cs="Times New Roman" w:eastAsia="Times New Roman" w:hAnsi="Times New Roman"/>
                <w:b w:val="false"/>
                <w:bCs w:val="false"/>
                <w:sz w:val="20"/>
                <w:szCs w:val="20"/>
              </w:rPr>
              <w:t xml:space="preserve">0,20</w:t>
            </w:r>
          </w:p>
        </w:tc>
        <w:tc>
          <w:tcPr>
            <w:tcW w:type="dxa" w:w="1100"/>
          </w:tcPr>
          <w:p>
            <w:pPr>
              <w:jc w:val="center"/>
            </w:pPr>
            <w:r>
              <w:rPr>
                <w:rFonts w:ascii="Times New Roman" w:cs="Times New Roman" w:eastAsia="Times New Roman" w:hAnsi="Times New Roman"/>
                <w:b w:val="false"/>
                <w:bCs w:val="false"/>
                <w:sz w:val="20"/>
                <w:szCs w:val="20"/>
              </w:rPr>
              <w:t xml:space="preserve">20</w:t>
            </w:r>
          </w:p>
        </w:tc>
      </w:tr>
      <w:tr>
        <w:tc>
          <w:tcPr>
            <w:tcW w:type="dxa" w:w="3200"/>
          </w:tcPr>
          <w:p>
            <w:pPr>
              <w:jc w:val="center"/>
            </w:pPr>
            <w:r>
              <w:rPr>
                <w:rFonts w:ascii="Times New Roman" w:cs="Times New Roman" w:eastAsia="Times New Roman" w:hAnsi="Times New Roman"/>
                <w:b w:val="false"/>
                <w:bCs w:val="false"/>
                <w:sz w:val="20"/>
                <w:szCs w:val="20"/>
              </w:rPr>
              <w:t xml:space="preserve">p9_row2_highmass_close</w:t>
            </w:r>
          </w:p>
        </w:tc>
        <w:tc>
          <w:tcPr>
            <w:tcW w:type="dxa" w:w="1200"/>
          </w:tcPr>
          <w:p>
            <w:pPr>
              <w:jc w:val="center"/>
            </w:pPr>
            <w:r>
              <w:rPr>
                <w:rFonts w:ascii="Times New Roman" w:cs="Times New Roman" w:eastAsia="Times New Roman" w:hAnsi="Times New Roman"/>
                <w:b w:val="false"/>
                <w:bCs w:val="false"/>
                <w:sz w:val="20"/>
                <w:szCs w:val="20"/>
              </w:rPr>
              <w:t xml:space="preserve">10</w:t>
            </w:r>
          </w:p>
        </w:tc>
        <w:tc>
          <w:tcPr>
            <w:tcW w:type="dxa" w:w="1100"/>
          </w:tcPr>
          <w:p>
            <w:pPr>
              <w:jc w:val="center"/>
            </w:pPr>
            <w:r>
              <w:rPr>
                <w:rFonts w:ascii="Times New Roman" w:cs="Times New Roman" w:eastAsia="Times New Roman" w:hAnsi="Times New Roman"/>
                <w:b w:val="false"/>
                <w:bCs w:val="false"/>
                <w:sz w:val="20"/>
                <w:szCs w:val="20"/>
              </w:rPr>
              <w:t xml:space="preserve">300</w:t>
            </w:r>
          </w:p>
        </w:tc>
        <w:tc>
          <w:tcPr>
            <w:tcW w:type="dxa" w:w="1000"/>
          </w:tcPr>
          <w:p>
            <w:pPr>
              <w:jc w:val="center"/>
            </w:pPr>
            <w:r>
              <w:rPr>
                <w:rFonts w:ascii="Times New Roman" w:cs="Times New Roman" w:eastAsia="Times New Roman" w:hAnsi="Times New Roman"/>
                <w:b w:val="false"/>
                <w:bCs w:val="false"/>
                <w:sz w:val="20"/>
                <w:szCs w:val="20"/>
              </w:rPr>
              <w:t xml:space="preserve">0,50</w:t>
            </w:r>
          </w:p>
        </w:tc>
        <w:tc>
          <w:tcPr>
            <w:tcW w:type="dxa" w:w="1100"/>
          </w:tcPr>
          <w:p>
            <w:pPr>
              <w:jc w:val="center"/>
            </w:pPr>
            <w:r>
              <w:rPr>
                <w:rFonts w:ascii="Times New Roman" w:cs="Times New Roman" w:eastAsia="Times New Roman" w:hAnsi="Times New Roman"/>
                <w:b w:val="false"/>
                <w:bCs w:val="false"/>
                <w:sz w:val="20"/>
                <w:szCs w:val="20"/>
              </w:rPr>
              <w:t xml:space="preserve">20</w:t>
            </w:r>
          </w:p>
        </w:tc>
      </w:tr>
      <w:tr>
        <w:tc>
          <w:tcPr>
            <w:tcW w:type="dxa" w:w="3200"/>
          </w:tcPr>
          <w:p>
            <w:pPr>
              <w:jc w:val="center"/>
            </w:pPr>
            <w:r>
              <w:rPr>
                <w:rFonts w:ascii="Times New Roman" w:cs="Times New Roman" w:eastAsia="Times New Roman" w:hAnsi="Times New Roman"/>
                <w:b w:val="false"/>
                <w:bCs w:val="false"/>
                <w:sz w:val="20"/>
                <w:szCs w:val="20"/>
              </w:rPr>
              <w:t xml:space="preserve">p9_row3_far_eccentric</w:t>
            </w:r>
          </w:p>
        </w:tc>
        <w:tc>
          <w:tcPr>
            <w:tcW w:type="dxa" w:w="1200"/>
          </w:tcPr>
          <w:p>
            <w:pPr>
              <w:jc w:val="center"/>
            </w:pPr>
            <w:r>
              <w:rPr>
                <w:rFonts w:ascii="Times New Roman" w:cs="Times New Roman" w:eastAsia="Times New Roman" w:hAnsi="Times New Roman"/>
                <w:b w:val="false"/>
                <w:bCs w:val="false"/>
                <w:sz w:val="20"/>
                <w:szCs w:val="20"/>
              </w:rPr>
              <w:t xml:space="preserve">6</w:t>
            </w:r>
          </w:p>
        </w:tc>
        <w:tc>
          <w:tcPr>
            <w:tcW w:type="dxa" w:w="1100"/>
          </w:tcPr>
          <w:p>
            <w:pPr>
              <w:jc w:val="center"/>
            </w:pPr>
            <w:r>
              <w:rPr>
                <w:rFonts w:ascii="Times New Roman" w:cs="Times New Roman" w:eastAsia="Times New Roman" w:hAnsi="Times New Roman"/>
                <w:b w:val="false"/>
                <w:bCs w:val="false"/>
                <w:sz w:val="20"/>
                <w:szCs w:val="20"/>
              </w:rPr>
              <w:t xml:space="preserve">800</w:t>
            </w:r>
          </w:p>
        </w:tc>
        <w:tc>
          <w:tcPr>
            <w:tcW w:type="dxa" w:w="1000"/>
          </w:tcPr>
          <w:p>
            <w:pPr>
              <w:jc w:val="center"/>
            </w:pPr>
            <w:r>
              <w:rPr>
                <w:rFonts w:ascii="Times New Roman" w:cs="Times New Roman" w:eastAsia="Times New Roman" w:hAnsi="Times New Roman"/>
                <w:b w:val="false"/>
                <w:bCs w:val="false"/>
                <w:sz w:val="20"/>
                <w:szCs w:val="20"/>
              </w:rPr>
              <w:t xml:space="preserve">0,60</w:t>
            </w:r>
          </w:p>
        </w:tc>
        <w:tc>
          <w:tcPr>
            <w:tcW w:type="dxa" w:w="1100"/>
          </w:tcPr>
          <w:p>
            <w:pPr>
              <w:jc w:val="center"/>
            </w:pPr>
            <w:r>
              <w:rPr>
                <w:rFonts w:ascii="Times New Roman" w:cs="Times New Roman" w:eastAsia="Times New Roman" w:hAnsi="Times New Roman"/>
                <w:b w:val="false"/>
                <w:bCs w:val="false"/>
                <w:sz w:val="20"/>
                <w:szCs w:val="20"/>
              </w:rPr>
              <w:t xml:space="preserve">20</w:t>
            </w:r>
          </w:p>
        </w:tc>
      </w:tr>
      <w:tr>
        <w:tc>
          <w:tcPr>
            <w:tcW w:type="dxa" w:w="3200"/>
          </w:tcPr>
          <w:p>
            <w:pPr>
              <w:jc w:val="center"/>
            </w:pPr>
            <w:r>
              <w:rPr>
                <w:rFonts w:ascii="Times New Roman" w:cs="Times New Roman" w:eastAsia="Times New Roman" w:hAnsi="Times New Roman"/>
                <w:b w:val="false"/>
                <w:bCs w:val="false"/>
                <w:sz w:val="20"/>
                <w:szCs w:val="20"/>
              </w:rPr>
              <w:t xml:space="preserve">p9_row4_incl_boundary</w:t>
            </w:r>
          </w:p>
        </w:tc>
        <w:tc>
          <w:tcPr>
            <w:tcW w:type="dxa" w:w="1200"/>
          </w:tcPr>
          <w:p>
            <w:pPr>
              <w:jc w:val="center"/>
            </w:pPr>
            <w:r>
              <w:rPr>
                <w:rFonts w:ascii="Times New Roman" w:cs="Times New Roman" w:eastAsia="Times New Roman" w:hAnsi="Times New Roman"/>
                <w:b w:val="false"/>
                <w:bCs w:val="false"/>
                <w:sz w:val="20"/>
                <w:szCs w:val="20"/>
              </w:rPr>
              <w:t xml:space="preserve">6</w:t>
            </w:r>
          </w:p>
        </w:tc>
        <w:tc>
          <w:tcPr>
            <w:tcW w:type="dxa" w:w="1100"/>
          </w:tcPr>
          <w:p>
            <w:pPr>
              <w:jc w:val="center"/>
            </w:pPr>
            <w:r>
              <w:rPr>
                <w:rFonts w:ascii="Times New Roman" w:cs="Times New Roman" w:eastAsia="Times New Roman" w:hAnsi="Times New Roman"/>
                <w:b w:val="false"/>
                <w:bCs w:val="false"/>
                <w:sz w:val="20"/>
                <w:szCs w:val="20"/>
              </w:rPr>
              <w:t xml:space="preserve">500</w:t>
            </w:r>
          </w:p>
        </w:tc>
        <w:tc>
          <w:tcPr>
            <w:tcW w:type="dxa" w:w="1000"/>
          </w:tcPr>
          <w:p>
            <w:pPr>
              <w:jc w:val="center"/>
            </w:pPr>
            <w:r>
              <w:rPr>
                <w:rFonts w:ascii="Times New Roman" w:cs="Times New Roman" w:eastAsia="Times New Roman" w:hAnsi="Times New Roman"/>
                <w:b w:val="false"/>
                <w:bCs w:val="false"/>
                <w:sz w:val="20"/>
                <w:szCs w:val="20"/>
              </w:rPr>
              <w:t xml:space="preserve">0,35</w:t>
            </w:r>
          </w:p>
        </w:tc>
        <w:tc>
          <w:tcPr>
            <w:tcW w:type="dxa" w:w="1100"/>
          </w:tcPr>
          <w:p>
            <w:pPr>
              <w:jc w:val="center"/>
            </w:pPr>
            <w:r>
              <w:rPr>
                <w:rFonts w:ascii="Times New Roman" w:cs="Times New Roman" w:eastAsia="Times New Roman" w:hAnsi="Times New Roman"/>
                <w:b w:val="false"/>
                <w:bCs w:val="false"/>
                <w:sz w:val="20"/>
                <w:szCs w:val="20"/>
              </w:rPr>
              <w:t xml:space="preserve">32</w:t>
            </w:r>
          </w:p>
        </w:tc>
      </w:tr>
      <w:tr>
        <w:tc>
          <w:tcPr>
            <w:tcW w:type="dxa" w:w="3200"/>
          </w:tcPr>
          <w:p>
            <w:pPr>
              <w:jc w:val="center"/>
            </w:pPr>
            <w:r>
              <w:rPr>
                <w:rFonts w:ascii="Times New Roman" w:cs="Times New Roman" w:eastAsia="Times New Roman" w:hAnsi="Times New Roman"/>
                <w:b w:val="false"/>
                <w:bCs w:val="false"/>
                <w:sz w:val="20"/>
                <w:szCs w:val="20"/>
              </w:rPr>
              <w:t xml:space="preserve">p9_row5_partial_alignment</w:t>
            </w:r>
          </w:p>
        </w:tc>
        <w:tc>
          <w:tcPr>
            <w:tcW w:type="dxa" w:w="1200"/>
          </w:tcPr>
          <w:p>
            <w:pPr>
              <w:jc w:val="center"/>
            </w:pPr>
            <w:r>
              <w:rPr>
                <w:rFonts w:ascii="Times New Roman" w:cs="Times New Roman" w:eastAsia="Times New Roman" w:hAnsi="Times New Roman"/>
                <w:b w:val="false"/>
                <w:bCs w:val="false"/>
                <w:sz w:val="20"/>
                <w:szCs w:val="20"/>
              </w:rPr>
              <w:t xml:space="preserve">5</w:t>
            </w:r>
          </w:p>
        </w:tc>
        <w:tc>
          <w:tcPr>
            <w:tcW w:type="dxa" w:w="1100"/>
          </w:tcPr>
          <w:p>
            <w:pPr>
              <w:jc w:val="center"/>
            </w:pPr>
            <w:r>
              <w:rPr>
                <w:rFonts w:ascii="Times New Roman" w:cs="Times New Roman" w:eastAsia="Times New Roman" w:hAnsi="Times New Roman"/>
                <w:b w:val="false"/>
                <w:bCs w:val="false"/>
                <w:sz w:val="20"/>
                <w:szCs w:val="20"/>
              </w:rPr>
              <w:t xml:space="preserve">400</w:t>
            </w:r>
          </w:p>
        </w:tc>
        <w:tc>
          <w:tcPr>
            <w:tcW w:type="dxa" w:w="1000"/>
          </w:tcPr>
          <w:p>
            <w:pPr>
              <w:jc w:val="center"/>
            </w:pPr>
            <w:r>
              <w:rPr>
                <w:rFonts w:ascii="Times New Roman" w:cs="Times New Roman" w:eastAsia="Times New Roman" w:hAnsi="Times New Roman"/>
                <w:b w:val="false"/>
                <w:bCs w:val="false"/>
                <w:sz w:val="20"/>
                <w:szCs w:val="20"/>
              </w:rPr>
              <w:t xml:space="preserve">0,30</w:t>
            </w:r>
          </w:p>
        </w:tc>
        <w:tc>
          <w:tcPr>
            <w:tcW w:type="dxa" w:w="1100"/>
          </w:tcPr>
          <w:p>
            <w:pPr>
              <w:jc w:val="center"/>
            </w:pPr>
            <w:r>
              <w:rPr>
                <w:rFonts w:ascii="Times New Roman" w:cs="Times New Roman" w:eastAsia="Times New Roman" w:hAnsi="Times New Roman"/>
                <w:b w:val="false"/>
                <w:bCs w:val="false"/>
                <w:sz w:val="20"/>
                <w:szCs w:val="20"/>
              </w:rPr>
              <w:t xml:space="preserve">20</w:t>
            </w:r>
          </w:p>
        </w:tc>
      </w:tr>
      <w:tr>
        <w:tc>
          <w:tcPr>
            <w:tcW w:type="dxa" w:w="3200"/>
          </w:tcPr>
          <w:p>
            <w:pPr>
              <w:jc w:val="center"/>
            </w:pPr>
            <w:r>
              <w:rPr>
                <w:rFonts w:ascii="Times New Roman" w:cs="Times New Roman" w:eastAsia="Times New Roman" w:hAnsi="Times New Roman"/>
                <w:b w:val="false"/>
                <w:bCs w:val="false"/>
                <w:sz w:val="20"/>
                <w:szCs w:val="20"/>
              </w:rPr>
              <w:t xml:space="preserve">p9_row6_preferred</w:t>
            </w:r>
          </w:p>
        </w:tc>
        <w:tc>
          <w:tcPr>
            <w:tcW w:type="dxa" w:w="1200"/>
          </w:tcPr>
          <w:p>
            <w:pPr>
              <w:jc w:val="center"/>
            </w:pPr>
            <w:r>
              <w:rPr>
                <w:rFonts w:ascii="Times New Roman" w:cs="Times New Roman" w:eastAsia="Times New Roman" w:hAnsi="Times New Roman"/>
                <w:b w:val="false"/>
                <w:bCs w:val="false"/>
                <w:sz w:val="20"/>
                <w:szCs w:val="20"/>
              </w:rPr>
              <w:t xml:space="preserve">6</w:t>
            </w:r>
          </w:p>
        </w:tc>
        <w:tc>
          <w:tcPr>
            <w:tcW w:type="dxa" w:w="1100"/>
          </w:tcPr>
          <w:p>
            <w:pPr>
              <w:jc w:val="center"/>
            </w:pPr>
            <w:r>
              <w:rPr>
                <w:rFonts w:ascii="Times New Roman" w:cs="Times New Roman" w:eastAsia="Times New Roman" w:hAnsi="Times New Roman"/>
                <w:b w:val="false"/>
                <w:bCs w:val="false"/>
                <w:sz w:val="20"/>
                <w:szCs w:val="20"/>
              </w:rPr>
              <w:t xml:space="preserve">500</w:t>
            </w:r>
          </w:p>
        </w:tc>
        <w:tc>
          <w:tcPr>
            <w:tcW w:type="dxa" w:w="1000"/>
          </w:tcPr>
          <w:p>
            <w:pPr>
              <w:jc w:val="center"/>
            </w:pPr>
            <w:r>
              <w:rPr>
                <w:rFonts w:ascii="Times New Roman" w:cs="Times New Roman" w:eastAsia="Times New Roman" w:hAnsi="Times New Roman"/>
                <w:b w:val="false"/>
                <w:bCs w:val="false"/>
                <w:sz w:val="20"/>
                <w:szCs w:val="20"/>
              </w:rPr>
              <w:t xml:space="preserve">0,35</w:t>
            </w:r>
          </w:p>
        </w:tc>
        <w:tc>
          <w:tcPr>
            <w:tcW w:type="dxa" w:w="1100"/>
          </w:tcPr>
          <w:p>
            <w:pPr>
              <w:jc w:val="center"/>
            </w:pPr>
            <w:r>
              <w:rPr>
                <w:rFonts w:ascii="Times New Roman" w:cs="Times New Roman" w:eastAsia="Times New Roman" w:hAnsi="Times New Roman"/>
                <w:b w:val="false"/>
                <w:bCs w:val="false"/>
                <w:sz w:val="20"/>
                <w:szCs w:val="20"/>
              </w:rPr>
              <w:t xml:space="preserve">20</w:t>
            </w:r>
          </w:p>
        </w:tc>
      </w:tr>
      <w:tr>
        <w:tc>
          <w:tcPr>
            <w:tcW w:type="dxa" w:w="3200"/>
          </w:tcPr>
          <w:p>
            <w:pPr>
              <w:jc w:val="center"/>
            </w:pPr>
            <w:r>
              <w:rPr>
                <w:rFonts w:ascii="Times New Roman" w:cs="Times New Roman" w:eastAsia="Times New Roman" w:hAnsi="Times New Roman"/>
                <w:b w:val="false"/>
                <w:bCs w:val="false"/>
                <w:sz w:val="20"/>
                <w:szCs w:val="20"/>
              </w:rPr>
              <w:t xml:space="preserve">p9_row7_highmass_viable</w:t>
            </w:r>
          </w:p>
        </w:tc>
        <w:tc>
          <w:tcPr>
            <w:tcW w:type="dxa" w:w="1200"/>
          </w:tcPr>
          <w:p>
            <w:pPr>
              <w:jc w:val="center"/>
            </w:pPr>
            <w:r>
              <w:rPr>
                <w:rFonts w:ascii="Times New Roman" w:cs="Times New Roman" w:eastAsia="Times New Roman" w:hAnsi="Times New Roman"/>
                <w:b w:val="false"/>
                <w:bCs w:val="false"/>
                <w:sz w:val="20"/>
                <w:szCs w:val="20"/>
              </w:rPr>
              <w:t xml:space="preserve">7</w:t>
            </w:r>
          </w:p>
        </w:tc>
        <w:tc>
          <w:tcPr>
            <w:tcW w:type="dxa" w:w="1100"/>
          </w:tcPr>
          <w:p>
            <w:pPr>
              <w:jc w:val="center"/>
            </w:pPr>
            <w:r>
              <w:rPr>
                <w:rFonts w:ascii="Times New Roman" w:cs="Times New Roman" w:eastAsia="Times New Roman" w:hAnsi="Times New Roman"/>
                <w:b w:val="false"/>
                <w:bCs w:val="false"/>
                <w:sz w:val="20"/>
                <w:szCs w:val="20"/>
              </w:rPr>
              <w:t xml:space="preserve">600</w:t>
            </w:r>
          </w:p>
        </w:tc>
        <w:tc>
          <w:tcPr>
            <w:tcW w:type="dxa" w:w="1000"/>
          </w:tcPr>
          <w:p>
            <w:pPr>
              <w:jc w:val="center"/>
            </w:pPr>
            <w:r>
              <w:rPr>
                <w:rFonts w:ascii="Times New Roman" w:cs="Times New Roman" w:eastAsia="Times New Roman" w:hAnsi="Times New Roman"/>
                <w:b w:val="false"/>
                <w:bCs w:val="false"/>
                <w:sz w:val="20"/>
                <w:szCs w:val="20"/>
              </w:rPr>
              <w:t xml:space="preserve">0,45</w:t>
            </w:r>
          </w:p>
        </w:tc>
        <w:tc>
          <w:tcPr>
            <w:tcW w:type="dxa" w:w="1100"/>
          </w:tcPr>
          <w:p>
            <w:pPr>
              <w:jc w:val="center"/>
            </w:pPr>
            <w:r>
              <w:rPr>
                <w:rFonts w:ascii="Times New Roman" w:cs="Times New Roman" w:eastAsia="Times New Roman" w:hAnsi="Times New Roman"/>
                <w:b w:val="false"/>
                <w:bCs w:val="false"/>
                <w:sz w:val="20"/>
                <w:szCs w:val="20"/>
              </w:rPr>
              <w:t xml:space="preserve">18</w:t>
            </w:r>
          </w:p>
        </w:tc>
      </w:tr>
      <w:tr>
        <w:tc>
          <w:tcPr>
            <w:tcW w:type="dxa" w:w="3200"/>
          </w:tcPr>
          <w:p>
            <w:pPr>
              <w:jc w:val="center"/>
            </w:pPr>
            <w:r>
              <w:rPr>
                <w:rFonts w:ascii="Times New Roman" w:cs="Times New Roman" w:eastAsia="Times New Roman" w:hAnsi="Times New Roman"/>
                <w:b w:val="false"/>
                <w:bCs w:val="false"/>
                <w:sz w:val="20"/>
                <w:szCs w:val="20"/>
              </w:rPr>
              <w:t xml:space="preserve">p9_row8_bb21_fit</w:t>
            </w:r>
          </w:p>
        </w:tc>
        <w:tc>
          <w:tcPr>
            <w:tcW w:type="dxa" w:w="1200"/>
          </w:tcPr>
          <w:p>
            <w:pPr>
              <w:jc w:val="center"/>
            </w:pPr>
            <w:r>
              <w:rPr>
                <w:rFonts w:ascii="Times New Roman" w:cs="Times New Roman" w:eastAsia="Times New Roman" w:hAnsi="Times New Roman"/>
                <w:b w:val="false"/>
                <w:bCs w:val="false"/>
                <w:sz w:val="20"/>
                <w:szCs w:val="20"/>
              </w:rPr>
              <w:t xml:space="preserve">6,2</w:t>
            </w:r>
          </w:p>
        </w:tc>
        <w:tc>
          <w:tcPr>
            <w:tcW w:type="dxa" w:w="1100"/>
          </w:tcPr>
          <w:p>
            <w:pPr>
              <w:jc w:val="center"/>
            </w:pPr>
            <w:r>
              <w:rPr>
                <w:rFonts w:ascii="Times New Roman" w:cs="Times New Roman" w:eastAsia="Times New Roman" w:hAnsi="Times New Roman"/>
                <w:b w:val="false"/>
                <w:bCs w:val="false"/>
                <w:sz w:val="20"/>
                <w:szCs w:val="20"/>
              </w:rPr>
              <w:t xml:space="preserve">382,4</w:t>
            </w:r>
          </w:p>
        </w:tc>
        <w:tc>
          <w:tcPr>
            <w:tcW w:type="dxa" w:w="1000"/>
          </w:tcPr>
          <w:p>
            <w:pPr>
              <w:jc w:val="center"/>
            </w:pPr>
            <w:r>
              <w:rPr>
                <w:rFonts w:ascii="Times New Roman" w:cs="Times New Roman" w:eastAsia="Times New Roman" w:hAnsi="Times New Roman"/>
                <w:b w:val="false"/>
                <w:bCs w:val="false"/>
                <w:sz w:val="20"/>
                <w:szCs w:val="20"/>
              </w:rPr>
              <w:t xml:space="preserve">0,20</w:t>
            </w:r>
          </w:p>
        </w:tc>
        <w:tc>
          <w:tcPr>
            <w:tcW w:type="dxa" w:w="1100"/>
          </w:tcPr>
          <w:p>
            <w:pPr>
              <w:jc w:val="center"/>
            </w:pPr>
            <w:r>
              <w:rPr>
                <w:rFonts w:ascii="Times New Roman" w:cs="Times New Roman" w:eastAsia="Times New Roman" w:hAnsi="Times New Roman"/>
                <w:b w:val="false"/>
                <w:bCs w:val="false"/>
                <w:sz w:val="20"/>
                <w:szCs w:val="20"/>
              </w:rPr>
              <w:t xml:space="preserve">15,6</w:t>
            </w:r>
          </w:p>
        </w:tc>
      </w:tr>
    </w:tbl>
    <w:p>
      <w:pPr>
        <w:spacing w:after="240" w:line="276"/>
        <w:jc w:val="both"/>
      </w:pPr>
      <w:r>
        <w:rPr>
          <w:rFonts w:ascii="Times New Roman" w:cs="Times New Roman" w:eastAsia="Times New Roman" w:hAnsi="Times New Roman"/>
          <w:i w:val="false"/>
          <w:iCs w:val="false"/>
          <w:sz w:val="20"/>
          <w:szCs w:val="20"/>
        </w:rPr>
        <w:t xml:space="preserve">Fonte: dados/candidates_quadro2.csv (elaboração própria). As sete primeiras linhas usam ω9 = 200°, Ω9 = 270°, M0 = 180° (assumidos; ϖ9 = 110°); a linha 8 usa ω9 = 246,7°, Ω9 = 0°, M0 = 180° (decomposição para reproduzir ϖ9 = 246,7° de BROWN; BATYGIN, 2021).</w:t>
      </w:r>
    </w:p>
    <w:p>
      <w:pPr>
        <w:spacing w:after="200" w:before="400" w:line="360"/>
        <w:jc w:val="left"/>
      </w:pPr>
      <w:r>
        <w:rPr>
          <w:rFonts w:ascii="Times New Roman" w:cs="Times New Roman" w:eastAsia="Times New Roman" w:hAnsi="Times New Roman"/>
          <w:b/>
          <w:bCs/>
          <w:sz w:val="24"/>
          <w:szCs w:val="24"/>
        </w:rPr>
        <w:t xml:space="preserve">2.5 Métricas dinâmicas e scoring</w:t>
      </w:r>
    </w:p>
    <w:p>
      <w:pPr>
        <w:spacing w:after="200" w:line="360"/>
        <w:jc w:val="both"/>
      </w:pPr>
      <w:r>
        <w:rPr>
          <w:rFonts w:ascii="Times New Roman" w:cs="Times New Roman" w:eastAsia="Times New Roman" w:hAnsi="Times New Roman"/>
          <w:sz w:val="24"/>
          <w:szCs w:val="24"/>
        </w:rPr>
        <w:t xml:space="preserve">Para cada ramo (com/sem P9) o pipeline registra: taxa de sobrevivência dos ETNOs; derivas relativas máximas de energia e de momento angular (|ΔE/E0|, |ΔL/L0|); o comprimento R do vetor resultante do agrupamento apsidal, estatística circular (R = 0 uniforme; R = 1 alinhamento perfeito); e o alinhamento angular médio, 1 − (distância angular média à direção anti-alinhada com P9, ϖ9 + 180°)/180° (não circular). O score dinâmico é a média ponderada dessas componentes (Tabela 3); o indicador central é Δscore = score(com P9) − score(sem P9).</w:t>
      </w:r>
    </w:p>
    <w:p>
      <w:pPr>
        <w:spacing w:after="100" w:line="360"/>
        <w:jc w:val="left"/>
      </w:pPr>
      <w:r>
        <w:rPr>
          <w:rFonts w:ascii="Times New Roman" w:cs="Times New Roman" w:eastAsia="Times New Roman" w:hAnsi="Times New Roman"/>
          <w:sz w:val="24"/>
          <w:szCs w:val="24"/>
        </w:rPr>
        <w:t xml:space="preserve">Tabela 3 — Componentes e pesos do score dinâmico (configuração default).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200"/>
      </w:tblGrid>
      <w:tr>
        <w:tc>
          <w:tcPr>
            <w:tcW w:type="dxa" w:w="2400"/>
            <w:shd w:fill="D9D9D9" w:val="clear"/>
          </w:tcPr>
          <w:p>
            <w:pPr>
              <w:jc w:val="center"/>
            </w:pPr>
            <w:r>
              <w:rPr>
                <w:rFonts w:ascii="Times New Roman" w:cs="Times New Roman" w:eastAsia="Times New Roman" w:hAnsi="Times New Roman"/>
                <w:b/>
                <w:bCs/>
                <w:sz w:val="20"/>
                <w:szCs w:val="20"/>
              </w:rPr>
              <w:t xml:space="preserve">Componente</w:t>
            </w:r>
          </w:p>
        </w:tc>
        <w:tc>
          <w:tcPr>
            <w:tcW w:type="dxa" w:w="1000"/>
            <w:shd w:fill="D9D9D9" w:val="clear"/>
          </w:tcPr>
          <w:p>
            <w:pPr>
              <w:jc w:val="center"/>
            </w:pPr>
            <w:r>
              <w:rPr>
                <w:rFonts w:ascii="Times New Roman" w:cs="Times New Roman" w:eastAsia="Times New Roman" w:hAnsi="Times New Roman"/>
                <w:b/>
                <w:bCs/>
                <w:sz w:val="20"/>
                <w:szCs w:val="20"/>
              </w:rPr>
              <w:t xml:space="preserve">Peso</w:t>
            </w:r>
          </w:p>
        </w:tc>
        <w:tc>
          <w:tcPr>
            <w:tcW w:type="dxa" w:w="4200"/>
            <w:shd w:fill="D9D9D9" w:val="clear"/>
          </w:tcPr>
          <w:p>
            <w:pPr>
              <w:jc w:val="center"/>
            </w:pPr>
            <w:r>
              <w:rPr>
                <w:rFonts w:ascii="Times New Roman" w:cs="Times New Roman" w:eastAsia="Times New Roman" w:hAnsi="Times New Roman"/>
                <w:b/>
                <w:bCs/>
                <w:sz w:val="20"/>
                <w:szCs w:val="20"/>
              </w:rPr>
              <w:t xml:space="preserve">Função no score</w:t>
            </w:r>
          </w:p>
        </w:tc>
      </w:tr>
      <w:tr>
        <w:tc>
          <w:tcPr>
            <w:tcW w:type="dxa" w:w="2400"/>
          </w:tcPr>
          <w:p>
            <w:pPr>
              <w:jc w:val="center"/>
            </w:pPr>
            <w:r>
              <w:rPr>
                <w:rFonts w:ascii="Times New Roman" w:cs="Times New Roman" w:eastAsia="Times New Roman" w:hAnsi="Times New Roman"/>
                <w:b w:val="false"/>
                <w:bCs w:val="false"/>
                <w:sz w:val="20"/>
                <w:szCs w:val="20"/>
              </w:rPr>
              <w:t xml:space="preserve">Agrupamento apsidal (R)</w:t>
            </w:r>
          </w:p>
        </w:tc>
        <w:tc>
          <w:tcPr>
            <w:tcW w:type="dxa" w:w="1000"/>
          </w:tcPr>
          <w:p>
            <w:pPr>
              <w:jc w:val="center"/>
            </w:pPr>
            <w:r>
              <w:rPr>
                <w:rFonts w:ascii="Times New Roman" w:cs="Times New Roman" w:eastAsia="Times New Roman" w:hAnsi="Times New Roman"/>
                <w:b w:val="false"/>
                <w:bCs w:val="false"/>
                <w:sz w:val="20"/>
                <w:szCs w:val="20"/>
              </w:rPr>
              <w:t xml:space="preserve">0,20</w:t>
            </w:r>
          </w:p>
        </w:tc>
        <w:tc>
          <w:tcPr>
            <w:tcW w:type="dxa" w:w="4200"/>
          </w:tcPr>
          <w:p>
            <w:pPr>
              <w:jc w:val="center"/>
            </w:pPr>
            <w:r>
              <w:rPr>
                <w:rFonts w:ascii="Times New Roman" w:cs="Times New Roman" w:eastAsia="Times New Roman" w:hAnsi="Times New Roman"/>
                <w:b w:val="false"/>
                <w:bCs w:val="false"/>
                <w:sz w:val="20"/>
                <w:szCs w:val="20"/>
              </w:rPr>
              <w:t xml:space="preserve">Premia maior concentração de ϖ com P9</w:t>
            </w:r>
          </w:p>
        </w:tc>
      </w:tr>
      <w:tr>
        <w:tc>
          <w:tcPr>
            <w:tcW w:type="dxa" w:w="2400"/>
          </w:tcPr>
          <w:p>
            <w:pPr>
              <w:jc w:val="center"/>
            </w:pPr>
            <w:r>
              <w:rPr>
                <w:rFonts w:ascii="Times New Roman" w:cs="Times New Roman" w:eastAsia="Times New Roman" w:hAnsi="Times New Roman"/>
                <w:b w:val="false"/>
                <w:bCs w:val="false"/>
                <w:sz w:val="20"/>
                <w:szCs w:val="20"/>
              </w:rPr>
              <w:t xml:space="preserve">Alinhamento angular médio</w:t>
            </w:r>
          </w:p>
        </w:tc>
        <w:tc>
          <w:tcPr>
            <w:tcW w:type="dxa" w:w="1000"/>
          </w:tcPr>
          <w:p>
            <w:pPr>
              <w:jc w:val="center"/>
            </w:pPr>
            <w:r>
              <w:rPr>
                <w:rFonts w:ascii="Times New Roman" w:cs="Times New Roman" w:eastAsia="Times New Roman" w:hAnsi="Times New Roman"/>
                <w:b w:val="false"/>
                <w:bCs w:val="false"/>
                <w:sz w:val="20"/>
                <w:szCs w:val="20"/>
              </w:rPr>
              <w:t xml:space="preserve">0,25</w:t>
            </w:r>
          </w:p>
        </w:tc>
        <w:tc>
          <w:tcPr>
            <w:tcW w:type="dxa" w:w="4200"/>
          </w:tcPr>
          <w:p>
            <w:pPr>
              <w:jc w:val="center"/>
            </w:pPr>
            <w:r>
              <w:rPr>
                <w:rFonts w:ascii="Times New Roman" w:cs="Times New Roman" w:eastAsia="Times New Roman" w:hAnsi="Times New Roman"/>
                <w:b w:val="false"/>
                <w:bCs w:val="false"/>
                <w:sz w:val="20"/>
                <w:szCs w:val="20"/>
              </w:rPr>
              <w:t xml:space="preserve">Premia ETNOs anti-alinhados a P9</w:t>
            </w:r>
          </w:p>
        </w:tc>
      </w:tr>
      <w:tr>
        <w:tc>
          <w:tcPr>
            <w:tcW w:type="dxa" w:w="2400"/>
          </w:tcPr>
          <w:p>
            <w:pPr>
              <w:jc w:val="center"/>
            </w:pPr>
            <w:r>
              <w:rPr>
                <w:rFonts w:ascii="Times New Roman" w:cs="Times New Roman" w:eastAsia="Times New Roman" w:hAnsi="Times New Roman"/>
                <w:b w:val="false"/>
                <w:bCs w:val="false"/>
                <w:sz w:val="20"/>
                <w:szCs w:val="20"/>
              </w:rPr>
              <w:t xml:space="preserve">Taxa de sobrevivência</w:t>
            </w:r>
          </w:p>
        </w:tc>
        <w:tc>
          <w:tcPr>
            <w:tcW w:type="dxa" w:w="1000"/>
          </w:tcPr>
          <w:p>
            <w:pPr>
              <w:jc w:val="center"/>
            </w:pPr>
            <w:r>
              <w:rPr>
                <w:rFonts w:ascii="Times New Roman" w:cs="Times New Roman" w:eastAsia="Times New Roman" w:hAnsi="Times New Roman"/>
                <w:b w:val="false"/>
                <w:bCs w:val="false"/>
                <w:sz w:val="20"/>
                <w:szCs w:val="20"/>
              </w:rPr>
              <w:t xml:space="preserve">0,20</w:t>
            </w:r>
          </w:p>
        </w:tc>
        <w:tc>
          <w:tcPr>
            <w:tcW w:type="dxa" w:w="4200"/>
          </w:tcPr>
          <w:p>
            <w:pPr>
              <w:jc w:val="center"/>
            </w:pPr>
            <w:r>
              <w:rPr>
                <w:rFonts w:ascii="Times New Roman" w:cs="Times New Roman" w:eastAsia="Times New Roman" w:hAnsi="Times New Roman"/>
                <w:b w:val="false"/>
                <w:bCs w:val="false"/>
                <w:sz w:val="20"/>
                <w:szCs w:val="20"/>
              </w:rPr>
              <w:t xml:space="preserve">Premia retenção dos ETNOs</w:t>
            </w:r>
          </w:p>
        </w:tc>
      </w:tr>
      <w:tr>
        <w:tc>
          <w:tcPr>
            <w:tcW w:type="dxa" w:w="2400"/>
          </w:tcPr>
          <w:p>
            <w:pPr>
              <w:jc w:val="center"/>
            </w:pPr>
            <w:r>
              <w:rPr>
                <w:rFonts w:ascii="Times New Roman" w:cs="Times New Roman" w:eastAsia="Times New Roman" w:hAnsi="Times New Roman"/>
                <w:b w:val="false"/>
                <w:bCs w:val="false"/>
                <w:sz w:val="20"/>
                <w:szCs w:val="20"/>
              </w:rPr>
              <w:t xml:space="preserve">Estabilidade</w:t>
            </w:r>
          </w:p>
        </w:tc>
        <w:tc>
          <w:tcPr>
            <w:tcW w:type="dxa" w:w="1000"/>
          </w:tcPr>
          <w:p>
            <w:pPr>
              <w:jc w:val="center"/>
            </w:pPr>
            <w:r>
              <w:rPr>
                <w:rFonts w:ascii="Times New Roman" w:cs="Times New Roman" w:eastAsia="Times New Roman" w:hAnsi="Times New Roman"/>
                <w:b w:val="false"/>
                <w:bCs w:val="false"/>
                <w:sz w:val="20"/>
                <w:szCs w:val="20"/>
              </w:rPr>
              <w:t xml:space="preserve">0,20</w:t>
            </w:r>
          </w:p>
        </w:tc>
        <w:tc>
          <w:tcPr>
            <w:tcW w:type="dxa" w:w="4200"/>
          </w:tcPr>
          <w:p>
            <w:pPr>
              <w:jc w:val="center"/>
            </w:pPr>
            <w:r>
              <w:rPr>
                <w:rFonts w:ascii="Times New Roman" w:cs="Times New Roman" w:eastAsia="Times New Roman" w:hAnsi="Times New Roman"/>
                <w:b w:val="false"/>
                <w:bCs w:val="false"/>
                <w:sz w:val="20"/>
                <w:szCs w:val="20"/>
              </w:rPr>
              <w:t xml:space="preserve">Penaliza deriva |ΔE/E0| acima de 10⁻³</w:t>
            </w:r>
          </w:p>
        </w:tc>
      </w:tr>
      <w:tr>
        <w:tc>
          <w:tcPr>
            <w:tcW w:type="dxa" w:w="2400"/>
          </w:tcPr>
          <w:p>
            <w:pPr>
              <w:jc w:val="center"/>
            </w:pPr>
            <w:r>
              <w:rPr>
                <w:rFonts w:ascii="Times New Roman" w:cs="Times New Roman" w:eastAsia="Times New Roman" w:hAnsi="Times New Roman"/>
                <w:b w:val="false"/>
                <w:bCs w:val="false"/>
                <w:sz w:val="20"/>
                <w:szCs w:val="20"/>
              </w:rPr>
              <w:t xml:space="preserve">Saúde numérica</w:t>
            </w:r>
          </w:p>
        </w:tc>
        <w:tc>
          <w:tcPr>
            <w:tcW w:type="dxa" w:w="1000"/>
          </w:tcPr>
          <w:p>
            <w:pPr>
              <w:jc w:val="center"/>
            </w:pPr>
            <w:r>
              <w:rPr>
                <w:rFonts w:ascii="Times New Roman" w:cs="Times New Roman" w:eastAsia="Times New Roman" w:hAnsi="Times New Roman"/>
                <w:b w:val="false"/>
                <w:bCs w:val="false"/>
                <w:sz w:val="20"/>
                <w:szCs w:val="20"/>
              </w:rPr>
              <w:t xml:space="preserve">0,15</w:t>
            </w:r>
          </w:p>
        </w:tc>
        <w:tc>
          <w:tcPr>
            <w:tcW w:type="dxa" w:w="4200"/>
          </w:tcPr>
          <w:p>
            <w:pPr>
              <w:jc w:val="center"/>
            </w:pPr>
            <w:r>
              <w:rPr>
                <w:rFonts w:ascii="Times New Roman" w:cs="Times New Roman" w:eastAsia="Times New Roman" w:hAnsi="Times New Roman"/>
                <w:b w:val="false"/>
                <w:bCs w:val="false"/>
                <w:sz w:val="20"/>
                <w:szCs w:val="20"/>
              </w:rPr>
              <w:t xml:space="preserve">Penaliza deriva acima de 10⁻⁴</w:t>
            </w:r>
          </w:p>
        </w:tc>
      </w:tr>
    </w:tbl>
    <w:p>
      <w:pPr>
        <w:spacing w:after="240" w:line="276"/>
        <w:jc w:val="both"/>
      </w:pPr>
      <w:r>
        <w:rPr>
          <w:rFonts w:ascii="Times New Roman" w:cs="Times New Roman" w:eastAsia="Times New Roman" w:hAnsi="Times New Roman"/>
          <w:i w:val="false"/>
          <w:iCs w:val="false"/>
          <w:sz w:val="20"/>
          <w:szCs w:val="20"/>
        </w:rPr>
        <w:t xml:space="preserve">Fonte: configs/scoring/default_weights.yaml e planet9lab/metrics.py (elaboração própria). Limiares operacionais: Δscore mínimo de interesse 0,08; Δscore abaixo de 0,05 considerado ruim; sobrevivência mínima 0,80.</w:t>
      </w:r>
    </w:p>
    <w:p>
      <w:pPr>
        <w:spacing w:after="200" w:line="360"/>
        <w:jc w:val="both"/>
      </w:pPr>
      <w:r>
        <w:rPr>
          <w:rFonts w:ascii="Times New Roman" w:cs="Times New Roman" w:eastAsia="Times New Roman" w:hAnsi="Times New Roman"/>
          <w:sz w:val="24"/>
          <w:szCs w:val="24"/>
        </w:rPr>
        <w:t xml:space="preserve">Blockers científicos registrados em audit/blockers.json podem limitar o nível de evidência sem invalidar a execução: candidatos com i ≥ 80° recebem aviso de regime (Kozai–Lidov não validado); e, quando modelos nulos não são superados, permanece ativo o blocker null_model_not_exceeded. Nesta versão, o blocker no_observational_bias_model foi parcialmente endereçado pela implementação de um primeiro modelo de viés (Seção 2.9), mas seu caráter simplificado mantém o teto de evidência em “fraco” (Seção 3.5).</w:t>
      </w:r>
    </w:p>
    <w:p>
      <w:pPr>
        <w:spacing w:after="200" w:before="400" w:line="360"/>
        <w:jc w:val="left"/>
      </w:pPr>
      <w:r>
        <w:rPr>
          <w:rFonts w:ascii="Times New Roman" w:cs="Times New Roman" w:eastAsia="Times New Roman" w:hAnsi="Times New Roman"/>
          <w:b/>
          <w:bCs/>
          <w:sz w:val="24"/>
          <w:szCs w:val="24"/>
        </w:rPr>
        <w:t xml:space="preserve">2.6 Funil de triagem quasi-Monte Carlo</w:t>
      </w:r>
    </w:p>
    <w:p>
      <w:pPr>
        <w:spacing w:after="200" w:line="360"/>
        <w:jc w:val="both"/>
      </w:pPr>
      <w:r>
        <w:rPr>
          <w:rFonts w:ascii="Times New Roman" w:cs="Times New Roman" w:eastAsia="Times New Roman" w:hAnsi="Times New Roman"/>
          <w:sz w:val="24"/>
          <w:szCs w:val="24"/>
        </w:rPr>
        <w:t xml:space="preserve">O funil amostra o espaço de parâmetros [M, a, e, i] por quasi-Monte Carlo (sequência determinística de Halton), N = 20.000 pontos e semente 20260727. Dois cenários foram executados nesta etapa. O scan largo original cobre M ∈ [5, 20] massas terrestres, a ∈ [380, 980] UA, e ∈ [0,1; 0,8] e i ∈ [0°, 40°] — limites fundamentados na faixa de 2016 (BROWN; BATYGIN, 2016) e em estudos de ressonâncias e inclinações mais baixas (MALHOTRA et al., 2016; MILLHOLLAND; LAUGHLIN, 2017), executado sobre o catálogo de 13 ETNOs da época (run montecarlo_20260816T001216569981Z, resultado já publicado na versão anterior deste artigo). Um segundo scan, novo nesta etapa, restringe-se à região de alta probabilidade do ajuste de BROWN e BATYGIN (2021): M ∈ [4,9; 8,4] massas terrestres, a ∈ [300; 520] UA, e ∈ [0,10; 0,30] e i ∈ [11°; 21°], com o mesmo protocolo (Halton, N = 20.000, semente 20260727; run montecarlo_20260903T204715536210Z). Não se afirma que o P9 real esteja necessariamente em nenhuma das duas faixas; a faixa preferida de periélio 150–350 UA da literatura permanece coluna diagnóstica, não filtro físico.</w:t>
      </w:r>
    </w:p>
    <w:p>
      <w:pPr>
        <w:spacing w:after="200" w:line="360"/>
        <w:jc w:val="both"/>
      </w:pPr>
      <w:r>
        <w:rPr>
          <w:rFonts w:ascii="Times New Roman" w:cs="Times New Roman" w:eastAsia="Times New Roman" w:hAnsi="Times New Roman"/>
          <w:sz w:val="24"/>
          <w:szCs w:val="24"/>
        </w:rPr>
        <w:t xml:space="preserve">O funil tem cinco estágios: 0, limites físicos analíticos (todos os pontos); 1, separação de Hill em relação a Netuno (todos); 2, estabilidade N-corpos de 1 Myr, limitada por amostragem (max_stage2_samples = 200); 3, alinhamento apsidal secular, executado nesta versão no horizonte de 10⁸ anos (100 Myr) — não no horizonte secular alvo de 4 Gyr, que está orçado no projeto mas cuja execução real permanece pendente; e 4 (Hamiltoniano secular) e 5 (detectabilidade fotométrica), não implementados. Pontos excedentes às cotas ficam como not_evaluated_capacity_limit, nunca descartados. Ambos os scans desta etapa (largo e restrito a BB21) tiveram o Estágio 3 executado no mesmo horizonte de 10⁸ anos, com max_stage3_samples reduzido por restrição de tempo de cômputo (Seção 3.2).</w:t>
      </w:r>
    </w:p>
    <w:p>
      <w:pPr>
        <w:spacing w:after="200" w:before="400" w:line="360"/>
        <w:jc w:val="left"/>
      </w:pPr>
      <w:r>
        <w:rPr>
          <w:rFonts w:ascii="Times New Roman" w:cs="Times New Roman" w:eastAsia="Times New Roman" w:hAnsi="Times New Roman"/>
          <w:b/>
          <w:bCs/>
          <w:sz w:val="24"/>
          <w:szCs w:val="24"/>
        </w:rPr>
        <w:t xml:space="preserve">2.7 Robustez e diagnósticos</w:t>
      </w:r>
    </w:p>
    <w:p>
      <w:pPr>
        <w:spacing w:after="200" w:line="360"/>
        <w:jc w:val="both"/>
      </w:pPr>
      <w:r>
        <w:rPr>
          <w:rFonts w:ascii="Times New Roman" w:cs="Times New Roman" w:eastAsia="Times New Roman" w:hAnsi="Times New Roman"/>
          <w:sz w:val="24"/>
          <w:szCs w:val="24"/>
        </w:rPr>
        <w:t xml:space="preserve">Fora do funil há comandos de robustez: leave-one-out, convergência sob refinamento de passo (dt, dt/2, dt/4), validação cruzada com IAS15 e modelos nulos reais por integração REBOUND (shuffle_varpi, randomize_angles, no_p9_catalog_baseline), além do MEGNO (experimental, não calibrado) e dos testes formais de Rayleigh e Kuiper (somente leitura; não substituem o critério ad hoc do funil), com a correção finite-n de Rayleigh e a tabela crítica de Kuiper ancoradas em STEPHENS (1970) e ZAR (1999).</w:t>
      </w:r>
    </w:p>
    <w:p>
      <w:pPr>
        <w:spacing w:after="200" w:before="400" w:line="360"/>
        <w:jc w:val="left"/>
      </w:pPr>
      <w:r>
        <w:rPr>
          <w:rFonts w:ascii="Times New Roman" w:cs="Times New Roman" w:eastAsia="Times New Roman" w:hAnsi="Times New Roman"/>
          <w:b/>
          <w:bCs/>
          <w:sz w:val="24"/>
          <w:szCs w:val="24"/>
        </w:rPr>
        <w:t xml:space="preserve">2.8 Execuções e ambiente computacional</w:t>
      </w:r>
    </w:p>
    <w:p>
      <w:pPr>
        <w:spacing w:after="200" w:line="360"/>
        <w:jc w:val="both"/>
      </w:pPr>
      <w:r>
        <w:rPr>
          <w:rFonts w:ascii="Times New Roman" w:cs="Times New Roman" w:eastAsia="Times New Roman" w:hAnsi="Times New Roman"/>
          <w:sz w:val="24"/>
          <w:szCs w:val="24"/>
        </w:rPr>
        <w:t>As execuções desta e da etapa anterior estão nomeadas na documentação do repositório: telas experiment_angle_robustness e experiment_i_boundary_scan (1 Myr), a varredura de funil larga montecarlo_20260816T001216569981Z e a nova varredura restrita a BB21, montecarlo_20260903T204715536210Z (PLANET9 SCREENING LAB, 2026). Os artefatos brutos (runs/) não acompanham o pacote distribuído, que os regenera por comando (python main.py screen). A suíte de testes (pytest) passou de 140 para 189 testes aprovados nesta etapa, refletindo a adição do módulo de viés de seleção observacional e seus testes unitários; o lint (ruff) permanece limpo.</w:t>
      </w:r>
    </w:p>
    <w:p>
      <w:pPr>
        <w:spacing w:after="200" w:line="360"/>
        <w:jc w:val="both"/>
      </w:pPr>
      <w:r>
        <w:rPr>
          <w:rFonts w:ascii="Times New Roman" w:cs="Times New Roman" w:eastAsia="Times New Roman" w:hAnsi="Times New Roman"/>
          <w:sz w:val="24"/>
          <w:szCs w:val="24"/>
        </w:rPr>
        <w:t xml:space="preserve">O custo computacional foi remedido em hardware de trabalho real (Intel i5-14400), com throughput de 347.886 anos simulados por segundo (REBOUND, orçamento de teste), substituindo a projeção anterior baseada em sandbox de desenvolvimento (2 núcleos, Intel Xeon virtualizado, ≈ 14,6 horas por par de controle em 4 Gyr). No hardware real, a projeção é de aproximadamente 6,4 horas por par de candidato (com/sem P9) em 4 Gyr, e de aproximadamente 25,6 horas para os oito candidatos completos do Quadro 2 no mesmo horizonte — tornando a execução secular completa viável em menos de dois dias corridos, ainda que essa execução não tenha sido realizada nesta etapa. Trata-se de projeção de custo, não de um resultado dinâmico.</w:t>
      </w:r>
    </w:p>
    <w:p>
      <w:pPr>
        <w:spacing w:after="200" w:before="400" w:line="360"/>
        <w:jc w:val="left"/>
      </w:pPr>
      <w:r>
        <w:rPr>
          <w:rFonts w:ascii="Times New Roman" w:cs="Times New Roman" w:eastAsia="Times New Roman" w:hAnsi="Times New Roman"/>
          <w:b/>
          <w:bCs/>
          <w:sz w:val="24"/>
          <w:szCs w:val="24"/>
        </w:rPr>
        <w:t xml:space="preserve">2.9 Modelo de viés de seleção observacional</w:t>
      </w:r>
    </w:p>
    <w:p>
      <w:pPr>
        <w:spacing w:after="200" w:line="360"/>
        <w:jc w:val="both"/>
      </w:pPr>
      <w:r>
        <w:rPr>
          <w:rFonts w:ascii="Times New Roman" w:cs="Times New Roman" w:eastAsia="Times New Roman" w:hAnsi="Times New Roman"/>
          <w:sz w:val="24"/>
          <w:szCs w:val="24"/>
        </w:rPr>
        <w:t xml:space="preserve">Foi implementado, nesta etapa, um modelo inicial e simplificado de viés de seleção observacional, no desenho de NAPIER et al. (2021), já referenciado na versão anterior deste artigo como lacuna metodológica. O modelo combina três fatores multiplicativos de probabilidade de detecção: profundidade limitante em magnitude V, cobertura de céu do survey e arco mínimo de rastreamento necessário. Apenas o fator de cobertura de céu depende dos ângulos orbitais do objeto; os outros dois — profundidade e arco de rastreamento — são penalidades uniformes, independentes de ω, Ω e M. O modelo não representa magnitude aparente real (o que exigiria distância, tamanho e albedo sintéticos), geometria real de footprint de nenhum survey específico, nem cadência real de nenhum survey particular (DES, OSSOS, etc.).</w:t>
      </w:r>
    </w:p>
    <w:p>
      <w:pPr>
        <w:spacing w:after="200" w:line="360"/>
        <w:jc w:val="both"/>
      </w:pPr>
      <w:r>
        <w:t>O procedimento de teste gerou uma população sintética de 5.000 ETNOs, uniforme nos ângulos (ω, Ω, M), submetida ao modelo de seleção descrito; a fração sobrevivente ao filtro (19,18% — 959 de 5.000) foi então comparada ao catálogo real de 16 objetos por meio da mesma estatística R de Rayleigh, com semente 12345 (Seção 3.5).</w:t>
      </w:r>
    </w:p>
    <w:p>
      <w:pPr>
        <w:spacing w:after="200" w:before="400" w:line="360"/>
        <w:jc w:val="left"/>
      </w:pPr>
      <w:r>
        <w:rPr>
          <w:rFonts w:ascii="Times New Roman" w:cs="Times New Roman" w:eastAsia="Times New Roman" w:hAnsi="Times New Roman"/>
          <w:b/>
          <w:bCs/>
          <w:sz w:val="24"/>
          <w:szCs w:val="24"/>
        </w:rPr>
        <w:t xml:space="preserve">3 RESULTADOS E DISCUSSÃO</w:t>
      </w:r>
    </w:p>
    <w:p>
      <w:pPr>
        <w:spacing w:after="200" w:before="400" w:line="360"/>
        <w:jc w:val="left"/>
      </w:pPr>
      <w:r>
        <w:rPr>
          <w:rFonts w:ascii="Times New Roman" w:cs="Times New Roman" w:eastAsia="Times New Roman" w:hAnsi="Times New Roman"/>
          <w:b/>
          <w:bCs/>
          <w:sz w:val="24"/>
          <w:szCs w:val="24"/>
        </w:rPr>
        <w:t xml:space="preserve">3.1 Estrutura angular do catálogo canônico</w:t>
      </w:r>
    </w:p>
    <w:p>
      <w:pPr>
        <w:spacing w:after="200" w:line="360"/>
        <w:jc w:val="both"/>
      </w:pPr>
      <w:r>
        <w:rPr>
          <w:rFonts w:ascii="Times New Roman" w:cs="Times New Roman" w:eastAsia="Times New Roman" w:hAnsi="Times New Roman"/>
          <w:sz w:val="24"/>
          <w:szCs w:val="24"/>
        </w:rPr>
        <w:t xml:space="preserve">A Figura 1 mostra a distribuição das longitudes do periélio dos ETNOs canônicos, incluindo 2017 OF201 (ϖ ≈ 306,9°); o vetor resultante do catálogo ampliado de 16 objetos tem R = 0,299836 na direção média ≈ 39,37°. O teste de Rayleigh, com correção finite-n (STEPHENS, 1970; ZAR, 1999), fornece Z = 1,438424 e p = 0,24046; o teste de Kuiper fornece V* = 1,266498 e p = 1,0 — portanto, para α = 0,05, a hipótese de distribuição uniforme de ϖ não é rejeitada em nenhum dos dois testes (Tabela 4). A inclusão de 2017 OF201, 2015 TG387/Leleākūhonua e Ammonite dilui a concentração observada com n = 13 (R = 0,365, direção ≈ 57°, já publicada) para R = 0,299836 e desloca a direção média para ≈ 39,37° — sobretudo por efeito de 2017 OF201, cuja longitude do periélio está fora da direção historicamente associada ao agrupamento (CHENG; LI; YANG, 2025).</w:t>
      </w:r>
    </w:p>
    <w:p>
      <w:pPr>
        <w:spacing w:after="100" w:before="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19500"/>
                    </a:xfrm>
                    <a:prstGeom prst="rect">
                      <a:avLst/>
                    </a:prstGeom>
                  </pic:spPr>
                </pic:pic>
              </a:graphicData>
            </a:graphic>
          </wp:inline>
        </w:drawing>
      </w:r>
    </w:p>
    <w:p>
      <w:pPr>
        <w:spacing w:after="100" w:before="100" w:line="276"/>
        <w:jc w:val="center"/>
      </w:pPr>
      <w:r>
        <w:rPr>
          <w:rFonts w:ascii="Times New Roman" w:cs="Times New Roman" w:eastAsia="Times New Roman" w:hAnsi="Times New Roman"/>
          <w:sz w:val="20"/>
          <w:szCs w:val="20"/>
        </w:rPr>
        <w:t xml:space="preserve">Figura 1 — Distribuição polar das longitudes do periélio (ϖ) dos ETNOs do catálogo canônico ampliado (pontos azuis; inclui os 13 objetos originais e 2017 OF201, cuja ϖ é explicitada nesta versão) e vetor resultante (seta vermelha, R = 0,299836 na direção ≈ 39,37°, calculado sobre o catálogo completo de n = 16 — Ammonite e Leleākūhonua contribuem ao vetor agregado, mas suas longitudes individuais não são exibidas nesta figura). Fonte: elaboração própria a partir de catalog_validated.csv.</w:t>
      </w:r>
    </w:p>
    <w:p>
      <w:pPr>
        <w:spacing w:after="200" w:line="360"/>
        <w:jc w:val="both"/>
      </w:pPr>
      <w:r>
        <w:rPr>
          <w:rFonts w:ascii="Times New Roman" w:cs="Times New Roman" w:eastAsia="Times New Roman" w:hAnsi="Times New Roman"/>
          <w:sz w:val="24"/>
          <w:szCs w:val="24"/>
        </w:rPr>
        <w:t xml:space="preserve">Esses números são derivados do catálogo pelo código do próprio projeto e não podem ser lidos como evidência de ausência de agrupamento: com n = 13 a 16, o poder estatístico permanece baixo. Seriam necessários cerca de 39 ETNOs para detectar concentração ρ = 0,5 com 80% de poder (α = 0,05); cerca de 107 para ρ = 0,3 e 20 para ρ = 0,7 — todos acima da amostra atual. Isso é coerente com SHANKMAN et al. (2017) e NAPIER et al. (2021) e não resolve a divergência com BROWN e BATYGIN (2021).</w:t>
      </w:r>
    </w:p>
    <w:p>
      <w:pPr>
        <w:spacing w:after="100" w:line="360"/>
        <w:jc w:val="left"/>
      </w:pPr>
      <w:r>
        <w:rPr>
          <w:rFonts w:ascii="Times New Roman" w:cs="Times New Roman" w:eastAsia="Times New Roman" w:hAnsi="Times New Roman"/>
          <w:sz w:val="24"/>
          <w:szCs w:val="24"/>
        </w:rPr>
        <w:t xml:space="preserve">Tabela 4 — Diagnósticos circulares do catálogo (elaboração própria, derivados do catálogo; α = 0,05).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200"/>
        <w:gridCol w:w="1200"/>
        <w:gridCol w:w="1300"/>
        <w:gridCol w:w="1300"/>
        <w:gridCol w:w="1300"/>
      </w:tblGrid>
      <w:tr>
        <w:tc>
          <w:tcPr>
            <w:tcW w:type="dxa" w:w="3000"/>
            <w:shd w:fill="D9D9D9" w:val="clear"/>
          </w:tcPr>
          <w:p>
            <w:pPr>
              <w:jc w:val="center"/>
            </w:pPr>
            <w:r>
              <w:rPr>
                <w:rFonts w:ascii="Times New Roman" w:cs="Times New Roman" w:eastAsia="Times New Roman" w:hAnsi="Times New Roman"/>
                <w:b/>
                <w:bCs/>
                <w:sz w:val="20"/>
                <w:szCs w:val="20"/>
              </w:rPr>
              <w:t xml:space="preserve">Amostra</w:t>
            </w:r>
          </w:p>
        </w:tc>
        <w:tc>
          <w:tcPr>
            <w:tcW w:type="dxa" w:w="700"/>
            <w:shd w:fill="D9D9D9" w:val="clear"/>
          </w:tcPr>
          <w:p>
            <w:pPr>
              <w:jc w:val="center"/>
            </w:pPr>
            <w:r>
              <w:rPr>
                <w:rFonts w:ascii="Times New Roman" w:cs="Times New Roman" w:eastAsia="Times New Roman" w:hAnsi="Times New Roman"/>
                <w:b/>
                <w:bCs/>
                <w:sz w:val="20"/>
                <w:szCs w:val="20"/>
              </w:rPr>
              <w:t xml:space="preserve">n</w:t>
            </w:r>
          </w:p>
        </w:tc>
        <w:tc>
          <w:tcPr>
            <w:tcW w:type="dxa" w:w="1200"/>
            <w:shd w:fill="D9D9D9" w:val="clear"/>
          </w:tcPr>
          <w:p>
            <w:pPr>
              <w:jc w:val="center"/>
            </w:pPr>
            <w:r>
              <w:rPr>
                <w:rFonts w:ascii="Times New Roman" w:cs="Times New Roman" w:eastAsia="Times New Roman" w:hAnsi="Times New Roman"/>
                <w:b/>
                <w:bCs/>
                <w:sz w:val="20"/>
                <w:szCs w:val="20"/>
              </w:rPr>
              <w:t xml:space="preserve">R</w:t>
            </w:r>
          </w:p>
        </w:tc>
        <w:tc>
          <w:tcPr>
            <w:tcW w:type="dxa" w:w="1200"/>
            <w:shd w:fill="D9D9D9" w:val="clear"/>
          </w:tcPr>
          <w:p>
            <w:pPr>
              <w:jc w:val="center"/>
            </w:pPr>
            <w:r>
              <w:rPr>
                <w:rFonts w:ascii="Times New Roman" w:cs="Times New Roman" w:eastAsia="Times New Roman" w:hAnsi="Times New Roman"/>
                <w:b/>
                <w:bCs/>
                <w:sz w:val="20"/>
                <w:szCs w:val="20"/>
              </w:rPr>
              <w:t xml:space="preserve">Z</w:t>
            </w:r>
          </w:p>
        </w:tc>
        <w:tc>
          <w:tcPr>
            <w:tcW w:type="dxa" w:w="1300"/>
            <w:shd w:fill="D9D9D9" w:val="clear"/>
          </w:tcPr>
          <w:p>
            <w:pPr>
              <w:jc w:val="center"/>
            </w:pPr>
            <w:r>
              <w:rPr>
                <w:rFonts w:ascii="Times New Roman" w:cs="Times New Roman" w:eastAsia="Times New Roman" w:hAnsi="Times New Roman"/>
                <w:b/>
                <w:bCs/>
                <w:sz w:val="20"/>
                <w:szCs w:val="20"/>
              </w:rPr>
              <w:t xml:space="preserve">p (Rayleigh)</w:t>
            </w:r>
          </w:p>
        </w:tc>
        <w:tc>
          <w:tcPr>
            <w:tcW w:type="dxa" w:w="1300"/>
            <w:shd w:fill="D9D9D9" w:val="clear"/>
          </w:tcPr>
          <w:p>
            <w:pPr>
              <w:jc w:val="center"/>
            </w:pPr>
            <w:r>
              <w:rPr>
                <w:rFonts w:ascii="Times New Roman" w:cs="Times New Roman" w:eastAsia="Times New Roman" w:hAnsi="Times New Roman"/>
                <w:b/>
                <w:bCs/>
                <w:sz w:val="20"/>
                <w:szCs w:val="20"/>
              </w:rPr>
              <w:t xml:space="preserve">V* (Kuiper)</w:t>
            </w:r>
          </w:p>
        </w:tc>
        <w:tc>
          <w:tcPr>
            <w:tcW w:type="dxa" w:w="1300"/>
            <w:shd w:fill="D9D9D9" w:val="clear"/>
          </w:tcPr>
          <w:p>
            <w:pPr>
              <w:jc w:val="center"/>
            </w:pPr>
            <w:r>
              <w:rPr>
                <w:rFonts w:ascii="Times New Roman" w:cs="Times New Roman" w:eastAsia="Times New Roman" w:hAnsi="Times New Roman"/>
                <w:b/>
                <w:bCs/>
                <w:sz w:val="20"/>
                <w:szCs w:val="20"/>
              </w:rPr>
              <w:t xml:space="preserve">p (Kuiper)</w:t>
            </w:r>
          </w:p>
        </w:tc>
      </w:tr>
      <w:tr>
        <w:tc>
          <w:tcPr>
            <w:tcW w:type="dxa" w:w="3000"/>
          </w:tcPr>
          <w:p>
            <w:pPr>
              <w:jc w:val="center"/>
            </w:pPr>
            <w:r>
              <w:rPr>
                <w:rFonts w:ascii="Times New Roman" w:cs="Times New Roman" w:eastAsia="Times New Roman" w:hAnsi="Times New Roman"/>
                <w:b w:val="false"/>
                <w:bCs w:val="false"/>
                <w:sz w:val="20"/>
                <w:szCs w:val="20"/>
              </w:rPr>
              <w:t xml:space="preserve">13 ETNOs validados</w:t>
            </w:r>
          </w:p>
        </w:tc>
        <w:tc>
          <w:tcPr>
            <w:tcW w:type="dxa" w:w="700"/>
          </w:tcPr>
          <w:p>
            <w:pPr>
              <w:jc w:val="center"/>
            </w:pPr>
            <w:r>
              <w:rPr>
                <w:rFonts w:ascii="Times New Roman" w:cs="Times New Roman" w:eastAsia="Times New Roman" w:hAnsi="Times New Roman"/>
                <w:b w:val="false"/>
                <w:bCs w:val="false"/>
                <w:sz w:val="20"/>
                <w:szCs w:val="20"/>
              </w:rPr>
              <w:t xml:space="preserve">13</w:t>
            </w:r>
          </w:p>
        </w:tc>
        <w:tc>
          <w:tcPr>
            <w:tcW w:type="dxa" w:w="1200"/>
          </w:tcPr>
          <w:p>
            <w:pPr>
              <w:jc w:val="center"/>
            </w:pPr>
            <w:r>
              <w:rPr>
                <w:rFonts w:ascii="Times New Roman" w:cs="Times New Roman" w:eastAsia="Times New Roman" w:hAnsi="Times New Roman"/>
                <w:b w:val="false"/>
                <w:bCs w:val="false"/>
                <w:sz w:val="20"/>
                <w:szCs w:val="20"/>
              </w:rPr>
              <w:t xml:space="preserve">0,365</w:t>
            </w:r>
          </w:p>
        </w:tc>
        <w:tc>
          <w:tcPr>
            <w:tcW w:type="dxa" w:w="1200"/>
          </w:tcPr>
          <w:p>
            <w:pPr>
              <w:jc w:val="center"/>
            </w:pPr>
            <w:r>
              <w:rPr>
                <w:rFonts w:ascii="Times New Roman" w:cs="Times New Roman" w:eastAsia="Times New Roman" w:hAnsi="Times New Roman"/>
                <w:b w:val="false"/>
                <w:bCs w:val="false"/>
                <w:sz w:val="20"/>
                <w:szCs w:val="20"/>
              </w:rPr>
              <w:t xml:space="preserve">1,73</w:t>
            </w:r>
          </w:p>
        </w:tc>
        <w:tc>
          <w:tcPr>
            <w:tcW w:type="dxa" w:w="1300"/>
          </w:tcPr>
          <w:p>
            <w:pPr>
              <w:jc w:val="center"/>
            </w:pPr>
            <w:r>
              <w:rPr>
                <w:rFonts w:ascii="Times New Roman" w:cs="Times New Roman" w:eastAsia="Times New Roman" w:hAnsi="Times New Roman"/>
                <w:b w:val="false"/>
                <w:bCs w:val="false"/>
                <w:sz w:val="20"/>
                <w:szCs w:val="20"/>
              </w:rPr>
              <w:t xml:space="preserve">0,178</w:t>
            </w:r>
          </w:p>
        </w:tc>
        <w:tc>
          <w:tcPr>
            <w:tcW w:type="dxa" w:w="1300"/>
          </w:tcPr>
          <w:p>
            <w:pPr>
              <w:jc w:val="center"/>
            </w:pPr>
            <w:r>
              <w:rPr>
                <w:rFonts w:ascii="Times New Roman" w:cs="Times New Roman" w:eastAsia="Times New Roman" w:hAnsi="Times New Roman"/>
                <w:b w:val="false"/>
                <w:bCs w:val="false"/>
                <w:sz w:val="20"/>
                <w:szCs w:val="20"/>
              </w:rPr>
              <w:t xml:space="preserve">1,46</w:t>
            </w:r>
          </w:p>
        </w:tc>
        <w:tc>
          <w:tcPr>
            <w:tcW w:type="dxa" w:w="1300"/>
          </w:tcPr>
          <w:p>
            <w:pPr>
              <w:jc w:val="center"/>
            </w:pPr>
            <w:r>
              <w:rPr>
                <w:rFonts w:ascii="Times New Roman" w:cs="Times New Roman" w:eastAsia="Times New Roman" w:hAnsi="Times New Roman"/>
                <w:b w:val="false"/>
                <w:bCs w:val="false"/>
                <w:sz w:val="20"/>
                <w:szCs w:val="20"/>
              </w:rPr>
              <w:t xml:space="preserve">1,0</w:t>
            </w:r>
          </w:p>
        </w:tc>
      </w:tr>
      <w:tr>
        <w:tc>
          <w:tcPr>
            <w:tcW w:type="dxa" w:w="3000"/>
          </w:tcPr>
          <w:p>
            <w:pPr>
              <w:jc w:val="center"/>
            </w:pPr>
            <w:r>
              <w:rPr>
                <w:rFonts w:ascii="Times New Roman" w:cs="Times New Roman" w:eastAsia="Times New Roman" w:hAnsi="Times New Roman"/>
                <w:b w:val="false"/>
                <w:bCs w:val="false"/>
                <w:sz w:val="20"/>
                <w:szCs w:val="20"/>
              </w:rPr>
              <w:t xml:space="preserve">+ Ammonite (histórico, v1.2)</w:t>
            </w:r>
          </w:p>
        </w:tc>
        <w:tc>
          <w:tcPr>
            <w:tcW w:type="dxa" w:w="700"/>
          </w:tcPr>
          <w:p>
            <w:pPr>
              <w:jc w:val="center"/>
            </w:pPr>
            <w:r>
              <w:rPr>
                <w:rFonts w:ascii="Times New Roman" w:cs="Times New Roman" w:eastAsia="Times New Roman" w:hAnsi="Times New Roman"/>
                <w:b w:val="false"/>
                <w:bCs w:val="false"/>
                <w:sz w:val="20"/>
                <w:szCs w:val="20"/>
              </w:rPr>
              <w:t xml:space="preserve">14</w:t>
            </w:r>
          </w:p>
        </w:tc>
        <w:tc>
          <w:tcPr>
            <w:tcW w:type="dxa" w:w="1200"/>
          </w:tcPr>
          <w:p>
            <w:pPr>
              <w:jc w:val="center"/>
            </w:pPr>
            <w:r>
              <w:rPr>
                <w:rFonts w:ascii="Times New Roman" w:cs="Times New Roman" w:eastAsia="Times New Roman" w:hAnsi="Times New Roman"/>
                <w:b w:val="false"/>
                <w:bCs w:val="false"/>
                <w:sz w:val="20"/>
                <w:szCs w:val="20"/>
              </w:rPr>
              <w:t xml:space="preserve">0,283</w:t>
            </w:r>
          </w:p>
        </w:tc>
        <w:tc>
          <w:tcPr>
            <w:tcW w:type="dxa" w:w="1200"/>
          </w:tcPr>
          <w:p>
            <w:pPr>
              <w:jc w:val="center"/>
            </w:pPr>
            <w:r>
              <w:rPr>
                <w:rFonts w:ascii="Times New Roman" w:cs="Times New Roman" w:eastAsia="Times New Roman" w:hAnsi="Times New Roman"/>
                <w:b w:val="false"/>
                <w:bCs w:val="false"/>
                <w:sz w:val="20"/>
                <w:szCs w:val="20"/>
              </w:rPr>
              <w:t xml:space="preserve">1,12</w:t>
            </w:r>
          </w:p>
        </w:tc>
        <w:tc>
          <w:tcPr>
            <w:tcW w:type="dxa" w:w="1300"/>
          </w:tcPr>
          <w:p>
            <w:pPr>
              <w:jc w:val="center"/>
            </w:pPr>
            <w:r>
              <w:rPr>
                <w:rFonts w:ascii="Times New Roman" w:cs="Times New Roman" w:eastAsia="Times New Roman" w:hAnsi="Times New Roman"/>
                <w:b w:val="false"/>
                <w:bCs w:val="false"/>
                <w:sz w:val="20"/>
                <w:szCs w:val="20"/>
              </w:rPr>
              <w:t xml:space="preserve">0,333</w:t>
            </w:r>
          </w:p>
        </w:tc>
        <w:tc>
          <w:tcPr>
            <w:tcW w:type="dxa" w:w="1300"/>
          </w:tcPr>
          <w:p>
            <w:pPr>
              <w:jc w:val="center"/>
            </w:pPr>
            <w:r>
              <w:rPr>
                <w:rFonts w:ascii="Times New Roman" w:cs="Times New Roman" w:eastAsia="Times New Roman" w:hAnsi="Times New Roman"/>
                <w:b w:val="false"/>
                <w:bCs w:val="false"/>
                <w:sz w:val="20"/>
                <w:szCs w:val="20"/>
              </w:rPr>
              <w:t xml:space="preserve">1,30</w:t>
            </w:r>
          </w:p>
        </w:tc>
        <w:tc>
          <w:tcPr>
            <w:tcW w:type="dxa" w:w="1300"/>
          </w:tcPr>
          <w:p>
            <w:pPr>
              <w:jc w:val="center"/>
            </w:pPr>
            <w:r>
              <w:rPr>
                <w:rFonts w:ascii="Times New Roman" w:cs="Times New Roman" w:eastAsia="Times New Roman" w:hAnsi="Times New Roman"/>
                <w:b w:val="false"/>
                <w:bCs w:val="false"/>
                <w:sz w:val="20"/>
                <w:szCs w:val="20"/>
              </w:rPr>
              <w:t xml:space="preserve">1,0</w:t>
            </w:r>
          </w:p>
        </w:tc>
      </w:tr>
      <w:tr>
        <w:tc>
          <w:tcPr>
            <w:tcW w:type="dxa" w:w="3000"/>
          </w:tcPr>
          <w:p>
            <w:pPr>
              <w:jc w:val="center"/>
            </w:pPr>
            <w:r>
              <w:rPr>
                <w:rFonts w:ascii="Times New Roman" w:cs="Times New Roman" w:eastAsia="Times New Roman" w:hAnsi="Times New Roman"/>
                <w:b w:val="false"/>
                <w:bCs w:val="false"/>
                <w:sz w:val="20"/>
                <w:szCs w:val="20"/>
              </w:rPr>
              <w:t xml:space="preserve">Catálogo completo (+ 2017 OF201, + Leleākūhonua)</w:t>
            </w:r>
          </w:p>
        </w:tc>
        <w:tc>
          <w:tcPr>
            <w:tcW w:type="dxa" w:w="700"/>
          </w:tcPr>
          <w:p>
            <w:pPr>
              <w:jc w:val="center"/>
            </w:pPr>
            <w:r>
              <w:rPr>
                <w:rFonts w:ascii="Times New Roman" w:cs="Times New Roman" w:eastAsia="Times New Roman" w:hAnsi="Times New Roman"/>
                <w:b w:val="false"/>
                <w:bCs w:val="false"/>
                <w:sz w:val="20"/>
                <w:szCs w:val="20"/>
              </w:rPr>
              <w:t xml:space="preserve">16</w:t>
            </w:r>
          </w:p>
        </w:tc>
        <w:tc>
          <w:tcPr>
            <w:tcW w:type="dxa" w:w="1200"/>
          </w:tcPr>
          <w:p>
            <w:pPr>
              <w:jc w:val="center"/>
            </w:pPr>
            <w:r>
              <w:rPr>
                <w:rFonts w:ascii="Times New Roman" w:cs="Times New Roman" w:eastAsia="Times New Roman" w:hAnsi="Times New Roman"/>
                <w:b w:val="false"/>
                <w:bCs w:val="false"/>
                <w:sz w:val="20"/>
                <w:szCs w:val="20"/>
              </w:rPr>
              <w:t xml:space="preserve">0,299836</w:t>
            </w:r>
          </w:p>
        </w:tc>
        <w:tc>
          <w:tcPr>
            <w:tcW w:type="dxa" w:w="1200"/>
          </w:tcPr>
          <w:p>
            <w:pPr>
              <w:jc w:val="center"/>
            </w:pPr>
            <w:r>
              <w:rPr>
                <w:rFonts w:ascii="Times New Roman" w:cs="Times New Roman" w:eastAsia="Times New Roman" w:hAnsi="Times New Roman"/>
                <w:b w:val="false"/>
                <w:bCs w:val="false"/>
                <w:sz w:val="20"/>
                <w:szCs w:val="20"/>
              </w:rPr>
              <w:t xml:space="preserve">1,438424</w:t>
            </w:r>
          </w:p>
        </w:tc>
        <w:tc>
          <w:tcPr>
            <w:tcW w:type="dxa" w:w="1300"/>
          </w:tcPr>
          <w:p>
            <w:pPr>
              <w:jc w:val="center"/>
            </w:pPr>
            <w:r>
              <w:rPr>
                <w:rFonts w:ascii="Times New Roman" w:cs="Times New Roman" w:eastAsia="Times New Roman" w:hAnsi="Times New Roman"/>
                <w:b w:val="false"/>
                <w:bCs w:val="false"/>
                <w:sz w:val="20"/>
                <w:szCs w:val="20"/>
              </w:rPr>
              <w:t xml:space="preserve">0,24046</w:t>
            </w:r>
          </w:p>
        </w:tc>
        <w:tc>
          <w:tcPr>
            <w:tcW w:type="dxa" w:w="1300"/>
          </w:tcPr>
          <w:p>
            <w:pPr>
              <w:jc w:val="center"/>
            </w:pPr>
            <w:r>
              <w:rPr>
                <w:rFonts w:ascii="Times New Roman" w:cs="Times New Roman" w:eastAsia="Times New Roman" w:hAnsi="Times New Roman"/>
                <w:b w:val="false"/>
                <w:bCs w:val="false"/>
                <w:sz w:val="20"/>
                <w:szCs w:val="20"/>
              </w:rPr>
              <w:t xml:space="preserve">1,266498</w:t>
            </w:r>
          </w:p>
        </w:tc>
        <w:tc>
          <w:tcPr>
            <w:tcW w:type="dxa" w:w="1300"/>
          </w:tcPr>
          <w:p>
            <w:pPr>
              <w:jc w:val="center"/>
            </w:pPr>
            <w:r>
              <w:rPr>
                <w:rFonts w:ascii="Times New Roman" w:cs="Times New Roman" w:eastAsia="Times New Roman" w:hAnsi="Times New Roman"/>
                <w:b w:val="false"/>
                <w:bCs w:val="false"/>
                <w:sz w:val="20"/>
                <w:szCs w:val="20"/>
              </w:rPr>
              <w:t xml:space="preserve">1,0</w:t>
            </w:r>
          </w:p>
        </w:tc>
      </w:tr>
    </w:tbl>
    <w:p>
      <w:pPr>
        <w:spacing w:after="240" w:line="276"/>
        <w:jc w:val="both"/>
      </w:pPr>
      <w:r>
        <w:rPr>
          <w:rFonts w:ascii="Times New Roman" w:cs="Times New Roman" w:eastAsia="Times New Roman" w:hAnsi="Times New Roman"/>
          <w:i w:val="false"/>
          <w:iCs w:val="false"/>
          <w:sz w:val="20"/>
          <w:szCs w:val="20"/>
        </w:rPr>
        <w:t xml:space="preserve">Fonte: catalog_validated.csv e planet9lab (elaboração própria). Nenhuma amostra rejeita uniformidade em α = 0,05. A linha n = 14 é registro histórico da versão anterior deste artigo, não reproduzida nesta etapa como estado atual do catálogo, que passou diretamente de 14 para 16 objetos.</w:t>
      </w:r>
    </w:p>
    <w:p>
      <w:pPr>
        <w:spacing w:after="200" w:before="400" w:line="360"/>
        <w:jc w:val="left"/>
      </w:pPr>
      <w:r>
        <w:rPr>
          <w:rFonts w:ascii="Times New Roman" w:cs="Times New Roman" w:eastAsia="Times New Roman" w:hAnsi="Times New Roman"/>
          <w:b/>
          <w:bCs/>
          <w:sz w:val="24"/>
          <w:szCs w:val="24"/>
        </w:rPr>
        <w:t xml:space="preserve">3.2 Funil de triagem quasi-Monte Carlo</w:t>
      </w:r>
    </w:p>
    <w:p>
      <w:pPr>
        <w:spacing w:after="200" w:line="360"/>
        <w:jc w:val="both"/>
      </w:pPr>
      <w:r>
        <w:rPr>
          <w:rFonts w:ascii="Times New Roman" w:cs="Times New Roman" w:eastAsia="Times New Roman" w:hAnsi="Times New Roman"/>
          <w:sz w:val="24"/>
          <w:szCs w:val="24"/>
        </w:rPr>
        <w:t xml:space="preserve">O scan largo original (montecarlo_20260816T001216569981Z) aprovou 20.000 pontos nas etapas 0 (limites físicos) e 1 (separação de Hill); na etapa 2 (estabilidade N-corpos de 1 Myr) avaliou 200 pontos por cota amostral (1,0% do total, todos aprovados); e na etapa 3, executada nesta versão em horizonte de 10⁸ anos, avaliou uma amostra reduzida por cota (Tabela 5). O novo scan restrito à região de alta probabilidade de BB21 (montecarlo_20260903T204715536210Z) seguiu o mesmo protocolo — N = 20.000, semente 20260727 — e teve seu Estágio 3 igualmente executado no horizonte de 10⁸ anos, não no horizonte secular alvo de 4 Gyr. Os estágios 4 e 5 não estão implementados em nenhum dos dois cenários.</w:t>
      </w:r>
    </w:p>
    <w:p>
      <w:pPr>
        <w:spacing w:after="100" w:line="360"/>
        <w:jc w:val="left"/>
      </w:pPr>
      <w:r>
        <w:rPr>
          <w:rFonts w:ascii="Times New Roman" w:cs="Times New Roman" w:eastAsia="Times New Roman" w:hAnsi="Times New Roman"/>
          <w:sz w:val="24"/>
          <w:szCs w:val="24"/>
        </w:rPr>
        <w:t xml:space="preserve">Tabela 5 — Funil de triagem quasi-Monte Carlo (execuções registradas; N = 20.000 pontos em cada scan).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600"/>
        <w:gridCol w:w="1400"/>
        <w:gridCol w:w="2000"/>
      </w:tblGrid>
      <w:tr>
        <w:tc>
          <w:tcPr>
            <w:tcW w:type="dxa" w:w="900"/>
            <w:shd w:fill="D9D9D9" w:val="clear"/>
          </w:tcPr>
          <w:p>
            <w:pPr>
              <w:jc w:val="center"/>
            </w:pPr>
            <w:r>
              <w:rPr>
                <w:rFonts w:ascii="Times New Roman" w:cs="Times New Roman" w:eastAsia="Times New Roman" w:hAnsi="Times New Roman"/>
                <w:b/>
                <w:bCs/>
                <w:sz w:val="20"/>
                <w:szCs w:val="20"/>
              </w:rPr>
              <w:t xml:space="preserve">Estágio</w:t>
            </w:r>
          </w:p>
        </w:tc>
        <w:tc>
          <w:tcPr>
            <w:tcW w:type="dxa" w:w="2600"/>
            <w:shd w:fill="D9D9D9" w:val="clear"/>
          </w:tcPr>
          <w:p>
            <w:pPr>
              <w:jc w:val="center"/>
            </w:pPr>
            <w:r>
              <w:rPr>
                <w:rFonts w:ascii="Times New Roman" w:cs="Times New Roman" w:eastAsia="Times New Roman" w:hAnsi="Times New Roman"/>
                <w:b/>
                <w:bCs/>
                <w:sz w:val="20"/>
                <w:szCs w:val="20"/>
              </w:rPr>
              <w:t xml:space="preserve">Critério</w:t>
            </w:r>
          </w:p>
        </w:tc>
        <w:tc>
          <w:tcPr>
            <w:tcW w:type="dxa" w:w="1600"/>
            <w:shd w:fill="D9D9D9" w:val="clear"/>
          </w:tcPr>
          <w:p>
            <w:pPr>
              <w:jc w:val="center"/>
            </w:pPr>
            <w:r>
              <w:rPr>
                <w:rFonts w:ascii="Times New Roman" w:cs="Times New Roman" w:eastAsia="Times New Roman" w:hAnsi="Times New Roman"/>
                <w:b/>
                <w:bCs/>
                <w:sz w:val="20"/>
                <w:szCs w:val="20"/>
              </w:rPr>
              <w:t xml:space="preserve">Avaliados</w:t>
            </w:r>
          </w:p>
        </w:tc>
        <w:tc>
          <w:tcPr>
            <w:tcW w:type="dxa" w:w="1400"/>
            <w:shd w:fill="D9D9D9" w:val="clear"/>
          </w:tcPr>
          <w:p>
            <w:pPr>
              <w:jc w:val="center"/>
            </w:pPr>
            <w:r>
              <w:rPr>
                <w:rFonts w:ascii="Times New Roman" w:cs="Times New Roman" w:eastAsia="Times New Roman" w:hAnsi="Times New Roman"/>
                <w:b/>
                <w:bCs/>
                <w:sz w:val="20"/>
                <w:szCs w:val="20"/>
              </w:rPr>
              <w:t xml:space="preserve">Aprovados</w:t>
            </w:r>
          </w:p>
        </w:tc>
        <w:tc>
          <w:tcPr>
            <w:tcW w:type="dxa" w:w="2000"/>
            <w:shd w:fill="D9D9D9" w:val="clear"/>
          </w:tcPr>
          <w:p>
            <w:pPr>
              <w:jc w:val="center"/>
            </w:pPr>
            <w:r>
              <w:rPr>
                <w:rFonts w:ascii="Times New Roman" w:cs="Times New Roman" w:eastAsia="Times New Roman" w:hAnsi="Times New Roman"/>
                <w:b/>
                <w:bCs/>
                <w:sz w:val="20"/>
                <w:szCs w:val="20"/>
              </w:rPr>
              <w:t xml:space="preserve">Frequência no total</w:t>
            </w:r>
          </w:p>
        </w:tc>
      </w:tr>
      <w:tr>
        <w:tc>
          <w:tcPr>
            <w:tcW w:type="dxa" w:w="900"/>
          </w:tcPr>
          <w:p>
            <w:pPr>
              <w:jc w:val="center"/>
            </w:pPr>
            <w:r>
              <w:rPr>
                <w:rFonts w:ascii="Times New Roman" w:cs="Times New Roman" w:eastAsia="Times New Roman" w:hAnsi="Times New Roman"/>
                <w:b w:val="false"/>
                <w:bCs w:val="false"/>
                <w:sz w:val="20"/>
                <w:szCs w:val="20"/>
              </w:rPr>
              <w:t xml:space="preserve">0</w:t>
            </w:r>
          </w:p>
        </w:tc>
        <w:tc>
          <w:tcPr>
            <w:tcW w:type="dxa" w:w="2600"/>
          </w:tcPr>
          <w:p>
            <w:pPr>
              <w:jc w:val="center"/>
            </w:pPr>
            <w:r>
              <w:rPr>
                <w:rFonts w:ascii="Times New Roman" w:cs="Times New Roman" w:eastAsia="Times New Roman" w:hAnsi="Times New Roman"/>
                <w:b w:val="false"/>
                <w:bCs w:val="false"/>
                <w:sz w:val="20"/>
                <w:szCs w:val="20"/>
              </w:rPr>
              <w:t xml:space="preserve">Limites físicos</w:t>
            </w:r>
          </w:p>
        </w:tc>
        <w:tc>
          <w:tcPr>
            <w:tcW w:type="dxa" w:w="1600"/>
          </w:tcPr>
          <w:p>
            <w:pPr>
              <w:jc w:val="center"/>
            </w:pPr>
            <w:r>
              <w:rPr>
                <w:rFonts w:ascii="Times New Roman" w:cs="Times New Roman" w:eastAsia="Times New Roman" w:hAnsi="Times New Roman"/>
                <w:b w:val="false"/>
                <w:bCs w:val="false"/>
                <w:sz w:val="20"/>
                <w:szCs w:val="20"/>
              </w:rPr>
              <w:t xml:space="preserve">20.000</w:t>
            </w:r>
          </w:p>
        </w:tc>
        <w:tc>
          <w:tcPr>
            <w:tcW w:type="dxa" w:w="1400"/>
          </w:tcPr>
          <w:p>
            <w:pPr>
              <w:jc w:val="center"/>
            </w:pPr>
            <w:r>
              <w:rPr>
                <w:rFonts w:ascii="Times New Roman" w:cs="Times New Roman" w:eastAsia="Times New Roman" w:hAnsi="Times New Roman"/>
                <w:b w:val="false"/>
                <w:bCs w:val="false"/>
                <w:sz w:val="20"/>
                <w:szCs w:val="20"/>
              </w:rPr>
              <w:t xml:space="preserve">20.000</w:t>
            </w:r>
          </w:p>
        </w:tc>
        <w:tc>
          <w:tcPr>
            <w:tcW w:type="dxa" w:w="2000"/>
          </w:tcPr>
          <w:p>
            <w:pPr>
              <w:jc w:val="center"/>
            </w:pPr>
            <w:r>
              <w:rPr>
                <w:rFonts w:ascii="Times New Roman" w:cs="Times New Roman" w:eastAsia="Times New Roman" w:hAnsi="Times New Roman"/>
                <w:b w:val="false"/>
                <w:bCs w:val="false"/>
                <w:sz w:val="20"/>
                <w:szCs w:val="20"/>
              </w:rPr>
              <w:t xml:space="preserve">100%</w:t>
            </w:r>
          </w:p>
        </w:tc>
      </w:tr>
      <w:tr>
        <w:tc>
          <w:tcPr>
            <w:tcW w:type="dxa" w:w="900"/>
          </w:tcPr>
          <w:p>
            <w:pPr>
              <w:jc w:val="center"/>
            </w:pPr>
            <w:r>
              <w:rPr>
                <w:rFonts w:ascii="Times New Roman" w:cs="Times New Roman" w:eastAsia="Times New Roman" w:hAnsi="Times New Roman"/>
                <w:b w:val="false"/>
                <w:bCs w:val="false"/>
                <w:sz w:val="20"/>
                <w:szCs w:val="20"/>
              </w:rPr>
              <w:t xml:space="preserve">1</w:t>
            </w:r>
          </w:p>
        </w:tc>
        <w:tc>
          <w:tcPr>
            <w:tcW w:type="dxa" w:w="2600"/>
          </w:tcPr>
          <w:p>
            <w:pPr>
              <w:jc w:val="center"/>
            </w:pPr>
            <w:r>
              <w:rPr>
                <w:rFonts w:ascii="Times New Roman" w:cs="Times New Roman" w:eastAsia="Times New Roman" w:hAnsi="Times New Roman"/>
                <w:b w:val="false"/>
                <w:bCs w:val="false"/>
                <w:sz w:val="20"/>
                <w:szCs w:val="20"/>
              </w:rPr>
              <w:t xml:space="preserve">Separação de Hill (Netuno)</w:t>
            </w:r>
          </w:p>
        </w:tc>
        <w:tc>
          <w:tcPr>
            <w:tcW w:type="dxa" w:w="1600"/>
          </w:tcPr>
          <w:p>
            <w:pPr>
              <w:jc w:val="center"/>
            </w:pPr>
            <w:r>
              <w:rPr>
                <w:rFonts w:ascii="Times New Roman" w:cs="Times New Roman" w:eastAsia="Times New Roman" w:hAnsi="Times New Roman"/>
                <w:b w:val="false"/>
                <w:bCs w:val="false"/>
                <w:sz w:val="20"/>
                <w:szCs w:val="20"/>
              </w:rPr>
              <w:t xml:space="preserve">20.000</w:t>
            </w:r>
          </w:p>
        </w:tc>
        <w:tc>
          <w:tcPr>
            <w:tcW w:type="dxa" w:w="1400"/>
          </w:tcPr>
          <w:p>
            <w:pPr>
              <w:jc w:val="center"/>
            </w:pPr>
            <w:r>
              <w:rPr>
                <w:rFonts w:ascii="Times New Roman" w:cs="Times New Roman" w:eastAsia="Times New Roman" w:hAnsi="Times New Roman"/>
                <w:b w:val="false"/>
                <w:bCs w:val="false"/>
                <w:sz w:val="20"/>
                <w:szCs w:val="20"/>
              </w:rPr>
              <w:t xml:space="preserve">20.000</w:t>
            </w:r>
          </w:p>
        </w:tc>
        <w:tc>
          <w:tcPr>
            <w:tcW w:type="dxa" w:w="2000"/>
          </w:tcPr>
          <w:p>
            <w:pPr>
              <w:jc w:val="center"/>
            </w:pPr>
            <w:r>
              <w:rPr>
                <w:rFonts w:ascii="Times New Roman" w:cs="Times New Roman" w:eastAsia="Times New Roman" w:hAnsi="Times New Roman"/>
                <w:b w:val="false"/>
                <w:bCs w:val="false"/>
                <w:sz w:val="20"/>
                <w:szCs w:val="20"/>
              </w:rPr>
              <w:t xml:space="preserve">100%</w:t>
            </w:r>
          </w:p>
        </w:tc>
      </w:tr>
      <w:tr>
        <w:tc>
          <w:tcPr>
            <w:tcW w:type="dxa" w:w="900"/>
          </w:tcPr>
          <w:p>
            <w:pPr>
              <w:jc w:val="center"/>
            </w:pPr>
            <w:r>
              <w:rPr>
                <w:rFonts w:ascii="Times New Roman" w:cs="Times New Roman" w:eastAsia="Times New Roman" w:hAnsi="Times New Roman"/>
                <w:b w:val="false"/>
                <w:bCs w:val="false"/>
                <w:sz w:val="20"/>
                <w:szCs w:val="20"/>
              </w:rPr>
              <w:t xml:space="preserve">2</w:t>
            </w:r>
          </w:p>
        </w:tc>
        <w:tc>
          <w:tcPr>
            <w:tcW w:type="dxa" w:w="2600"/>
          </w:tcPr>
          <w:p>
            <w:pPr>
              <w:jc w:val="center"/>
            </w:pPr>
            <w:r>
              <w:rPr>
                <w:rFonts w:ascii="Times New Roman" w:cs="Times New Roman" w:eastAsia="Times New Roman" w:hAnsi="Times New Roman"/>
                <w:b w:val="false"/>
                <w:bCs w:val="false"/>
                <w:sz w:val="20"/>
                <w:szCs w:val="20"/>
              </w:rPr>
              <w:t xml:space="preserve">Estabilidade N-corpos (1 Myr)</w:t>
            </w:r>
          </w:p>
        </w:tc>
        <w:tc>
          <w:tcPr>
            <w:tcW w:type="dxa" w:w="1600"/>
          </w:tcPr>
          <w:p>
            <w:pPr>
              <w:jc w:val="center"/>
            </w:pPr>
            <w:r>
              <w:rPr>
                <w:rFonts w:ascii="Times New Roman" w:cs="Times New Roman" w:eastAsia="Times New Roman" w:hAnsi="Times New Roman"/>
                <w:b w:val="false"/>
                <w:bCs w:val="false"/>
                <w:sz w:val="20"/>
                <w:szCs w:val="20"/>
              </w:rPr>
              <w:t xml:space="preserve">200 (cota)</w:t>
            </w:r>
          </w:p>
        </w:tc>
        <w:tc>
          <w:tcPr>
            <w:tcW w:type="dxa" w:w="1400"/>
          </w:tcPr>
          <w:p>
            <w:pPr>
              <w:jc w:val="center"/>
            </w:pPr>
            <w:r>
              <w:rPr>
                <w:rFonts w:ascii="Times New Roman" w:cs="Times New Roman" w:eastAsia="Times New Roman" w:hAnsi="Times New Roman"/>
                <w:b w:val="false"/>
                <w:bCs w:val="false"/>
                <w:sz w:val="20"/>
                <w:szCs w:val="20"/>
              </w:rPr>
              <w:t xml:space="preserve">200</w:t>
            </w:r>
          </w:p>
        </w:tc>
        <w:tc>
          <w:tcPr>
            <w:tcW w:type="dxa" w:w="2000"/>
          </w:tcPr>
          <w:p>
            <w:pPr>
              <w:jc w:val="center"/>
            </w:pPr>
            <w:r>
              <w:rPr>
                <w:rFonts w:ascii="Times New Roman" w:cs="Times New Roman" w:eastAsia="Times New Roman" w:hAnsi="Times New Roman"/>
                <w:b w:val="false"/>
                <w:bCs w:val="false"/>
                <w:sz w:val="20"/>
                <w:szCs w:val="20"/>
              </w:rPr>
              <w:t xml:space="preserve">1,0% (avaliados)</w:t>
            </w:r>
          </w:p>
        </w:tc>
      </w:tr>
      <w:tr>
        <w:tc>
          <w:tcPr>
            <w:tcW w:type="dxa" w:w="900"/>
          </w:tcPr>
          <w:p>
            <w:pPr>
              <w:jc w:val="center"/>
            </w:pPr>
            <w:r>
              <w:rPr>
                <w:rFonts w:ascii="Times New Roman" w:cs="Times New Roman" w:eastAsia="Times New Roman" w:hAnsi="Times New Roman"/>
                <w:b w:val="false"/>
                <w:bCs w:val="false"/>
                <w:sz w:val="20"/>
                <w:szCs w:val="20"/>
              </w:rPr>
              <w:t xml:space="preserve">3</w:t>
            </w:r>
          </w:p>
        </w:tc>
        <w:tc>
          <w:tcPr>
            <w:tcW w:type="dxa" w:w="2600"/>
          </w:tcPr>
          <w:p>
            <w:pPr>
              <w:jc w:val="center"/>
            </w:pPr>
            <w:r>
              <w:rPr>
                <w:rFonts w:ascii="Times New Roman" w:cs="Times New Roman" w:eastAsia="Times New Roman" w:hAnsi="Times New Roman"/>
                <w:b w:val="false"/>
                <w:bCs w:val="false"/>
                <w:sz w:val="20"/>
                <w:szCs w:val="20"/>
              </w:rPr>
              <w:t xml:space="preserve">Alinhamento secular (10⁸ anos)</w:t>
            </w:r>
          </w:p>
        </w:tc>
        <w:tc>
          <w:tcPr>
            <w:tcW w:type="dxa" w:w="1600"/>
          </w:tcPr>
          <w:p>
            <w:pPr>
              <w:jc w:val="center"/>
            </w:pPr>
            <w:r>
              <w:rPr>
                <w:rFonts w:ascii="Times New Roman" w:cs="Times New Roman" w:eastAsia="Times New Roman" w:hAnsi="Times New Roman"/>
                <w:b w:val="false"/>
                <w:bCs w:val="false"/>
                <w:sz w:val="20"/>
                <w:szCs w:val="20"/>
              </w:rPr>
              <w:t xml:space="preserve">cota reduzida</w:t>
            </w:r>
          </w:p>
        </w:tc>
        <w:tc>
          <w:tcPr>
            <w:tcW w:type="dxa" w:w="1400"/>
          </w:tcPr>
          <w:p>
            <w:pPr>
              <w:jc w:val="center"/>
            </w:pPr>
            <w:r>
              <w:rPr>
                <w:rFonts w:ascii="Times New Roman" w:cs="Times New Roman" w:eastAsia="Times New Roman" w:hAnsi="Times New Roman"/>
                <w:b w:val="false"/>
                <w:bCs w:val="false"/>
                <w:sz w:val="20"/>
                <w:szCs w:val="20"/>
              </w:rPr>
              <w:t xml:space="preserve">—</w:t>
            </w:r>
          </w:p>
        </w:tc>
        <w:tc>
          <w:tcPr>
            <w:tcW w:type="dxa" w:w="2000"/>
          </w:tcPr>
          <w:p>
            <w:pPr>
              <w:jc w:val="center"/>
            </w:pPr>
            <w:r>
              <w:rPr>
                <w:rFonts w:ascii="Times New Roman" w:cs="Times New Roman" w:eastAsia="Times New Roman" w:hAnsi="Times New Roman"/>
                <w:b w:val="false"/>
                <w:bCs w:val="false"/>
                <w:sz w:val="20"/>
                <w:szCs w:val="20"/>
              </w:rPr>
              <w:t xml:space="preserve">amostra mínima (avaliados)</w:t>
            </w:r>
          </w:p>
        </w:tc>
      </w:tr>
      <w:tr>
        <w:tc>
          <w:tcPr>
            <w:tcW w:type="dxa" w:w="900"/>
          </w:tcPr>
          <w:p>
            <w:pPr>
              <w:jc w:val="center"/>
            </w:pPr>
            <w:r>
              <w:rPr>
                <w:rFonts w:ascii="Times New Roman" w:cs="Times New Roman" w:eastAsia="Times New Roman" w:hAnsi="Times New Roman"/>
                <w:b w:val="false"/>
                <w:bCs w:val="false"/>
                <w:sz w:val="20"/>
                <w:szCs w:val="20"/>
              </w:rPr>
              <w:t xml:space="preserve">4 e 5</w:t>
            </w:r>
          </w:p>
        </w:tc>
        <w:tc>
          <w:tcPr>
            <w:tcW w:type="dxa" w:w="2600"/>
          </w:tcPr>
          <w:p>
            <w:pPr>
              <w:jc w:val="center"/>
            </w:pPr>
            <w:r>
              <w:rPr>
                <w:rFonts w:ascii="Times New Roman" w:cs="Times New Roman" w:eastAsia="Times New Roman" w:hAnsi="Times New Roman"/>
                <w:b w:val="false"/>
                <w:bCs w:val="false"/>
                <w:sz w:val="20"/>
                <w:szCs w:val="20"/>
              </w:rPr>
              <w:t xml:space="preserve">Hamiltoniano secular / detectabilidade</w:t>
            </w:r>
          </w:p>
        </w:tc>
        <w:tc>
          <w:tcPr>
            <w:tcW w:type="dxa" w:w="1600"/>
          </w:tcPr>
          <w:p>
            <w:pPr>
              <w:jc w:val="center"/>
            </w:pPr>
            <w:r>
              <w:rPr>
                <w:rFonts w:ascii="Times New Roman" w:cs="Times New Roman" w:eastAsia="Times New Roman" w:hAnsi="Times New Roman"/>
                <w:b w:val="false"/>
                <w:bCs w:val="false"/>
                <w:sz w:val="20"/>
                <w:szCs w:val="20"/>
              </w:rPr>
              <w:t xml:space="preserve">—</w:t>
            </w:r>
          </w:p>
        </w:tc>
        <w:tc>
          <w:tcPr>
            <w:tcW w:type="dxa" w:w="1400"/>
          </w:tcPr>
          <w:p>
            <w:pPr>
              <w:jc w:val="center"/>
            </w:pPr>
            <w:r>
              <w:rPr>
                <w:rFonts w:ascii="Times New Roman" w:cs="Times New Roman" w:eastAsia="Times New Roman" w:hAnsi="Times New Roman"/>
                <w:b w:val="false"/>
                <w:bCs w:val="false"/>
                <w:sz w:val="20"/>
                <w:szCs w:val="20"/>
              </w:rPr>
              <w:t xml:space="preserve">—</w:t>
            </w:r>
          </w:p>
        </w:tc>
        <w:tc>
          <w:tcPr>
            <w:tcW w:type="dxa" w:w="2000"/>
          </w:tcPr>
          <w:p>
            <w:pPr>
              <w:jc w:val="center"/>
            </w:pPr>
            <w:r>
              <w:rPr>
                <w:rFonts w:ascii="Times New Roman" w:cs="Times New Roman" w:eastAsia="Times New Roman" w:hAnsi="Times New Roman"/>
                <w:b w:val="false"/>
                <w:bCs w:val="false"/>
                <w:sz w:val="20"/>
                <w:szCs w:val="20"/>
              </w:rPr>
              <w:t xml:space="preserve">não implementado</w:t>
            </w:r>
          </w:p>
        </w:tc>
      </w:tr>
    </w:tbl>
    <w:p>
      <w:pPr>
        <w:spacing w:after="240" w:line="276"/>
        <w:jc w:val="both"/>
      </w:pPr>
      <w:r>
        <w:rPr>
          <w:rFonts w:ascii="Times New Roman" w:cs="Times New Roman" w:eastAsia="Times New Roman" w:hAnsi="Times New Roman"/>
          <w:i w:val="false"/>
          <w:iCs w:val="false"/>
          <w:sz w:val="20"/>
          <w:szCs w:val="20"/>
        </w:rPr>
        <w:t xml:space="preserve">Fonte: execuções montecarlo_20260816T001216569981Z e montecarlo_20260903T204715536210Z registradas na documentação do repositório (elaboração própria). Porcentagens finais refletem cotas amostrais, não eliminação física; o Estágio 3 roda em 10⁸ anos, não no horizonte secular alvo de 4 Gyr.</w:t>
      </w:r>
    </w:p>
    <w:p>
      <w:pPr>
        <w:spacing w:after="200" w:line="360"/>
        <w:jc w:val="both"/>
      </w:pPr>
      <w:r>
        <w:rPr>
          <w:rFonts w:ascii="Times New Roman" w:cs="Times New Roman" w:eastAsia="Times New Roman" w:hAnsi="Times New Roman"/>
          <w:sz w:val="24"/>
          <w:szCs w:val="24"/>
        </w:rPr>
        <w:t xml:space="preserve">Essas porcentagens refletem limites de capacidade amostral, não eliminação física. Estimar a taxa “física” de sobrevivência do espaço de parâmetros exigiria a amostra completa do Estágio 3 em ambos os scans, não executada por restrição de tempo; o poder com a amostra reduzida não foi recalculado. O resultado não sustenta afirmação sobre a fração de parâmetros viáveis de P9 em nenhum dos dois cenários.</w:t>
      </w:r>
    </w:p>
    <w:p>
      <w:pPr>
        <w:spacing w:after="200" w:before="400" w:line="360"/>
        <w:jc w:val="left"/>
      </w:pPr>
      <w:r>
        <w:rPr>
          <w:rFonts w:ascii="Times New Roman" w:cs="Times New Roman" w:eastAsia="Times New Roman" w:hAnsi="Times New Roman"/>
          <w:b/>
          <w:bCs/>
          <w:sz w:val="24"/>
          <w:szCs w:val="24"/>
        </w:rPr>
        <w:t xml:space="preserve">3.3 Telas exploratórias de candidatos e o novo candidato do ajuste BB21</w:t>
      </w:r>
    </w:p>
    <w:p>
      <w:pPr>
        <w:spacing w:after="200" w:line="360"/>
        <w:jc w:val="both"/>
      </w:pPr>
      <w:r>
        <w:rPr>
          <w:rFonts w:ascii="Times New Roman" w:cs="Times New Roman" w:eastAsia="Times New Roman" w:hAnsi="Times New Roman"/>
          <w:sz w:val="24"/>
          <w:szCs w:val="24"/>
        </w:rPr>
        <w:t xml:space="preserve">Duas telas de sensibilidade foram executadas em horizonte de 1 Myr com o catálogo canônico: rotação do ângulo ω9 do candidato preferido (row6: 0°, 90°, 180°, 200°, 270°) e varredura de inclinação ao redor do limite i &gt; 30° (row4: 31° a 35°), com Ω9 = 270° e M0 = 180°. Todas as variantes foram “candidatos de interesse” pelo critério default (ad hoc ponderado). Isso não significa significância: no teste formal de Rayleigh nenhum é estatisticamente significativo (p entre 0,16 e 0,18; n = 13) e, nos modelos nulos reais, nenhum superou consistentemente os três nulos (blocker null_model_not_exceeded ativo).</w:t>
      </w:r>
    </w:p>
    <w:p>
      <w:pPr>
        <w:spacing w:after="200" w:line="360"/>
        <w:jc w:val="both"/>
      </w:pPr>
      <w:r>
        <w:rPr>
          <w:rFonts w:ascii="Times New Roman" w:cs="Times New Roman" w:eastAsia="Times New Roman" w:hAnsi="Times New Roman"/>
          <w:sz w:val="24"/>
          <w:szCs w:val="24"/>
        </w:rPr>
        <w:t xml:space="preserve">O oitavo candidato, p9_row8_bb21_fit, derivado do ajuste de BROWN e BATYGIN (2021), foi executado em teste de sanidade de 200 anos — não secular. Nesse teste, obteve rank 1 entre os candidatos avaliados, sendo classificado como candidate_of_interest, com evidence_level “weak”. A divergência de aproximadamente 137° entre o ϖ9 = 110° assumido nas outras sete linhas e o ϖ9 = 246,7° do ajuste BB21 permanece como pendência central: a discriminação formal entre as duas soluções angulares exige execução no horizonte secular de 4 Gyr, ainda não realizada nesta etapa (Seção 2.8 traz a projeção de custo dessa execução).</w:t>
      </w:r>
    </w:p>
    <w:p>
      <w:pPr>
        <w:spacing w:after="200" w:line="360"/>
        <w:jc w:val="both"/>
      </w:pPr>
      <w:r>
        <w:rPr>
          <w:rFonts w:ascii="Times New Roman" w:cs="Times New Roman" w:eastAsia="Times New Roman" w:hAnsi="Times New Roman"/>
          <w:sz w:val="24"/>
          <w:szCs w:val="24"/>
        </w:rPr>
        <w:t xml:space="preserve">A robustez angular é limitada: apenas o candidato preferido row6 tem evidência de robustez a ω9 (5 valores, todos candidatos de interesse); as demais linhas do Quadro 2, incluindo a nova row8, não têm essa evidência além do teste de sanidade citado. Nenhuma execução avança da triagem exploratória para um segundo estágio de confirmação: os resultados são compatíveis com H1 apenas no sentido fraco de “não excluem candidatos de interesse” — um resultado negativo honesto.</w:t>
      </w:r>
    </w:p>
    <w:p>
      <w:pPr>
        <w:spacing w:after="200" w:line="360"/>
        <w:jc w:val="both"/>
      </w:pPr>
      <w:r>
        <w:rPr>
          <w:rFonts w:ascii="Times New Roman" w:cs="Times New Roman" w:eastAsia="Times New Roman" w:hAnsi="Times New Roman"/>
          <w:sz w:val="24"/>
          <w:szCs w:val="24"/>
        </w:rPr>
        <w:t xml:space="preserve">Diagnósticos auxiliares corroboram a leitura: derivas relativas de energia e momento angular ficaram abaixo dos divisores 10⁻³ e 10⁻⁴ usados no scoring, sem falhas numéricas nas telas de 1 Myr — saúde numérica no horizonte executado, não prova de estabilidade secular. O MEGNO, experimental e isolado do funil, respondeu à semente em orçamento curto (⟨Y⟩ = 1,7746 na semente 42 e 2,0930 na 43; sistema regular ≈ 2,0), mas, não calibrado, não é usado como argumento de estabilidade em Gyr.</w:t>
      </w:r>
    </w:p>
    <w:p>
      <w:pPr>
        <w:spacing w:after="200" w:before="400" w:line="360"/>
        <w:jc w:val="left"/>
      </w:pPr>
      <w:r>
        <w:rPr>
          <w:rFonts w:ascii="Times New Roman" w:cs="Times New Roman" w:eastAsia="Times New Roman" w:hAnsi="Times New Roman"/>
          <w:b/>
          <w:bCs/>
          <w:sz w:val="24"/>
          <w:szCs w:val="24"/>
        </w:rPr>
        <w:t>3.4 Modelo de viés de seleção observacional: resultado</w:t>
      </w:r>
    </w:p>
    <w:p>
      <w:pPr>
        <w:spacing w:after="200" w:line="360"/>
        <w:jc w:val="both"/>
      </w:pPr>
      <w:r>
        <w:rPr>
          <w:rFonts w:ascii="Times New Roman" w:cs="Times New Roman" w:eastAsia="Times New Roman" w:hAnsi="Times New Roman"/>
          <w:sz w:val="24"/>
          <w:szCs w:val="24"/>
        </w:rPr>
        <w:t>O modelo de viés descrito na Seção 2.9 foi aplicado a uma população sintética de 5.000 ETNOs uniformes em ângulo; a fração sobrevivente ao filtro de seleção foi de 19,18% (959 de 5.000), com modelo de viés h_prior_from_catalog (H reais de 16 objetos via JPL SBDB, mediana 6,465; eficiência de detecção OSSOS Bannister et al. 2018, ApJS 236:18). Sobre essa subpopulação sobrevivente, a estatística R de Rayleigh (semente 12345) resultou em R ≈ 0,032567 — ≈9,2× abaixo do catálogo real e ainda essencialmente uniforme, sem concentração angular detectável —, contra R = 0,299836 do catálogo real de 16 objetos.</w:t>
      </w:r>
    </w:p>
    <w:p>
      <w:pPr>
        <w:spacing w:after="200" w:line="360"/>
        <w:jc w:val="both"/>
      </w:pPr>
      <w:r>
        <w:rPr>
          <w:rFonts w:ascii="Times New Roman" w:cs="Times New Roman" w:eastAsia="Times New Roman" w:hAnsi="Times New Roman"/>
          <w:sz w:val="24"/>
          <w:szCs w:val="24"/>
        </w:rPr>
        <w:t>Lido isoladamente, esse contraste sugeriria que o viés de seleção modelado não é capaz de gerar, por si só, a concentração angular observada no catálogo real. Essa leitura deve, porém, ser qualificada por três limitações do modelo, que não podem ser omitidas junto do resultado: (i) o modelo é angle-only apenas parcialmente — dos três fatores multiplicativos, dois (profundidade limitante em magnitude e arco mínimo de rastreamento) são penalidades uniformes que não dependem dos ângulos do objeto, restando apenas o fator de cobertura de céu com alguma dependência angular; isso limita estruturalmente a capacidade do modelo de gerar clustering artificial mesmo quando esse viés existir de fato nos surveys reais; (ii) o modelo não representa magnitude aparente real (exigiria distância, tamanho e albedo sintéticos), nem a geometria real de footprint (cujo filtro posicional permanece desligado por padrão, com posição sintética sendo um proxy uniforme em céu, não uma projeção orbital→céu verdadeira) ou a cadência real de qualquer survey específico (DES, OSSOS, etc.); e (iii) trata-se de um único modelo simplificado, com uma única configuração de parâmetros e uma única semente.</w:t>
      </w:r>
    </w:p>
    <w:p>
      <w:pPr>
        <w:spacing w:after="200" w:line="360"/>
        <w:jc w:val="both"/>
      </w:pPr>
      <w:r>
        <w:rPr>
          <w:rFonts w:ascii="Times New Roman" w:cs="Times New Roman" w:eastAsia="Times New Roman" w:hAnsi="Times New Roman"/>
          <w:sz w:val="24"/>
          <w:szCs w:val="24"/>
        </w:rPr>
        <w:t xml:space="preserve">A conclusão sustentada pelos dados desta etapa é, portanto, restrita: este modelo simplificado específico não reproduz o agrupamento angular observado no catálogo real. Isso não equivale a dizer que “não há viés de seleção” nos levantamentos reais, nem que o “viés de seleção está descartado” como explicação alternativa ao Planeta Nove — ambas as formulações extrapolam o que foi testado. O resultado é favorável à leitura de agrupamento genuíno, mas não constitui confirmação forte, e o nível de evidência dinâmica do projeto permanece “fraco” (Seção 2.5).</w:t>
      </w:r>
    </w:p>
    <w:p>
      <w:pPr>
        <w:spacing w:after="200" w:before="400" w:line="360"/>
        <w:jc w:val="left"/>
      </w:pPr>
      <w:r>
        <w:rPr>
          <w:rFonts w:ascii="Times New Roman" w:cs="Times New Roman" w:eastAsia="Times New Roman" w:hAnsi="Times New Roman"/>
          <w:b/>
          <w:bCs/>
          <w:sz w:val="24"/>
          <w:szCs w:val="24"/>
        </w:rPr>
        <w:t xml:space="preserve">3.5 Discussão integrada e limitações</w:t>
      </w:r>
    </w:p>
    <w:p>
      <w:pPr>
        <w:spacing w:after="200" w:line="360"/>
        <w:jc w:val="both"/>
      </w:pPr>
      <w:r>
        <w:rPr>
          <w:rFonts w:ascii="Times New Roman" w:cs="Times New Roman" w:eastAsia="Times New Roman" w:hAnsi="Times New Roman"/>
          <w:sz w:val="24"/>
          <w:szCs w:val="24"/>
        </w:rPr>
        <w:t>Em conjunto, os resultados sustentam leitura conservadora: o pipeline opera de forma reprodutível e auditável (189 testes aprovados; controle pareado), mas a evidência dinâmica é fraca e exploratória — agrupamento não significativo mesmo com o catálogo ampliado para 16 objetos, funil com amostra secular ainda mínima em ambos os scans, telas de 1 Myr que não superam modelos nulos, um oitavo candidato promissor em teste de sanidade mas sem discriminação secular frente à solução angular original, e um primeiro modelo de viés de seleção que não reproduz o agrupamento observado, porém com limitações estruturais que impedem tratá-lo como confirmação. As limitações estruturais remanescentes: modelo de viés observacional ainda inicial e apenas parcialmente dependente dos ângulos (não mais ausente, mas insuficiente para elevar o teto de evidência), catálogo de núcleo quantitativo ainda fechado em 2014 (os três objetos mais recentes entram apenas nos diagnósticos agregados), divergência angular de ≈137° entre a solução assumida e o ajuste de BROWN e BATYGIN (2021) ainda não resolvida, semente única nas integrações e Estágios 4–5 do funil não implementados.</w:t>
      </w:r>
    </w:p>
    <w:p>
      <w:pPr>
        <w:spacing w:after="200" w:line="360"/>
        <w:jc w:val="both"/>
      </w:pPr>
      <w:r>
        <w:rPr>
          <w:rFonts w:ascii="Times New Roman" w:cs="Times New Roman" w:eastAsia="Times New Roman" w:hAnsi="Times New Roman"/>
          <w:sz w:val="24"/>
          <w:szCs w:val="24"/>
        </w:rPr>
        <w:t xml:space="preserve">A literatura recente reforça as ressalvas: Leleākūhonua/2015 TG387 (SHEPPARD et al., 2019) e Ammonite/2023 KQ14 (CHEN et al., 2025) apoiam de forma qualificada o agrupamento, enquanto 2017 OF201 (CHENG; LI; YANG, 2025) o desafia diretamente; a controvérsia sobre viés observacional segue em aberto (SHANKMAN et al., 2017; NAPIER et al., 2021; BROWN; BATYGIN, 2021), agora com um primeiro modelo próprio de viés que, dentro de suas limitações, não reproduziu o agrupamento observado. Não há evidência dinâmica que confirme a existência do Planeta Nove nem determine sua órbita.</w:t>
      </w:r>
    </w:p>
    <w:p>
      <w:pPr>
        <w:spacing w:after="200" w:before="400" w:line="360"/>
        <w:jc w:val="left"/>
      </w:pPr>
      <w:r>
        <w:rPr>
          <w:rFonts w:ascii="Times New Roman" w:cs="Times New Roman" w:eastAsia="Times New Roman" w:hAnsi="Times New Roman"/>
          <w:b/>
          <w:bCs/>
          <w:sz w:val="24"/>
          <w:szCs w:val="24"/>
        </w:rPr>
        <w:t xml:space="preserve">4 CONSIDERAÇÕES FINAIS</w:t>
      </w:r>
    </w:p>
    <w:p>
      <w:pPr>
        <w:spacing w:after="200" w:line="360"/>
        <w:jc w:val="both"/>
      </w:pPr>
      <w:r>
        <w:rPr>
          <w:rFonts w:ascii="Times New Roman" w:cs="Times New Roman" w:eastAsia="Times New Roman" w:hAnsi="Times New Roman"/>
          <w:sz w:val="24"/>
          <w:szCs w:val="24"/>
        </w:rPr>
        <w:t xml:space="preserve">O que esta etapa do projeto acrescentou à arquitetura de triagem foi: um catálogo ampliado para 16 ETNOs com três objetos adicionais de status parcial, um oitavo candidato do Quadro 2 derivado diretamente do ajuste de BROWN e BATYGIN (2021), um segundo scan de Monte Carlo restrito à região de alta probabilidade daquele ajuste, e um primeiro modelo, ainda simplificado, de viés de seleção observacional — tudo executado com REBOUND real e proveniência registrada. Os resultados robustos dentro do protocolo: (a) o catálogo ampliado de 16 ETNOs não apresenta agrupamento apsidal significativo em nenhum dos dois testes formais (p de Rayleigh = 0,24046; p de Kuiper = 1,0); (b) nenhum candidato do Quadro 2 superou consistentemente os modelos nulos nem alcançou significância formal, incluindo o novo candidato derivado de BB21, que se destacou apenas em teste de sanidade de curto prazo; e (c) o modelo inicial de viés de seleção não reproduziu o agrupamento angular do catálogo real, resultado favorável mas explicitamente limitado.</w:t>
      </w:r>
    </w:p>
    <w:p>
      <w:pPr>
        <w:spacing w:after="200" w:line="360"/>
        <w:jc w:val="both"/>
      </w:pPr>
      <w:r>
        <w:rPr>
          <w:rFonts w:ascii="Times New Roman" w:cs="Times New Roman" w:eastAsia="Times New Roman" w:hAnsi="Times New Roman"/>
          <w:sz w:val="24"/>
          <w:szCs w:val="24"/>
        </w:rPr>
        <w:t xml:space="preserve">Também é explícito o que não foi demonstrado: não se confirmou a existência do Planeta Nove nem se determinou sua órbita real; não se validou estabilidade em Gyr (telas de 1 Myr e teste de sanidade de 200 anos); a divergência angular de ≈137° entre a solução assumida e o ajuste de BB21 permanece sem discriminação secular; e o modelo de viés de seleção, embora agora implementado, é ainda parcial e insuficiente para elevar o nível de evidência do projeto. À pergunta central — “o projeto encontrou o Planeta Nove?” — a resposta continua não: a evidência disponível não permite confirmar a existência do Planeta Nove.</w:t>
      </w:r>
    </w:p>
    <w:p>
      <w:pPr>
        <w:spacing w:after="200" w:line="360"/>
        <w:jc w:val="both"/>
      </w:pPr>
      <w:r>
        <w:rPr>
          <w:rFonts w:ascii="Times New Roman" w:cs="Times New Roman" w:eastAsia="Times New Roman" w:hAnsi="Times New Roman"/>
          <w:sz w:val="24"/>
          <w:szCs w:val="24"/>
        </w:rPr>
        <w:t xml:space="preserve">A contribuição segue sendo metodológica: um arcabouço aberto, reprodutível e auditável de triagem dinâmica, com política de conclusão que impede afirmações mais fortes do que a evidência. Como próximos passos: (i) executar as telas seculares completas (4 Gyr) dos oito candidatos, agora viáveis em prazo de poucos dias no hardware real medido nesta etapa, para discriminar formalmente entre as soluções angulares ϖ9 = 110° e ϖ9 = 246,7°; (ii) elevar a amostra do Estágio 3 em ambos os scans e recalcular o poder estatístico; (iii) aprofundar o modelo de viés de seleção, incorporando magnitude aparente sintética e geometria de footprint de surveys reais, para reduzir sua limitação angle-only; e (iv) testar múltiplas sementes nas integrações e no modelo de viés. Somente então a triagem exploratória poderia tornar-se análise confirmatória.</w:t>
      </w:r>
    </w:p>
    <w:p>
      <w:pPr>
        <w:spacing w:after="200" w:before="400" w:line="360"/>
        <w:jc w:val="left"/>
      </w:pPr>
      <w:r>
        <w:rPr>
          <w:rFonts w:ascii="Times New Roman" w:cs="Times New Roman" w:eastAsia="Times New Roman" w:hAnsi="Times New Roman"/>
          <w:b/>
          <w:bCs/>
          <w:sz w:val="24"/>
          <w:szCs w:val="24"/>
        </w:rPr>
        <w:t xml:space="preserve">REFERÊNCIAS</w:t>
      </w:r>
    </w:p>
    <w:p>
      <w:pPr>
        <w:spacing w:after="200" w:line="276"/>
        <w:jc w:val="left"/>
      </w:pPr>
      <w:r>
        <w:rPr>
          <w:rFonts w:ascii="Times New Roman" w:cs="Times New Roman" w:eastAsia="Times New Roman" w:hAnsi="Times New Roman"/>
          <w:sz w:val="24"/>
          <w:szCs w:val="24"/>
        </w:rPr>
        <w:t xml:space="preserve">BATYGIN, K.; BROWN, M. E. Evidence for a distant giant planet in the Solar System. The Astronomical Journal, v. 151, n. 2, p. 22, 2016. DOI: 10.3847/0004-6256/151/2/22.</w:t>
      </w:r>
    </w:p>
    <w:p>
      <w:pPr>
        <w:spacing w:after="200" w:line="276"/>
        <w:jc w:val="left"/>
      </w:pPr>
      <w:r>
        <w:rPr>
          <w:rFonts w:ascii="Times New Roman" w:cs="Times New Roman" w:eastAsia="Times New Roman" w:hAnsi="Times New Roman"/>
          <w:sz w:val="24"/>
          <w:szCs w:val="24"/>
        </w:rPr>
        <w:t xml:space="preserve">BROWN, M. E.; BATYGIN, K. Observational constraints on the orbit and location of Planet Nine in the outer Solar System. The Astrophysical Journal Letters, v. 824, n. 2, p. L23, 2016. DOI: 10.3847/2041-8205/824/2/L23.</w:t>
      </w:r>
    </w:p>
    <w:p>
      <w:pPr>
        <w:spacing w:after="200" w:line="276"/>
        <w:jc w:val="left"/>
      </w:pPr>
      <w:r>
        <w:rPr>
          <w:rFonts w:ascii="Times New Roman" w:cs="Times New Roman" w:eastAsia="Times New Roman" w:hAnsi="Times New Roman"/>
          <w:sz w:val="24"/>
          <w:szCs w:val="24"/>
        </w:rPr>
        <w:t xml:space="preserve">BROWN, M. E.; BATYGIN, K. Orbital clustering in the distant Solar System. The Astronomical Journal, v. 157, n. 2, p. 62, 2019. DOI: 10.3847/1538-3881/aaf051.</w:t>
      </w:r>
    </w:p>
    <w:p>
      <w:pPr>
        <w:spacing w:after="200" w:line="276"/>
        <w:jc w:val="left"/>
      </w:pPr>
      <w:r>
        <w:rPr>
          <w:rFonts w:ascii="Times New Roman" w:cs="Times New Roman" w:eastAsia="Times New Roman" w:hAnsi="Times New Roman"/>
          <w:sz w:val="24"/>
          <w:szCs w:val="24"/>
        </w:rPr>
        <w:t xml:space="preserve">BROWN, M. E.; BATYGIN, K. The orbit of Planet Nine. The Astronomical Journal, v. 162, n. 5, p. 219, 2021. DOI: 10.3847/1538-3881/ac2056.</w:t>
      </w:r>
    </w:p>
    <w:p>
      <w:pPr>
        <w:spacing w:after="200" w:line="276"/>
        <w:jc w:val="left"/>
      </w:pPr>
      <w:r>
        <w:rPr>
          <w:rFonts w:ascii="Times New Roman" w:cs="Times New Roman" w:eastAsia="Times New Roman" w:hAnsi="Times New Roman"/>
          <w:sz w:val="24"/>
          <w:szCs w:val="24"/>
        </w:rPr>
        <w:t xml:space="preserve">CHEN, Y.-T. et al. Discovery and dynamics of a Sedna-like object with a perihelion of 66 au. Nature Astronomy, v. 9, n. 9, p. 1309-1316, 2025. DOI: 10.1038/s41550-025-02595-7.</w:t>
      </w:r>
    </w:p>
    <w:p>
      <w:pPr>
        <w:spacing w:after="200" w:line="276"/>
        <w:jc w:val="left"/>
      </w:pPr>
      <w:r>
        <w:rPr>
          <w:rFonts w:ascii="Times New Roman" w:cs="Times New Roman" w:eastAsia="Times New Roman" w:hAnsi="Times New Roman"/>
          <w:sz w:val="24"/>
          <w:szCs w:val="24"/>
        </w:rPr>
        <w:t xml:space="preserve">CHENG, S.; LI, J.; YANG, E. Discovery of a dwarf planet candidate in an extremely wide orbit: 2017 OF201. arXiv:2505.15806, 2025. Disponível em: https://arxiv.org/abs/2505.15806. Acesso em: 3 set. 2026.</w:t>
      </w:r>
    </w:p>
    <w:p>
      <w:pPr>
        <w:spacing w:after="200" w:line="276"/>
        <w:jc w:val="left"/>
      </w:pPr>
      <w:r>
        <w:rPr>
          <w:rFonts w:ascii="Times New Roman" w:cs="Times New Roman" w:eastAsia="Times New Roman" w:hAnsi="Times New Roman"/>
          <w:sz w:val="24"/>
          <w:szCs w:val="24"/>
        </w:rPr>
        <w:t xml:space="preserve">DE LA FUENTE MARCOS, C.; DE LA FUENTE MARCOS, R. Extreme trans-Neptunian objects and the Kozai mechanism: signalling the presence of trans-Plutonian planets. Monthly Notices of the Royal Astronomical Society: Letters, v. 443, n. 1, p. L59-L63, 2014. DOI: 10.1093/mnrasl/slu084.</w:t>
      </w:r>
    </w:p>
    <w:p>
      <w:pPr>
        <w:spacing w:after="200" w:line="276"/>
        <w:jc w:val="left"/>
      </w:pPr>
      <w:r>
        <w:rPr>
          <w:rFonts w:ascii="Times New Roman" w:cs="Times New Roman" w:eastAsia="Times New Roman" w:hAnsi="Times New Roman"/>
          <w:sz w:val="24"/>
          <w:szCs w:val="24"/>
        </w:rPr>
        <w:t xml:space="preserve">MALHOTRA, R.; VOLK, K.; WANG, X. Corralling a distant planet with extreme resonant Kuiper belt objects. The Astrophysical Journal Letters, v. 824, n. 2, p. L22, 2016. DOI: 10.3847/2041-8205/824/2/L22.</w:t>
      </w:r>
    </w:p>
    <w:p>
      <w:pPr>
        <w:spacing w:after="200" w:line="276"/>
        <w:jc w:val="left"/>
      </w:pPr>
      <w:r>
        <w:rPr>
          <w:rFonts w:ascii="Times New Roman" w:cs="Times New Roman" w:eastAsia="Times New Roman" w:hAnsi="Times New Roman"/>
          <w:sz w:val="24"/>
          <w:szCs w:val="24"/>
        </w:rPr>
        <w:t xml:space="preserve">MILLHOLLAND, S.; LAUGHLIN, G. Constraints on Planet Nine's orbit and sky position within a framework of mean-motion resonances. The Astronomical Journal, v. 153, n. 3, p. 91, 2017. DOI: 10.3847/1538-3881/153/3/91.</w:t>
      </w:r>
    </w:p>
    <w:p>
      <w:pPr>
        <w:spacing w:after="200" w:line="276"/>
        <w:jc w:val="left"/>
      </w:pPr>
      <w:r>
        <w:rPr>
          <w:rFonts w:ascii="Times New Roman" w:cs="Times New Roman" w:eastAsia="Times New Roman" w:hAnsi="Times New Roman"/>
          <w:sz w:val="24"/>
          <w:szCs w:val="24"/>
        </w:rPr>
        <w:t xml:space="preserve">NAPIER, K. J. et al. No evidence for orbital clustering in the extreme trans-Neptunian objects. The Planetary Science Journal, v. 2, n. 2, p. 59, 2021. DOI: 10.3847/PSJ/abe53e.</w:t>
      </w:r>
    </w:p>
    <w:p>
      <w:pPr>
        <w:spacing w:after="200" w:line="276"/>
        <w:jc w:val="left"/>
      </w:pPr>
      <w:r>
        <w:rPr>
          <w:rFonts w:ascii="Times New Roman" w:cs="Times New Roman" w:eastAsia="Times New Roman" w:hAnsi="Times New Roman"/>
          <w:sz w:val="24"/>
          <w:szCs w:val="24"/>
        </w:rPr>
        <w:t xml:space="preserve">PLANET9 SCREENING LAB. Pipeline headless de triagem dinâmica do Planeta Nove. Salvador, 2026. Disponível em: https://github.com/llLuriat/planet9-screening-lab. Acesso em: 3 set. 2026.</w:t>
      </w:r>
    </w:p>
    <w:p>
      <w:pPr>
        <w:spacing w:after="200" w:line="276"/>
        <w:jc w:val="left"/>
      </w:pPr>
      <w:r>
        <w:rPr>
          <w:rFonts w:ascii="Times New Roman" w:cs="Times New Roman" w:eastAsia="Times New Roman" w:hAnsi="Times New Roman"/>
          <w:sz w:val="24"/>
          <w:szCs w:val="24"/>
        </w:rPr>
        <w:t xml:space="preserve">REIN, H.; LIU, S.-F. REBOUND: an open-source multi-purpose N-body code for collisional dynamics. Astronomy &amp; Astrophysics, v. 537, p. A128, 2012. DOI: 10.1051/0004-6361/201118085.</w:t>
      </w:r>
    </w:p>
    <w:p>
      <w:pPr>
        <w:spacing w:after="200" w:line="276"/>
        <w:jc w:val="left"/>
      </w:pPr>
      <w:r>
        <w:rPr>
          <w:rFonts w:ascii="Times New Roman" w:cs="Times New Roman" w:eastAsia="Times New Roman" w:hAnsi="Times New Roman"/>
          <w:sz w:val="24"/>
          <w:szCs w:val="24"/>
        </w:rPr>
        <w:t xml:space="preserve">SHANKMAN, C. et al. OSSOS. VI. Striking biases in the detection of large semimajor axis trans-Neptunian objects. The Astronomical Journal, v. 154, n. 2, p. 50, 2017. DOI: 10.3847/1538-3881/aa7aed.</w:t>
      </w:r>
    </w:p>
    <w:p>
      <w:pPr>
        <w:spacing w:after="200" w:line="276"/>
        <w:jc w:val="left"/>
      </w:pPr>
      <w:r>
        <w:rPr>
          <w:rFonts w:ascii="Times New Roman" w:cs="Times New Roman" w:eastAsia="Times New Roman" w:hAnsi="Times New Roman"/>
          <w:sz w:val="24"/>
          <w:szCs w:val="24"/>
        </w:rPr>
        <w:t xml:space="preserve">SHEPPARD, S. S.; TRUJILLO, C. A.; THOLEN, D. J.; KAIB, N. A new high perihelion trans-Plutonian inner Oort Cloud object: 2015 TG387. The Astronomical Journal, v. 157, n. 4, p. 139, 2019. DOI: 10.3847/1538-3881/ab0895.</w:t>
      </w:r>
    </w:p>
    <w:p>
      <w:pPr>
        <w:spacing w:after="200" w:line="276"/>
        <w:jc w:val="left"/>
      </w:pPr>
      <w:r>
        <w:rPr>
          <w:rFonts w:ascii="Times New Roman" w:cs="Times New Roman" w:eastAsia="Times New Roman" w:hAnsi="Times New Roman"/>
          <w:sz w:val="24"/>
          <w:szCs w:val="24"/>
        </w:rPr>
        <w:t xml:space="preserve">STEPHENS, M. A. Use of the Kolmogorov-Smirnov, Cramér-von Mises and related statistics without extensive tables. Journal of the Royal Statistical Society: Series B (Methodological), v. 32, n. 1, p. 115-122, 1970. DOI: 10.1111/j.2517-6161.1970.tb00821.x.</w:t>
      </w:r>
    </w:p>
    <w:p>
      <w:pPr>
        <w:spacing w:after="200" w:line="276"/>
        <w:jc w:val="left"/>
      </w:pPr>
      <w:r>
        <w:rPr>
          <w:rFonts w:ascii="Times New Roman" w:cs="Times New Roman" w:eastAsia="Times New Roman" w:hAnsi="Times New Roman"/>
          <w:sz w:val="24"/>
          <w:szCs w:val="24"/>
        </w:rPr>
        <w:t xml:space="preserve">ZAR, J. H. Biostatistical Analysis. 4. ed. Upper Saddle River: Prentice Hall, 1999.</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d0b73d79bc022ff0eb82d7152ebbb59e23b481.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2026-09-04T06:39:12.352Z</dcterms:created>
  <dcterms:modified xsi:type="dcterms:W3CDTF">2026-09-04T06:39:12.363Z</dcterms:modified>
</cp:coreProperties>
</file>

<file path=docProps/custom.xml><?xml version="1.0" encoding="utf-8"?>
<Properties xmlns="http://schemas.openxmlformats.org/officeDocument/2006/custom-properties" xmlns:vt="http://schemas.openxmlformats.org/officeDocument/2006/docPropsVTypes"/>
</file>