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A1A2E"/>
          <w:sz w:val="40"/>
        </w:rPr>
        <w:t>Ioana Criclevit</w:t>
      </w:r>
    </w:p>
    <w:p>
      <w:pPr>
        <w:spacing w:before="0" w:after="60"/>
      </w:pPr>
      <w:r>
        <w:rPr>
          <w:b w:val="0"/>
          <w:i w:val="0"/>
          <w:color w:val="1A1A2E"/>
          <w:sz w:val="19"/>
        </w:rPr>
        <w:t>Senior Data Analyst</w:t>
      </w:r>
    </w:p>
    <w:p>
      <w:pPr>
        <w:spacing w:before="0" w:after="60"/>
      </w:pPr>
      <w:r>
        <w:rPr>
          <w:b w:val="0"/>
          <w:i w:val="0"/>
          <w:color w:val="1A1A2E"/>
          <w:sz w:val="19"/>
        </w:rPr>
        <w:t xml:space="preserve">London • 07759124932 • ioanapcriclevit@gmail.com • </w:t>
      </w:r>
      <w:hyperlink r:id="rId9">
        <w:r>
          <w:rPr>
            <w:color w:val="0563C1"/>
            <w:u w:val="single"/>
          </w:rPr>
          <w:t xml:space="preserve">LinkedIn</w:t>
        </w:r>
      </w:hyperlink>
    </w:p>
    <w:p>
      <w:pPr>
        <w:spacing w:before="0" w:after="40"/>
      </w:pPr>
    </w:p>
    <w:p>
      <w:pPr>
        <w:spacing w:before="0" w:after="40"/>
      </w:pPr>
    </w:p>
    <w:p>
      <w:pPr>
        <w:spacing w:before="160" w:after="60"/>
        <w:pBdr>
          <w:bottom w:val="single" w:sz="4" w:space="1" w:color="cccccc"/>
        </w:pBdr>
      </w:pPr>
      <w:r>
        <w:rPr>
          <w:rFonts w:ascii="Arial" w:hAnsi="Arial"/>
          <w:b/>
          <w:color w:val="1A1A2E"/>
          <w:sz w:val="21"/>
        </w:rPr>
        <w:t>PROFESSIONAL SUMMARY</w:t>
      </w:r>
    </w:p>
    <w:p>
      <w:pPr>
        <w:spacing w:before="0" w:after="40"/>
      </w:pPr>
    </w:p>
    <w:p>
      <w:pPr>
        <w:spacing w:before="0" w:after="60"/>
      </w:pPr>
      <w:r>
        <w:rPr>
          <w:b w:val="0"/>
          <w:i w:val="0"/>
          <w:color w:val="1A1A2E"/>
          <w:sz w:val="19"/>
        </w:rPr>
        <w:t>Data analyst with eight years of experience making data trusted and usable – building reporting products that non-technical teams actually reach for, translating ambiguous business requirements into defined analytical frameworks, and maintaining the quality standards that make data reliable at scale. Track record of acting as the connective tissue between data and decision-makers: gathering requirements from diverse stakeholder groups, building intuitive outputs, and enabling teams to work with data confidently and independently. Strong SQL foundations, meticulous attention to data quality, and genuine curiosity about how data flows from source to decision.</w:t>
      </w:r>
    </w:p>
    <w:p>
      <w:pPr>
        <w:spacing w:before="0" w:after="40"/>
      </w:pPr>
    </w:p>
    <w:p>
      <w:pPr>
        <w:spacing w:before="0" w:after="40"/>
      </w:pPr>
    </w:p>
    <w:p>
      <w:pPr>
        <w:spacing w:before="160" w:after="60"/>
        <w:pBdr>
          <w:bottom w:val="single" w:sz="4" w:space="1" w:color="cccccc"/>
        </w:pBdr>
      </w:pPr>
      <w:r>
        <w:rPr>
          <w:rFonts w:ascii="Arial" w:hAnsi="Arial"/>
          <w:b/>
          <w:color w:val="1A1A2E"/>
          <w:sz w:val="21"/>
        </w:rPr>
        <w:t>KEY SKILLS</w:t>
      </w:r>
    </w:p>
    <w:p>
      <w:pPr>
        <w:spacing w:before="0" w:after="40"/>
      </w:pPr>
    </w:p>
    <w:p>
      <w:pPr>
        <w:spacing w:before="0" w:after="80"/>
      </w:pPr>
      <w:r>
        <w:rPr>
          <w:b/>
          <w:color w:val="1A1A2E"/>
          <w:sz w:val="19"/>
        </w:rPr>
        <w:t xml:space="preserve">Technical: </w:t>
      </w:r>
      <w:r>
        <w:rPr>
          <w:b w:val="0"/>
          <w:i w:val="0"/>
          <w:color w:val="1A1A2E"/>
          <w:sz w:val="19"/>
        </w:rPr>
        <w:t>SQL · SAS · R (ggplot2, plotly, R Markdown) · Power BI · Excel · Git · ETL pipeline design · Automated QA frameworks · Large-scale data processing (800M+ records).</w:t>
      </w:r>
    </w:p>
    <w:p>
      <w:pPr>
        <w:spacing w:before="0" w:after="40"/>
      </w:pPr>
    </w:p>
    <w:p>
      <w:pPr>
        <w:spacing w:before="0" w:after="80"/>
      </w:pPr>
      <w:r>
        <w:rPr>
          <w:b/>
          <w:color w:val="1A1A2E"/>
          <w:sz w:val="19"/>
        </w:rPr>
        <w:t xml:space="preserve">Enablement &amp; Documentation: </w:t>
      </w:r>
      <w:r>
        <w:rPr>
          <w:b w:val="0"/>
          <w:i w:val="0"/>
          <w:color w:val="1A1A2E"/>
          <w:sz w:val="19"/>
        </w:rPr>
        <w:t>Data quality frameworks · Automated validation rules · Reporting standards · Translating business requirements into reporting specifications · Documentation for non-technical audiences.</w:t>
      </w:r>
    </w:p>
    <w:p>
      <w:pPr>
        <w:spacing w:before="0" w:after="40"/>
      </w:pPr>
    </w:p>
    <w:p>
      <w:pPr>
        <w:spacing w:before="0" w:after="80"/>
      </w:pPr>
      <w:r>
        <w:rPr>
          <w:b/>
          <w:color w:val="1A1A2E"/>
          <w:sz w:val="19"/>
        </w:rPr>
        <w:t xml:space="preserve">Stakeholder &amp; Communication: </w:t>
      </w:r>
      <w:r>
        <w:rPr>
          <w:b w:val="0"/>
          <w:i w:val="0"/>
          <w:color w:val="1A1A2E"/>
          <w:sz w:val="19"/>
        </w:rPr>
        <w:t>Requirements gathering · Non-technical stakeholder engagement · Cross-functional collaboration · Onboarding users to analytical products · Executive briefings.</w:t>
      </w:r>
    </w:p>
    <w:p>
      <w:pPr>
        <w:spacing w:before="0" w:after="40"/>
      </w:pPr>
    </w:p>
    <w:p>
      <w:pPr>
        <w:spacing w:before="0" w:after="80"/>
      </w:pPr>
      <w:r>
        <w:rPr>
          <w:b/>
          <w:color w:val="1A1A2E"/>
          <w:sz w:val="19"/>
        </w:rPr>
        <w:t xml:space="preserve">Delivery: </w:t>
      </w:r>
      <w:r>
        <w:rPr>
          <w:b w:val="0"/>
          <w:i w:val="0"/>
          <w:color w:val="1A1A2E"/>
          <w:sz w:val="19"/>
        </w:rPr>
        <w:t>Data product lifecycle ownership · Agile delivery · Identifying and automating manual reporting processes · Coaching and mentoring analysts.</w:t>
      </w:r>
    </w:p>
    <w:p>
      <w:pPr>
        <w:spacing w:before="0" w:after="40"/>
      </w:pPr>
    </w:p>
    <w:p>
      <w:pPr>
        <w:spacing w:before="0" w:after="40"/>
      </w:pPr>
    </w:p>
    <w:p>
      <w:pPr>
        <w:spacing w:before="160" w:after="60"/>
        <w:pBdr>
          <w:bottom w:val="single" w:sz="4" w:space="1" w:color="cccccc"/>
        </w:pBdr>
      </w:pPr>
      <w:r>
        <w:rPr>
          <w:rFonts w:ascii="Arial" w:hAnsi="Arial"/>
          <w:b/>
          <w:color w:val="1A1A2E"/>
          <w:sz w:val="21"/>
        </w:rPr>
        <w:t>PROFESSIONAL EXPERIENCE</w:t>
      </w:r>
    </w:p>
    <w:p>
      <w:pPr>
        <w:spacing w:before="0" w:after="40"/>
      </w:pPr>
    </w:p>
    <w:p>
      <w:pPr>
        <w:spacing w:before="120" w:after="0"/>
      </w:pPr>
      <w:r>
        <w:rPr>
          <w:b/>
          <w:i w:val="0"/>
          <w:color w:val="1A1A2E"/>
          <w:sz w:val="20"/>
        </w:rPr>
        <w:t>Data Sharing and Identity Fraud Policy Lead</w:t>
      </w:r>
    </w:p>
    <w:p>
      <w:pPr>
        <w:spacing w:before="0" w:after="60"/>
      </w:pPr>
      <w:r>
        <w:rPr>
          <w:b w:val="0"/>
          <w:i w:val="0"/>
          <w:color w:val="555555"/>
          <w:sz w:val="18"/>
        </w:rPr>
        <w:t>Home Office – London | Jan 2024 – Mar 2026</w:t>
      </w:r>
    </w:p>
    <w:p>
      <w:pPr>
        <w:spacing w:before="0" w:after="40"/>
      </w:pPr>
    </w:p>
    <w:p>
      <w:pPr>
        <w:pStyle w:val="ListBullet"/>
        <w:spacing w:before="0" w:after="20"/>
        <w:ind w:left="227"/>
      </w:pPr>
      <w:r>
        <w:rPr>
          <w:b w:val="0"/>
          <w:i w:val="0"/>
          <w:color w:val="1A1A2E"/>
          <w:sz w:val="19"/>
        </w:rPr>
        <w:t>Created and ran a cross-sector working group of 85+ organisations across banking, fintech, telecoms and law enforcement – gathering requirements, synthesising diverse input, and translating findings into structured recommendations for senior decision-makers.</w:t>
      </w:r>
    </w:p>
    <w:p>
      <w:pPr>
        <w:pStyle w:val="ListBullet"/>
        <w:spacing w:before="0" w:after="20"/>
        <w:ind w:left="227"/>
      </w:pPr>
      <w:r>
        <w:rPr>
          <w:b w:val="0"/>
          <w:i w:val="0"/>
          <w:color w:val="1A1A2E"/>
          <w:sz w:val="19"/>
        </w:rPr>
        <w:t>Delivered the UK's first public consultation on economic crime data sharing, making complex cross-government data requirements accessible to a broad range of technical and non-technical stakeholders.</w:t>
      </w:r>
    </w:p>
    <w:p>
      <w:pPr>
        <w:pStyle w:val="ListBullet"/>
        <w:spacing w:before="0" w:after="20"/>
        <w:ind w:left="227"/>
      </w:pPr>
      <w:r>
        <w:rPr>
          <w:b w:val="0"/>
          <w:i w:val="0"/>
          <w:color w:val="1A1A2E"/>
          <w:sz w:val="19"/>
        </w:rPr>
        <w:t>Produced executive briefings and policy papers translating complex, multi-source analysis into clear, actionable outputs for senior audiences.</w:t>
      </w:r>
    </w:p>
    <w:p>
      <w:pPr>
        <w:spacing w:before="0" w:after="40"/>
      </w:pPr>
    </w:p>
    <w:p>
      <w:pPr>
        <w:spacing w:before="120" w:after="0"/>
      </w:pPr>
      <w:r>
        <w:rPr>
          <w:b/>
          <w:i w:val="0"/>
          <w:color w:val="1A1A2E"/>
          <w:sz w:val="20"/>
        </w:rPr>
        <w:t>Senior Data Analyst</w:t>
      </w:r>
    </w:p>
    <w:p>
      <w:pPr>
        <w:spacing w:before="0" w:after="60"/>
      </w:pPr>
      <w:r>
        <w:rPr>
          <w:b w:val="0"/>
          <w:i w:val="0"/>
          <w:color w:val="555555"/>
          <w:sz w:val="18"/>
        </w:rPr>
        <w:t>Department for Work and Pensions (DWP) – London | Nov 2021 – Jan 2024</w:t>
      </w:r>
    </w:p>
    <w:p>
      <w:pPr>
        <w:spacing w:before="0" w:after="40"/>
      </w:pPr>
    </w:p>
    <w:p>
      <w:pPr>
        <w:pStyle w:val="ListBullet"/>
        <w:spacing w:before="0" w:after="20"/>
        <w:ind w:left="227"/>
      </w:pPr>
      <w:r>
        <w:rPr>
          <w:b w:val="0"/>
          <w:i w:val="0"/>
          <w:color w:val="1A1A2E"/>
          <w:sz w:val="19"/>
        </w:rPr>
        <w:t>Translated ambiguous business requirements into defined metrics and automated reporting solutions, improving access to timely, decision-ready data for operational and policy teams.</w:t>
      </w:r>
    </w:p>
    <w:p>
      <w:pPr>
        <w:pStyle w:val="ListBullet"/>
        <w:spacing w:before="0" w:after="20"/>
        <w:ind w:left="227"/>
      </w:pPr>
      <w:r>
        <w:rPr>
          <w:b w:val="0"/>
          <w:i w:val="0"/>
          <w:color w:val="1A1A2E"/>
          <w:sz w:val="19"/>
        </w:rPr>
        <w:t>Established data quality frameworks and validation rules across multiple large-scale sources, creating consistent standards that teams could rely on and materially reducing inconsistencies in outputs.</w:t>
      </w:r>
    </w:p>
    <w:p>
      <w:pPr>
        <w:pStyle w:val="ListBullet"/>
        <w:spacing w:before="0" w:after="20"/>
        <w:ind w:left="227"/>
      </w:pPr>
      <w:r>
        <w:rPr>
          <w:b w:val="0"/>
          <w:i w:val="0"/>
          <w:color w:val="1A1A2E"/>
          <w:sz w:val="19"/>
        </w:rPr>
        <w:t>Built intuitive data visualisations and analytical products in R and Power BI, prioritising usability for non-technical operational and policy decision-makers.</w:t>
      </w:r>
    </w:p>
    <w:p>
      <w:pPr>
        <w:pStyle w:val="ListBullet"/>
        <w:spacing w:before="0" w:after="20"/>
        <w:ind w:left="227"/>
      </w:pPr>
      <w:r>
        <w:rPr>
          <w:b w:val="0"/>
          <w:i w:val="0"/>
          <w:color w:val="1A1A2E"/>
          <w:sz w:val="19"/>
        </w:rPr>
        <w:t>Designed and implemented ETL pipelines in SAS and SQL, processing 800M+ records with disciplined code versioning to ensure reproducibility and auditability.</w:t>
      </w:r>
    </w:p>
    <w:p>
      <w:pPr>
        <w:pStyle w:val="ListBullet"/>
        <w:spacing w:before="0" w:after="20"/>
        <w:ind w:left="227"/>
      </w:pPr>
      <w:r>
        <w:rPr>
          <w:b w:val="0"/>
          <w:i w:val="0"/>
          <w:color w:val="1A1A2E"/>
          <w:sz w:val="19"/>
        </w:rPr>
        <w:t>Identified and automated manual reporting processes, materially reducing effort and improving reliability of recurring outputs.</w:t>
      </w:r>
    </w:p>
    <w:p>
      <w:pPr>
        <w:pStyle w:val="ListBullet"/>
        <w:spacing w:before="0" w:after="20"/>
        <w:ind w:left="227"/>
      </w:pPr>
      <w:r>
        <w:rPr>
          <w:b w:val="0"/>
          <w:i w:val="0"/>
          <w:color w:val="1A1A2E"/>
          <w:sz w:val="19"/>
        </w:rPr>
        <w:t>Coached junior analysts on output standards and data quality practices, building team capability.</w:t>
      </w:r>
    </w:p>
    <w:p>
      <w:pPr>
        <w:spacing w:before="0" w:after="40"/>
      </w:pPr>
    </w:p>
    <w:p>
      <w:pPr>
        <w:spacing w:before="120" w:after="0"/>
      </w:pPr>
      <w:r>
        <w:rPr>
          <w:b/>
          <w:i w:val="0"/>
          <w:color w:val="1A1A2E"/>
          <w:sz w:val="20"/>
        </w:rPr>
        <w:t>Junior Data Analyst</w:t>
      </w:r>
    </w:p>
    <w:p>
      <w:pPr>
        <w:spacing w:before="0" w:after="60"/>
      </w:pPr>
      <w:r>
        <w:rPr>
          <w:b w:val="0"/>
          <w:i w:val="0"/>
          <w:color w:val="555555"/>
          <w:sz w:val="18"/>
        </w:rPr>
        <w:t>Department for Work and Pensions (DWP) – London | Oct 2019 – Nov 2021</w:t>
      </w:r>
    </w:p>
    <w:p>
      <w:pPr>
        <w:spacing w:before="0" w:after="40"/>
      </w:pPr>
    </w:p>
    <w:p>
      <w:pPr>
        <w:pStyle w:val="ListBullet"/>
        <w:spacing w:before="0" w:after="20"/>
        <w:ind w:left="227"/>
      </w:pPr>
      <w:r>
        <w:rPr>
          <w:b w:val="0"/>
          <w:i w:val="0"/>
          <w:color w:val="1A1A2E"/>
          <w:sz w:val="19"/>
        </w:rPr>
        <w:t>Automated QA processes in SAS from scratch, reducing a week-long manual process to a single day and improving accuracy and reliability of analytical outputs.</w:t>
      </w:r>
    </w:p>
    <w:p>
      <w:pPr>
        <w:pStyle w:val="ListBullet"/>
        <w:spacing w:before="0" w:after="20"/>
        <w:ind w:left="227"/>
      </w:pPr>
      <w:r>
        <w:rPr>
          <w:b w:val="0"/>
          <w:i w:val="0"/>
          <w:color w:val="1A1A2E"/>
          <w:sz w:val="19"/>
        </w:rPr>
        <w:t>Built interactive data visualisations in R (ggplot2, plotly) and R Markdown, translating complex statistical outputs into accessible, intuitive reports for non-technical audiences.</w:t>
      </w:r>
    </w:p>
    <w:p>
      <w:pPr>
        <w:pStyle w:val="ListBullet"/>
        <w:spacing w:before="0" w:after="20"/>
        <w:ind w:left="227"/>
      </w:pPr>
      <w:r>
        <w:rPr>
          <w:b w:val="0"/>
          <w:i w:val="0"/>
          <w:color w:val="1A1A2E"/>
          <w:sz w:val="19"/>
        </w:rPr>
        <w:t>Delivered recurring publication-ready data products under tight deadlines, achieving 100% on-time delivery across a complex, interdependent workload.</w:t>
      </w:r>
    </w:p>
    <w:p>
      <w:pPr>
        <w:spacing w:before="0" w:after="40"/>
      </w:pPr>
    </w:p>
    <w:p>
      <w:pPr>
        <w:spacing w:before="120" w:after="0"/>
      </w:pPr>
      <w:r>
        <w:rPr>
          <w:b/>
          <w:i w:val="0"/>
          <w:color w:val="1A1A2E"/>
          <w:sz w:val="20"/>
        </w:rPr>
        <w:t>Data Analyst</w:t>
      </w:r>
    </w:p>
    <w:p>
      <w:pPr>
        <w:spacing w:before="0" w:after="60"/>
      </w:pPr>
      <w:r>
        <w:rPr>
          <w:b w:val="0"/>
          <w:i w:val="0"/>
          <w:color w:val="555555"/>
          <w:sz w:val="18"/>
        </w:rPr>
        <w:t>Department for Levelling Up, Housing &amp; Communities – London | Apr 2018 – Oct 2019</w:t>
      </w:r>
    </w:p>
    <w:p>
      <w:pPr>
        <w:spacing w:before="0" w:after="40"/>
      </w:pPr>
    </w:p>
    <w:p>
      <w:pPr>
        <w:pStyle w:val="ListBullet"/>
        <w:spacing w:before="0" w:after="20"/>
        <w:ind w:left="227"/>
      </w:pPr>
      <w:r>
        <w:rPr>
          <w:b w:val="0"/>
          <w:i w:val="0"/>
          <w:color w:val="1A1A2E"/>
          <w:sz w:val="19"/>
        </w:rPr>
        <w:t>Consolidated and analysed data from 317 sources to build a unified analytical dataset – standardising definitions and creating a single, trusted source for national housing policy reporting.</w:t>
      </w:r>
    </w:p>
    <w:p>
      <w:pPr>
        <w:pStyle w:val="ListBullet"/>
        <w:spacing w:before="0" w:after="20"/>
        <w:ind w:left="227"/>
      </w:pPr>
      <w:r>
        <w:rPr>
          <w:b w:val="0"/>
          <w:i w:val="0"/>
          <w:color w:val="1A1A2E"/>
          <w:sz w:val="19"/>
        </w:rPr>
        <w:t>Automated data processing in R and SQL, reducing manual effort by 66% and delivering more reliable, reusable performance metrics.</w:t>
      </w:r>
    </w:p>
    <w:p>
      <w:pPr>
        <w:pStyle w:val="ListBullet"/>
        <w:spacing w:before="0" w:after="20"/>
        <w:ind w:left="227"/>
      </w:pPr>
      <w:r>
        <w:rPr>
          <w:b w:val="0"/>
          <w:i w:val="0"/>
          <w:color w:val="1A1A2E"/>
          <w:sz w:val="19"/>
        </w:rPr>
        <w:t>Produced analytical reports and data summaries for senior stakeholders, translating complex multi-source outputs into clear, actionable insights.</w:t>
      </w:r>
    </w:p>
    <w:p>
      <w:pPr>
        <w:spacing w:before="0" w:after="40"/>
      </w:pPr>
    </w:p>
    <w:p>
      <w:pPr>
        <w:spacing w:before="0" w:after="40"/>
      </w:pPr>
    </w:p>
    <w:p>
      <w:pPr>
        <w:spacing w:before="160" w:after="60"/>
        <w:pBdr>
          <w:bottom w:val="single" w:sz="4" w:space="1" w:color="cccccc"/>
        </w:pBdr>
      </w:pPr>
      <w:r>
        <w:rPr>
          <w:rFonts w:ascii="Arial" w:hAnsi="Arial"/>
          <w:b/>
          <w:color w:val="1A1A2E"/>
          <w:sz w:val="21"/>
        </w:rPr>
        <w:t>EDUCATION</w:t>
      </w:r>
    </w:p>
    <w:p>
      <w:pPr>
        <w:spacing w:before="0" w:after="40"/>
      </w:pPr>
    </w:p>
    <w:p>
      <w:pPr>
        <w:spacing w:before="0" w:after="80"/>
      </w:pPr>
      <w:r>
        <w:rPr>
          <w:b/>
          <w:color w:val="1A1A2E"/>
          <w:sz w:val="19"/>
        </w:rPr>
        <w:t xml:space="preserve">MSc Social Statistics, Research Methods — Distinction: </w:t>
      </w:r>
      <w:r>
        <w:rPr>
          <w:b w:val="0"/>
          <w:i w:val="0"/>
          <w:color w:val="1A1A2E"/>
          <w:sz w:val="19"/>
        </w:rPr>
        <w:t>| University of Southampton</w:t>
      </w:r>
    </w:p>
    <w:p>
      <w:pPr>
        <w:spacing w:before="0" w:after="40"/>
      </w:pPr>
    </w:p>
    <w:p>
      <w:pPr>
        <w:spacing w:before="0" w:after="80"/>
      </w:pPr>
      <w:r>
        <w:rPr>
          <w:b/>
          <w:color w:val="1A1A2E"/>
          <w:sz w:val="19"/>
        </w:rPr>
        <w:t xml:space="preserve">BSc Criminology — First Class Honours: </w:t>
      </w:r>
      <w:r>
        <w:rPr>
          <w:b w:val="0"/>
          <w:i w:val="0"/>
          <w:color w:val="1A1A2E"/>
          <w:sz w:val="19"/>
        </w:rPr>
        <w:t>| University of Southampton</w:t>
      </w:r>
    </w:p>
    <w:p>
      <w:pPr>
        <w:spacing w:before="0" w:after="40"/>
      </w:pPr>
    </w:p>
    <w:p>
      <w:pPr>
        <w:spacing w:before="0" w:after="40"/>
      </w:pPr>
    </w:p>
    <w:p>
      <w:pPr>
        <w:spacing w:before="160" w:after="60"/>
        <w:pBdr>
          <w:bottom w:val="single" w:sz="4" w:space="1" w:color="cccccc"/>
        </w:pBdr>
      </w:pPr>
      <w:r>
        <w:rPr>
          <w:rFonts w:ascii="Arial" w:hAnsi="Arial"/>
          <w:b/>
          <w:color w:val="1A1A2E"/>
          <w:sz w:val="21"/>
        </w:rPr>
        <w:t>PROFESSIONAL DEVELOPMENT</w:t>
      </w:r>
    </w:p>
    <w:p>
      <w:pPr>
        <w:spacing w:before="0" w:after="40"/>
      </w:pPr>
    </w:p>
    <w:p>
      <w:pPr>
        <w:spacing w:before="0" w:after="80"/>
      </w:pPr>
      <w:r>
        <w:rPr>
          <w:b/>
          <w:color w:val="1A1A2E"/>
          <w:sz w:val="19"/>
        </w:rPr>
        <w:t xml:space="preserve">Microsoft Power BI Data Analyst: </w:t>
      </w:r>
      <w:r>
        <w:rPr>
          <w:b w:val="0"/>
          <w:i w:val="0"/>
          <w:color w:val="1A1A2E"/>
          <w:sz w:val="19"/>
        </w:rPr>
        <w:t>| Microsoft (Coursera) | 2025</w:t>
      </w:r>
    </w:p>
    <w:p>
      <w:pPr>
        <w:spacing w:before="0" w:after="40"/>
      </w:pPr>
    </w:p>
    <w:p>
      <w:pPr>
        <w:spacing w:before="0" w:after="80"/>
      </w:pPr>
      <w:r>
        <w:rPr>
          <w:b/>
          <w:color w:val="1A1A2E"/>
          <w:sz w:val="19"/>
        </w:rPr>
        <w:t xml:space="preserve">Basic Statistics: </w:t>
      </w:r>
      <w:r>
        <w:rPr>
          <w:b w:val="0"/>
          <w:i w:val="0"/>
          <w:color w:val="1A1A2E"/>
          <w:sz w:val="19"/>
        </w:rPr>
        <w:t>| University of Amsterdam (Coursera) | 2025</w:t>
      </w:r>
    </w:p>
    <w:p>
      <w:pPr>
        <w:spacing w:before="0" w:after="40"/>
      </w:pPr>
    </w:p>
    <w:p>
      <w:pPr>
        <w:spacing w:before="0" w:after="80"/>
      </w:pPr>
      <w:r>
        <w:rPr>
          <w:b/>
          <w:color w:val="1A1A2E"/>
          <w:sz w:val="19"/>
        </w:rPr>
        <w:t xml:space="preserve">GitHub Foundations (Part 1 of 2): </w:t>
      </w:r>
      <w:r>
        <w:rPr>
          <w:b w:val="0"/>
          <w:i w:val="0"/>
          <w:color w:val="1A1A2E"/>
          <w:sz w:val="19"/>
        </w:rPr>
        <w:t>| Microsoft | 2025</w:t>
      </w:r>
    </w:p>
    <w:p>
      <w:pPr>
        <w:spacing w:before="0" w:after="40"/>
      </w:pPr>
    </w:p>
    <w:p>
      <w:pPr>
        <w:spacing w:before="0" w:after="40"/>
      </w:pPr>
    </w:p>
    <w:p>
      <w:pPr>
        <w:spacing w:before="160" w:after="60"/>
        <w:pBdr>
          <w:bottom w:val="single" w:sz="4" w:space="1" w:color="cccccc"/>
        </w:pBdr>
      </w:pPr>
      <w:r>
        <w:rPr>
          <w:rFonts w:ascii="Arial" w:hAnsi="Arial"/>
          <w:b/>
          <w:color w:val="1A1A2E"/>
          <w:sz w:val="21"/>
        </w:rPr>
        <w:t>PUBLISHED WORK</w:t>
      </w:r>
    </w:p>
    <w:p>
      <w:pPr>
        <w:spacing w:before="0" w:after="40"/>
      </w:pPr>
    </w:p>
    <w:p>
      <w:pPr>
        <w:pStyle w:val="ListBullet"/>
        <w:spacing w:before="0" w:after="20"/>
        <w:ind w:left="227"/>
      </w:pPr>
      <w:hyperlink r:id="rId10">
        <w:r>
          <w:rPr>
            <w:color w:val="0563C1"/>
            <w:u w:val="single"/>
          </w:rPr>
          <w:t xml:space="preserve">Economic Crime Information Sharing: Call for Evidence</w:t>
        </w:r>
      </w:hyperlink>
    </w:p>
    <w:p>
      <w:pPr>
        <w:pStyle w:val="ListBullet"/>
        <w:spacing w:before="0" w:after="20"/>
        <w:ind w:left="227"/>
      </w:pPr>
      <w:hyperlink r:id="rId11">
        <w:r>
          <w:rPr>
            <w:color w:val="0563C1"/>
            <w:u w:val="single"/>
          </w:rPr>
          <w:t xml:space="preserve">Universal Credit Work Capability Assessment statistics</w:t>
        </w:r>
      </w:hyperlink>
    </w:p>
    <w:p>
      <w:pPr>
        <w:pStyle w:val="ListBullet"/>
        <w:spacing w:before="0" w:after="20"/>
        <w:ind w:left="227"/>
      </w:pPr>
      <w:hyperlink r:id="rId12">
        <w:r>
          <w:rPr>
            <w:color w:val="0563C1"/>
            <w:u w:val="single"/>
          </w:rPr>
          <w:t xml:space="preserve">ESA Work Capability Assessment statistics</w:t>
        </w:r>
      </w:hyperlink>
    </w:p>
    <w:sectPr w:rsidR="00FC693F" w:rsidRPr="0006063C" w:rsidSect="00034616">
      <w:pgSz w:w="11906" w:h="16838"/>
      <w:pgMar w:top="794"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www.linkedin.com/in/ioana-priscila-c-60880995" TargetMode="External"/><Relationship Id="rId10" Type="http://schemas.openxmlformats.org/officeDocument/2006/relationships/hyperlink" Target="https://www.gov.uk/government/consultations/economic-crime-information-sharing-call-for-evidence" TargetMode="External"/><Relationship Id="rId11" Type="http://schemas.openxmlformats.org/officeDocument/2006/relationships/hyperlink" Target="https://www.gov.uk/government/collections/universal-credit-statistics" TargetMode="External"/><Relationship Id="rId12" Type="http://schemas.openxmlformats.org/officeDocument/2006/relationships/hyperlink" Target="https://www.gov.uk/government/collections/employment-and-support-allowance-work-capability-assess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