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CA91" w14:textId="77777777" w:rsidR="0084398A" w:rsidRDefault="0084398A" w:rsidP="0084398A">
      <w:pPr>
        <w:jc w:val="center"/>
        <w:rPr>
          <w:i/>
        </w:rPr>
      </w:pPr>
      <w:r w:rsidRPr="006D3F9B">
        <w:rPr>
          <w:i/>
        </w:rPr>
        <w:t>Critères de Bastien et Scapin</w:t>
      </w:r>
    </w:p>
    <w:p w14:paraId="2138F9F7" w14:textId="77777777" w:rsidR="0084398A" w:rsidRPr="006D3F9B" w:rsidRDefault="0084398A" w:rsidP="0084398A">
      <w:pPr>
        <w:jc w:val="center"/>
        <w:rPr>
          <w:i/>
        </w:rPr>
      </w:pPr>
    </w:p>
    <w:p w14:paraId="21DA31AE" w14:textId="77777777" w:rsidR="0084398A" w:rsidRPr="004C3FCA" w:rsidRDefault="0084398A" w:rsidP="0084398A">
      <w:pPr>
        <w:numPr>
          <w:ilvl w:val="0"/>
          <w:numId w:val="1"/>
        </w:numPr>
        <w:spacing w:line="259" w:lineRule="auto"/>
        <w:rPr>
          <w:b/>
          <w:bCs/>
          <w:i/>
          <w:iCs/>
        </w:rPr>
      </w:pPr>
      <w:r w:rsidRPr="00423B78">
        <w:t xml:space="preserve">Guidage </w:t>
      </w:r>
    </w:p>
    <w:tbl>
      <w:tblPr>
        <w:tblW w:w="8835" w:type="dxa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335"/>
      </w:tblGrid>
      <w:tr w:rsidR="0084398A" w14:paraId="4E6B5F70" w14:textId="77777777" w:rsidTr="00320C9B">
        <w:trPr>
          <w:trHeight w:val="330"/>
        </w:trPr>
        <w:tc>
          <w:tcPr>
            <w:tcW w:w="4500" w:type="dxa"/>
          </w:tcPr>
          <w:p w14:paraId="4AB0957C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20"/>
            </w:pPr>
            <w:r>
              <w:t xml:space="preserve">Incitation </w:t>
            </w:r>
          </w:p>
        </w:tc>
        <w:tc>
          <w:tcPr>
            <w:tcW w:w="4335" w:type="dxa"/>
            <w:shd w:val="clear" w:color="auto" w:fill="auto"/>
          </w:tcPr>
          <w:p w14:paraId="73639581" w14:textId="3714F941" w:rsidR="0084398A" w:rsidRDefault="0084398A" w:rsidP="00320C9B">
            <w:r>
              <w:t>Oui car les élément</w:t>
            </w:r>
            <w:r w:rsidR="008B13BC">
              <w:t>s</w:t>
            </w:r>
            <w:r>
              <w:t xml:space="preserve"> cliquable</w:t>
            </w:r>
            <w:r w:rsidR="008B13BC">
              <w:t>s</w:t>
            </w:r>
            <w:r>
              <w:t xml:space="preserve"> sont mis en évidence</w:t>
            </w:r>
            <w:r w:rsidR="008B13BC">
              <w:t xml:space="preserve"> par un changement de couleur lorsque la souris passe dessus</w:t>
            </w:r>
            <w:r>
              <w:t xml:space="preserve"> et le titre de la page e</w:t>
            </w:r>
            <w:r w:rsidR="008B13BC">
              <w:t>s</w:t>
            </w:r>
            <w:r>
              <w:t xml:space="preserve">t claire </w:t>
            </w:r>
            <w:r w:rsidR="001C47E5">
              <w:t xml:space="preserve">et </w:t>
            </w:r>
            <w:r w:rsidR="008B13BC">
              <w:t xml:space="preserve">est adéquat avec le reste de la page car celui-ci </w:t>
            </w:r>
            <w:r w:rsidR="00A51E28">
              <w:t>fait</w:t>
            </w:r>
            <w:r w:rsidR="008B13BC">
              <w:t xml:space="preserve"> </w:t>
            </w:r>
            <w:r w:rsidR="00A51E28">
              <w:t>un contraste</w:t>
            </w:r>
            <w:r w:rsidR="008B13BC">
              <w:t xml:space="preserve"> de couleur avec le fond qui ne fais pas mal aux yeux.</w:t>
            </w:r>
          </w:p>
        </w:tc>
      </w:tr>
      <w:tr w:rsidR="0084398A" w14:paraId="76BEC857" w14:textId="77777777" w:rsidTr="00320C9B">
        <w:trPr>
          <w:trHeight w:val="555"/>
        </w:trPr>
        <w:tc>
          <w:tcPr>
            <w:tcW w:w="4500" w:type="dxa"/>
          </w:tcPr>
          <w:p w14:paraId="083922FC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20"/>
            </w:pPr>
            <w:r>
              <w:t xml:space="preserve">Groupement/Distinction entre Items </w:t>
            </w:r>
          </w:p>
          <w:p w14:paraId="12FFC21D" w14:textId="77777777" w:rsidR="0084398A" w:rsidRDefault="0084398A" w:rsidP="0084398A">
            <w:pPr>
              <w:numPr>
                <w:ilvl w:val="2"/>
                <w:numId w:val="1"/>
              </w:numPr>
              <w:spacing w:line="259" w:lineRule="auto"/>
              <w:ind w:left="1140"/>
            </w:pPr>
            <w:r>
              <w:t xml:space="preserve"> </w:t>
            </w:r>
            <w:proofErr w:type="gramStart"/>
            <w:r>
              <w:t>par</w:t>
            </w:r>
            <w:proofErr w:type="gramEnd"/>
            <w:r>
              <w:t xml:space="preserve"> la Localisation </w:t>
            </w:r>
          </w:p>
        </w:tc>
        <w:tc>
          <w:tcPr>
            <w:tcW w:w="4335" w:type="dxa"/>
            <w:shd w:val="clear" w:color="auto" w:fill="auto"/>
          </w:tcPr>
          <w:p w14:paraId="78C69E96" w14:textId="77777777" w:rsidR="0084398A" w:rsidRDefault="00FC6378" w:rsidP="00320C9B">
            <w:r>
              <w:t xml:space="preserve">Oui il y a distinction entre les items par localisation car par exemple, dans la page carrière, l’information est séparée par bloc de différentes </w:t>
            </w:r>
            <w:r w:rsidR="00A51E28">
              <w:t>couleurs (</w:t>
            </w:r>
            <w:r>
              <w:t>alternance bleu et blanc) pour les différents aspects (postes, avantages, etc.)</w:t>
            </w:r>
          </w:p>
        </w:tc>
      </w:tr>
      <w:tr w:rsidR="0084398A" w14:paraId="7ED690D3" w14:textId="77777777" w:rsidTr="00320C9B">
        <w:trPr>
          <w:trHeight w:val="315"/>
        </w:trPr>
        <w:tc>
          <w:tcPr>
            <w:tcW w:w="4500" w:type="dxa"/>
          </w:tcPr>
          <w:p w14:paraId="1018A885" w14:textId="77777777" w:rsidR="0084398A" w:rsidRDefault="0084398A" w:rsidP="0084398A">
            <w:pPr>
              <w:numPr>
                <w:ilvl w:val="2"/>
                <w:numId w:val="1"/>
              </w:numPr>
              <w:spacing w:line="259" w:lineRule="auto"/>
              <w:ind w:left="1140"/>
            </w:pPr>
            <w:r>
              <w:t xml:space="preserve"> </w:t>
            </w:r>
            <w:proofErr w:type="gramStart"/>
            <w:r>
              <w:t>par</w:t>
            </w:r>
            <w:proofErr w:type="gramEnd"/>
            <w:r>
              <w:t xml:space="preserve"> le Format </w:t>
            </w:r>
          </w:p>
        </w:tc>
        <w:tc>
          <w:tcPr>
            <w:tcW w:w="4335" w:type="dxa"/>
            <w:shd w:val="clear" w:color="auto" w:fill="auto"/>
          </w:tcPr>
          <w:p w14:paraId="1D05B3FC" w14:textId="77777777" w:rsidR="0084398A" w:rsidRDefault="00FC6378" w:rsidP="00320C9B">
            <w:r>
              <w:t>Oui il y a distinction entre les items par format car par exemple, dans la page carrière, les avantages sont groupés ensemble et ont la même police, structure, gras et association avec un icone.</w:t>
            </w:r>
          </w:p>
        </w:tc>
      </w:tr>
      <w:tr w:rsidR="0084398A" w14:paraId="4599E47B" w14:textId="77777777" w:rsidTr="00320C9B">
        <w:trPr>
          <w:trHeight w:val="255"/>
        </w:trPr>
        <w:tc>
          <w:tcPr>
            <w:tcW w:w="4500" w:type="dxa"/>
          </w:tcPr>
          <w:p w14:paraId="087EFD65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20"/>
            </w:pPr>
            <w:r>
              <w:t xml:space="preserve">Feedback immédiat </w:t>
            </w:r>
          </w:p>
        </w:tc>
        <w:tc>
          <w:tcPr>
            <w:tcW w:w="4335" w:type="dxa"/>
            <w:shd w:val="clear" w:color="auto" w:fill="auto"/>
          </w:tcPr>
          <w:p w14:paraId="0ACBC038" w14:textId="4D7721EB" w:rsidR="0084398A" w:rsidRDefault="00FC6378" w:rsidP="00320C9B">
            <w:r>
              <w:t>Oui il y a un feedback immédiat dans la page nous joindre, lors du remplissage du formulaire</w:t>
            </w:r>
            <w:r w:rsidR="00A51E28">
              <w:t xml:space="preserve">, les zones mal remplies ont les contours rouges. </w:t>
            </w:r>
            <w:r w:rsidR="001C47E5">
              <w:t>Cependant</w:t>
            </w:r>
            <w:r w:rsidR="00A51E28">
              <w:t>, ce n’est pas toute les zones qui font cette validation.</w:t>
            </w:r>
          </w:p>
        </w:tc>
        <w:bookmarkStart w:id="0" w:name="_GoBack"/>
        <w:bookmarkEnd w:id="0"/>
      </w:tr>
      <w:tr w:rsidR="0084398A" w14:paraId="4A4174F8" w14:textId="77777777" w:rsidTr="00320C9B">
        <w:trPr>
          <w:trHeight w:val="315"/>
        </w:trPr>
        <w:tc>
          <w:tcPr>
            <w:tcW w:w="4500" w:type="dxa"/>
          </w:tcPr>
          <w:p w14:paraId="3BDF2F1B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20"/>
            </w:pPr>
            <w:r>
              <w:t xml:space="preserve"> Lisibilité </w:t>
            </w:r>
          </w:p>
        </w:tc>
        <w:tc>
          <w:tcPr>
            <w:tcW w:w="4335" w:type="dxa"/>
            <w:shd w:val="clear" w:color="auto" w:fill="auto"/>
          </w:tcPr>
          <w:p w14:paraId="7C1EF246" w14:textId="77777777" w:rsidR="0084398A" w:rsidRDefault="00A51E28" w:rsidP="00320C9B">
            <w:r>
              <w:t>La lisibilité est bonne, car les écritures ont une taille de police grande et il y a une hiérarchie dans le texte, par exemple dans la page nous joindre dans la section « NOS COORDONNÉES »</w:t>
            </w:r>
            <w:r w:rsidR="009F6E00">
              <w:t>.</w:t>
            </w:r>
          </w:p>
        </w:tc>
      </w:tr>
    </w:tbl>
    <w:p w14:paraId="4C312C94" w14:textId="77777777" w:rsidR="0084398A" w:rsidRPr="00423B78" w:rsidRDefault="0084398A" w:rsidP="0084398A">
      <w:pPr>
        <w:numPr>
          <w:ilvl w:val="0"/>
          <w:numId w:val="1"/>
        </w:numPr>
        <w:spacing w:line="259" w:lineRule="auto"/>
      </w:pPr>
      <w:r w:rsidRPr="00423B78">
        <w:t xml:space="preserve">Charge de travail </w:t>
      </w:r>
    </w:p>
    <w:tbl>
      <w:tblPr>
        <w:tblW w:w="885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350"/>
      </w:tblGrid>
      <w:tr w:rsidR="0084398A" w14:paraId="13DB3AB3" w14:textId="77777777" w:rsidTr="00320C9B">
        <w:trPr>
          <w:trHeight w:val="555"/>
        </w:trPr>
        <w:tc>
          <w:tcPr>
            <w:tcW w:w="4500" w:type="dxa"/>
          </w:tcPr>
          <w:p w14:paraId="1588057B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05"/>
            </w:pPr>
            <w:r>
              <w:t xml:space="preserve">Brièveté </w:t>
            </w:r>
          </w:p>
          <w:p w14:paraId="1E46FFC0" w14:textId="77777777" w:rsidR="0084398A" w:rsidRDefault="0084398A" w:rsidP="0084398A">
            <w:pPr>
              <w:numPr>
                <w:ilvl w:val="2"/>
                <w:numId w:val="1"/>
              </w:numPr>
              <w:spacing w:line="259" w:lineRule="auto"/>
              <w:ind w:left="1125"/>
            </w:pPr>
            <w:r>
              <w:t xml:space="preserve"> Concision </w:t>
            </w:r>
          </w:p>
        </w:tc>
        <w:tc>
          <w:tcPr>
            <w:tcW w:w="4350" w:type="dxa"/>
            <w:shd w:val="clear" w:color="auto" w:fill="auto"/>
          </w:tcPr>
          <w:p w14:paraId="24CE27D7" w14:textId="77777777" w:rsidR="0084398A" w:rsidRDefault="009F6E00" w:rsidP="00320C9B">
            <w:r>
              <w:t xml:space="preserve">La règle de la concision est présente car les libellés sont </w:t>
            </w:r>
            <w:r w:rsidR="00AC0462">
              <w:t>clairs</w:t>
            </w:r>
            <w:r>
              <w:t>, par exemple dans le menu de la page d’accueil et indique clairement où ils mènent.</w:t>
            </w:r>
          </w:p>
        </w:tc>
      </w:tr>
      <w:tr w:rsidR="0084398A" w14:paraId="3197163F" w14:textId="77777777" w:rsidTr="00320C9B">
        <w:trPr>
          <w:trHeight w:val="390"/>
        </w:trPr>
        <w:tc>
          <w:tcPr>
            <w:tcW w:w="4500" w:type="dxa"/>
          </w:tcPr>
          <w:p w14:paraId="5C67A577" w14:textId="77777777" w:rsidR="0084398A" w:rsidRDefault="0084398A" w:rsidP="0084398A">
            <w:pPr>
              <w:numPr>
                <w:ilvl w:val="2"/>
                <w:numId w:val="1"/>
              </w:numPr>
              <w:spacing w:line="259" w:lineRule="auto"/>
              <w:ind w:left="1125"/>
            </w:pPr>
            <w:r>
              <w:t xml:space="preserve"> Actions Minimales </w:t>
            </w:r>
          </w:p>
        </w:tc>
        <w:tc>
          <w:tcPr>
            <w:tcW w:w="4350" w:type="dxa"/>
            <w:shd w:val="clear" w:color="auto" w:fill="auto"/>
          </w:tcPr>
          <w:p w14:paraId="0F43A82A" w14:textId="77777777" w:rsidR="0084398A" w:rsidRDefault="009F6E00" w:rsidP="00320C9B">
            <w:r>
              <w:t>La règle des actions minimales est présente car il est possible d’atteindre n’importe quelle section du site avec seulement trois cliques.</w:t>
            </w:r>
          </w:p>
        </w:tc>
      </w:tr>
      <w:tr w:rsidR="0084398A" w14:paraId="530C173E" w14:textId="77777777" w:rsidTr="00320C9B">
        <w:trPr>
          <w:trHeight w:val="405"/>
        </w:trPr>
        <w:tc>
          <w:tcPr>
            <w:tcW w:w="4500" w:type="dxa"/>
          </w:tcPr>
          <w:p w14:paraId="0C3D3134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05"/>
            </w:pPr>
            <w:r>
              <w:t xml:space="preserve">Densité Informationnelle </w:t>
            </w:r>
          </w:p>
        </w:tc>
        <w:tc>
          <w:tcPr>
            <w:tcW w:w="4350" w:type="dxa"/>
            <w:shd w:val="clear" w:color="auto" w:fill="auto"/>
          </w:tcPr>
          <w:p w14:paraId="229541DA" w14:textId="77777777" w:rsidR="0084398A" w:rsidRDefault="00AC0462" w:rsidP="00320C9B">
            <w:r>
              <w:t xml:space="preserve">La règle de la densité informationnelle est </w:t>
            </w:r>
            <w:proofErr w:type="gramStart"/>
            <w:r>
              <w:t>respecté</w:t>
            </w:r>
            <w:proofErr w:type="gramEnd"/>
            <w:r>
              <w:t xml:space="preserve"> car sur chaque page un bloc d’information ne dépasse jamais 3 lignes et il n’y as pas d’information inutile.</w:t>
            </w:r>
          </w:p>
        </w:tc>
      </w:tr>
    </w:tbl>
    <w:p w14:paraId="11E49791" w14:textId="77777777" w:rsidR="0084398A" w:rsidRPr="00423B78" w:rsidRDefault="0084398A" w:rsidP="0084398A">
      <w:pPr>
        <w:numPr>
          <w:ilvl w:val="0"/>
          <w:numId w:val="1"/>
        </w:numPr>
        <w:spacing w:line="259" w:lineRule="auto"/>
      </w:pPr>
      <w:r w:rsidRPr="00423B78">
        <w:t xml:space="preserve">Contrôle explicite </w:t>
      </w:r>
    </w:p>
    <w:tbl>
      <w:tblPr>
        <w:tblW w:w="892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5"/>
        <w:gridCol w:w="4380"/>
      </w:tblGrid>
      <w:tr w:rsidR="0084398A" w14:paraId="321491E9" w14:textId="77777777" w:rsidTr="00320C9B">
        <w:trPr>
          <w:trHeight w:val="330"/>
        </w:trPr>
        <w:tc>
          <w:tcPr>
            <w:tcW w:w="4545" w:type="dxa"/>
          </w:tcPr>
          <w:p w14:paraId="09975AB0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35"/>
            </w:pPr>
            <w:r>
              <w:lastRenderedPageBreak/>
              <w:t xml:space="preserve">Actions Explicites </w:t>
            </w:r>
          </w:p>
        </w:tc>
        <w:tc>
          <w:tcPr>
            <w:tcW w:w="4380" w:type="dxa"/>
            <w:shd w:val="clear" w:color="auto" w:fill="auto"/>
          </w:tcPr>
          <w:p w14:paraId="0E7ED095" w14:textId="77777777" w:rsidR="0084398A" w:rsidRDefault="00F053CE" w:rsidP="00320C9B">
            <w:r>
              <w:t>La règle des actions explicites est respectée car la page nous joindre, le bouton envoyer se trouve à la fin du formulaire.</w:t>
            </w:r>
          </w:p>
        </w:tc>
      </w:tr>
      <w:tr w:rsidR="0084398A" w14:paraId="251E7A38" w14:textId="77777777" w:rsidTr="00320C9B">
        <w:trPr>
          <w:trHeight w:val="300"/>
        </w:trPr>
        <w:tc>
          <w:tcPr>
            <w:tcW w:w="4545" w:type="dxa"/>
          </w:tcPr>
          <w:p w14:paraId="5A2E70CF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35"/>
            </w:pPr>
            <w:r>
              <w:t xml:space="preserve">Contrôle Utilisateur </w:t>
            </w:r>
          </w:p>
        </w:tc>
        <w:tc>
          <w:tcPr>
            <w:tcW w:w="4380" w:type="dxa"/>
            <w:shd w:val="clear" w:color="auto" w:fill="auto"/>
          </w:tcPr>
          <w:p w14:paraId="42AA94E2" w14:textId="77777777" w:rsidR="0084398A" w:rsidRDefault="00F053CE" w:rsidP="00320C9B">
            <w:r>
              <w:t xml:space="preserve">La règle du contrôle utilisateur </w:t>
            </w:r>
            <w:r w:rsidR="00996DCD">
              <w:t>s’applique car l’utilisateur n’est forcé de rien en plus de pouvoir faire des modifications comme changé la langue.</w:t>
            </w:r>
          </w:p>
        </w:tc>
      </w:tr>
    </w:tbl>
    <w:p w14:paraId="1D438133" w14:textId="77777777" w:rsidR="0084398A" w:rsidRPr="00423B78" w:rsidRDefault="0084398A" w:rsidP="0084398A">
      <w:pPr>
        <w:numPr>
          <w:ilvl w:val="0"/>
          <w:numId w:val="1"/>
        </w:numPr>
        <w:spacing w:line="259" w:lineRule="auto"/>
      </w:pPr>
      <w:r w:rsidRPr="00423B78">
        <w:t xml:space="preserve">Adaptabilité </w:t>
      </w:r>
    </w:p>
    <w:tbl>
      <w:tblPr>
        <w:tblW w:w="894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5"/>
        <w:gridCol w:w="4365"/>
      </w:tblGrid>
      <w:tr w:rsidR="0084398A" w14:paraId="28421BF7" w14:textId="77777777" w:rsidTr="00320C9B">
        <w:trPr>
          <w:trHeight w:val="270"/>
        </w:trPr>
        <w:tc>
          <w:tcPr>
            <w:tcW w:w="4575" w:type="dxa"/>
          </w:tcPr>
          <w:p w14:paraId="41C0469D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65"/>
            </w:pPr>
            <w:r>
              <w:t xml:space="preserve">Flexibilité </w:t>
            </w:r>
          </w:p>
        </w:tc>
        <w:tc>
          <w:tcPr>
            <w:tcW w:w="4365" w:type="dxa"/>
            <w:shd w:val="clear" w:color="auto" w:fill="auto"/>
          </w:tcPr>
          <w:p w14:paraId="0861BAA6" w14:textId="77777777" w:rsidR="0084398A" w:rsidRDefault="00996DCD" w:rsidP="00320C9B">
            <w:r>
              <w:t>La règle de la flexibilité ne s’applique pas car l’utilisateur n’a pas de contrôle sur les informations de la page excepté pour la langue.</w:t>
            </w:r>
          </w:p>
        </w:tc>
      </w:tr>
      <w:tr w:rsidR="0084398A" w14:paraId="20C72DF2" w14:textId="77777777" w:rsidTr="00320C9B">
        <w:trPr>
          <w:trHeight w:val="420"/>
        </w:trPr>
        <w:tc>
          <w:tcPr>
            <w:tcW w:w="4575" w:type="dxa"/>
          </w:tcPr>
          <w:p w14:paraId="0B37AC46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65"/>
            </w:pPr>
            <w:r>
              <w:t>Prise en Compte de l'Expérience de l'Utilisateur</w:t>
            </w:r>
          </w:p>
        </w:tc>
        <w:tc>
          <w:tcPr>
            <w:tcW w:w="4365" w:type="dxa"/>
            <w:shd w:val="clear" w:color="auto" w:fill="auto"/>
          </w:tcPr>
          <w:p w14:paraId="71D8AF3A" w14:textId="77777777" w:rsidR="0084398A" w:rsidRDefault="00AE1E52" w:rsidP="00320C9B">
            <w:r>
              <w:t>Non car il n’y a pas de didacticiel ou d’espaces privés aux utilisateurs plus expérimentés.</w:t>
            </w:r>
          </w:p>
        </w:tc>
      </w:tr>
      <w:tr w:rsidR="0084398A" w14:paraId="4C8B4E6F" w14:textId="77777777" w:rsidTr="00320C9B">
        <w:trPr>
          <w:trHeight w:val="375"/>
        </w:trPr>
        <w:tc>
          <w:tcPr>
            <w:tcW w:w="4575" w:type="dxa"/>
          </w:tcPr>
          <w:p w14:paraId="143A69B8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65"/>
            </w:pPr>
          </w:p>
        </w:tc>
        <w:tc>
          <w:tcPr>
            <w:tcW w:w="4365" w:type="dxa"/>
            <w:shd w:val="clear" w:color="auto" w:fill="auto"/>
          </w:tcPr>
          <w:p w14:paraId="1FF6724A" w14:textId="77777777" w:rsidR="0084398A" w:rsidRDefault="0084398A" w:rsidP="00320C9B"/>
        </w:tc>
      </w:tr>
    </w:tbl>
    <w:p w14:paraId="174CD217" w14:textId="77777777" w:rsidR="0084398A" w:rsidRPr="00423B78" w:rsidRDefault="0084398A" w:rsidP="0084398A">
      <w:pPr>
        <w:numPr>
          <w:ilvl w:val="0"/>
          <w:numId w:val="1"/>
        </w:numPr>
        <w:spacing w:line="259" w:lineRule="auto"/>
      </w:pPr>
      <w:r w:rsidRPr="00423B78">
        <w:t xml:space="preserve">Gestion des erreurs </w:t>
      </w:r>
    </w:p>
    <w:tbl>
      <w:tblPr>
        <w:tblW w:w="8940" w:type="dxa"/>
        <w:tblInd w:w="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5"/>
        <w:gridCol w:w="4305"/>
      </w:tblGrid>
      <w:tr w:rsidR="0084398A" w14:paraId="7C2FD637" w14:textId="77777777" w:rsidTr="00320C9B">
        <w:trPr>
          <w:trHeight w:val="300"/>
        </w:trPr>
        <w:tc>
          <w:tcPr>
            <w:tcW w:w="4635" w:type="dxa"/>
          </w:tcPr>
          <w:p w14:paraId="7924870E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80"/>
            </w:pPr>
            <w:r>
              <w:t xml:space="preserve">Protection Contre les Erreurs </w:t>
            </w:r>
          </w:p>
        </w:tc>
        <w:tc>
          <w:tcPr>
            <w:tcW w:w="4305" w:type="dxa"/>
            <w:shd w:val="clear" w:color="auto" w:fill="auto"/>
          </w:tcPr>
          <w:p w14:paraId="095E27F7" w14:textId="77777777" w:rsidR="0084398A" w:rsidRDefault="00AE1E52" w:rsidP="00320C9B">
            <w:r>
              <w:t>Non car dans le formulaire de la section « Nous joindre », le bouton d’envoi est disponible avant le remplissage du formulaire et les champs facultatifs ne sont pas distincts des champs obligatoires.</w:t>
            </w:r>
          </w:p>
        </w:tc>
      </w:tr>
      <w:tr w:rsidR="0084398A" w14:paraId="09D8ADF0" w14:textId="77777777" w:rsidTr="00320C9B">
        <w:trPr>
          <w:trHeight w:val="345"/>
        </w:trPr>
        <w:tc>
          <w:tcPr>
            <w:tcW w:w="4635" w:type="dxa"/>
          </w:tcPr>
          <w:p w14:paraId="5239F19E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80"/>
            </w:pPr>
            <w:r>
              <w:t xml:space="preserve">Qualité des Messages d'Erreurs </w:t>
            </w:r>
          </w:p>
        </w:tc>
        <w:tc>
          <w:tcPr>
            <w:tcW w:w="4305" w:type="dxa"/>
            <w:shd w:val="clear" w:color="auto" w:fill="auto"/>
          </w:tcPr>
          <w:p w14:paraId="13F71B22" w14:textId="77777777" w:rsidR="0084398A" w:rsidRDefault="00AE1E52" w:rsidP="00320C9B">
            <w:r>
              <w:t>Non car il n’y pas de messages d’erreurs significatifs.</w:t>
            </w:r>
          </w:p>
        </w:tc>
      </w:tr>
      <w:tr w:rsidR="0084398A" w14:paraId="161DC573" w14:textId="77777777" w:rsidTr="00320C9B">
        <w:trPr>
          <w:trHeight w:val="360"/>
        </w:trPr>
        <w:tc>
          <w:tcPr>
            <w:tcW w:w="4635" w:type="dxa"/>
          </w:tcPr>
          <w:p w14:paraId="589587B5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80"/>
            </w:pPr>
            <w:r>
              <w:t xml:space="preserve">Correction des Erreurs </w:t>
            </w:r>
          </w:p>
        </w:tc>
        <w:tc>
          <w:tcPr>
            <w:tcW w:w="4305" w:type="dxa"/>
            <w:shd w:val="clear" w:color="auto" w:fill="auto"/>
          </w:tcPr>
          <w:p w14:paraId="7B841B71" w14:textId="77777777" w:rsidR="0084398A" w:rsidRDefault="00A7242E" w:rsidP="00320C9B">
            <w:r>
              <w:t xml:space="preserve">La règle de correction des erreurs est </w:t>
            </w:r>
            <w:r w:rsidR="00E14339">
              <w:t>appliquée</w:t>
            </w:r>
            <w:r>
              <w:t xml:space="preserve"> car dans le formulaire de la section « nous joindre », il est possible de modifier seulement l’information erroné et les autres champs ne sont pas effacés.</w:t>
            </w:r>
          </w:p>
        </w:tc>
      </w:tr>
    </w:tbl>
    <w:p w14:paraId="0F2C88F3" w14:textId="77777777" w:rsidR="0084398A" w:rsidRDefault="0084398A" w:rsidP="0084398A">
      <w:pPr>
        <w:ind w:left="360"/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2"/>
        <w:gridCol w:w="4248"/>
      </w:tblGrid>
      <w:tr w:rsidR="0084398A" w14:paraId="2665DC64" w14:textId="77777777" w:rsidTr="00320C9B">
        <w:trPr>
          <w:trHeight w:val="397"/>
        </w:trPr>
        <w:tc>
          <w:tcPr>
            <w:tcW w:w="5392" w:type="dxa"/>
          </w:tcPr>
          <w:p w14:paraId="3A8E8049" w14:textId="77777777" w:rsidR="0084398A" w:rsidRDefault="0084398A" w:rsidP="0084398A">
            <w:pPr>
              <w:numPr>
                <w:ilvl w:val="0"/>
                <w:numId w:val="1"/>
              </w:numPr>
              <w:spacing w:line="259" w:lineRule="auto"/>
              <w:ind w:left="435"/>
            </w:pPr>
            <w:r w:rsidRPr="00423B78">
              <w:t xml:space="preserve">Homogénéité et cohérence </w:t>
            </w:r>
          </w:p>
        </w:tc>
        <w:tc>
          <w:tcPr>
            <w:tcW w:w="4248" w:type="dxa"/>
            <w:shd w:val="clear" w:color="auto" w:fill="auto"/>
          </w:tcPr>
          <w:p w14:paraId="07DC383B" w14:textId="77777777" w:rsidR="0084398A" w:rsidRDefault="00E14339" w:rsidP="00320C9B">
            <w:r>
              <w:t>La règle d’homogénéité et cohérence s’applique car le système de navigation de chaque page reste le même et les titres/sous-titre garde les mêmes formats dans toutes les pages.</w:t>
            </w:r>
          </w:p>
        </w:tc>
      </w:tr>
    </w:tbl>
    <w:p w14:paraId="2CC4C192" w14:textId="77777777" w:rsidR="0084398A" w:rsidRDefault="0084398A" w:rsidP="0084398A">
      <w:pPr>
        <w:ind w:left="360"/>
      </w:pPr>
    </w:p>
    <w:tbl>
      <w:tblPr>
        <w:tblW w:w="9633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0"/>
        <w:gridCol w:w="4253"/>
      </w:tblGrid>
      <w:tr w:rsidR="0084398A" w14:paraId="60C51CD1" w14:textId="77777777" w:rsidTr="00320C9B">
        <w:trPr>
          <w:trHeight w:val="392"/>
        </w:trPr>
        <w:tc>
          <w:tcPr>
            <w:tcW w:w="5380" w:type="dxa"/>
          </w:tcPr>
          <w:p w14:paraId="1342BE55" w14:textId="77777777" w:rsidR="0084398A" w:rsidRDefault="0084398A" w:rsidP="0084398A">
            <w:pPr>
              <w:numPr>
                <w:ilvl w:val="0"/>
                <w:numId w:val="1"/>
              </w:numPr>
              <w:spacing w:line="259" w:lineRule="auto"/>
              <w:ind w:left="495"/>
            </w:pPr>
            <w:r w:rsidRPr="00423B78">
              <w:t xml:space="preserve">Signification des codes et dénominations </w:t>
            </w:r>
          </w:p>
        </w:tc>
        <w:tc>
          <w:tcPr>
            <w:tcW w:w="4253" w:type="dxa"/>
            <w:shd w:val="clear" w:color="auto" w:fill="auto"/>
          </w:tcPr>
          <w:p w14:paraId="028C7084" w14:textId="77777777" w:rsidR="0084398A" w:rsidRDefault="00E14339" w:rsidP="00320C9B">
            <w:r>
              <w:t xml:space="preserve">La règle de la signification des codes dénominations s’applique car dans la section </w:t>
            </w:r>
            <w:r w:rsidR="00351BA4">
              <w:t>« </w:t>
            </w:r>
            <w:r>
              <w:t>nous joindre</w:t>
            </w:r>
            <w:r w:rsidR="00351BA4">
              <w:t> », les icones sont appropriés avec le texte et les liens sont clair quant à leur redirection.</w:t>
            </w:r>
          </w:p>
        </w:tc>
      </w:tr>
    </w:tbl>
    <w:p w14:paraId="04EF65DC" w14:textId="77777777" w:rsidR="0084398A" w:rsidRDefault="0084398A" w:rsidP="0084398A">
      <w:pPr>
        <w:ind w:left="360"/>
      </w:pPr>
    </w:p>
    <w:tbl>
      <w:tblPr>
        <w:tblW w:w="9678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5"/>
        <w:gridCol w:w="4233"/>
      </w:tblGrid>
      <w:tr w:rsidR="0084398A" w14:paraId="1C72F4FC" w14:textId="77777777" w:rsidTr="00320C9B">
        <w:trPr>
          <w:trHeight w:val="345"/>
        </w:trPr>
        <w:tc>
          <w:tcPr>
            <w:tcW w:w="5445" w:type="dxa"/>
          </w:tcPr>
          <w:p w14:paraId="6F234A90" w14:textId="77777777" w:rsidR="0084398A" w:rsidRDefault="0084398A" w:rsidP="0084398A">
            <w:pPr>
              <w:numPr>
                <w:ilvl w:val="0"/>
                <w:numId w:val="1"/>
              </w:numPr>
              <w:spacing w:line="259" w:lineRule="auto"/>
              <w:ind w:left="540"/>
            </w:pPr>
            <w:r w:rsidRPr="00423B78">
              <w:t>Compatibilité</w:t>
            </w:r>
          </w:p>
        </w:tc>
        <w:tc>
          <w:tcPr>
            <w:tcW w:w="4233" w:type="dxa"/>
            <w:shd w:val="clear" w:color="auto" w:fill="auto"/>
          </w:tcPr>
          <w:p w14:paraId="37F06582" w14:textId="77777777" w:rsidR="0084398A" w:rsidRDefault="00351BA4" w:rsidP="00320C9B">
            <w:r>
              <w:t>La règle ne s’applique pas</w:t>
            </w:r>
            <w:r w:rsidR="002E6915">
              <w:t xml:space="preserve"> car il n’y </w:t>
            </w:r>
            <w:proofErr w:type="spellStart"/>
            <w:proofErr w:type="gramStart"/>
            <w:r w:rsidR="002E6915">
              <w:t>à</w:t>
            </w:r>
            <w:proofErr w:type="spellEnd"/>
            <w:proofErr w:type="gramEnd"/>
            <w:r w:rsidR="002E6915">
              <w:t xml:space="preserve"> pas de données à saisir</w:t>
            </w:r>
          </w:p>
        </w:tc>
      </w:tr>
    </w:tbl>
    <w:p w14:paraId="012D2957" w14:textId="77777777" w:rsidR="0084398A" w:rsidRPr="00423B78" w:rsidRDefault="0084398A" w:rsidP="0084398A"/>
    <w:p w14:paraId="3C978E27" w14:textId="77777777" w:rsidR="0084398A" w:rsidRPr="00173989" w:rsidRDefault="0084398A" w:rsidP="0084398A">
      <w:pPr>
        <w:jc w:val="both"/>
        <w:rPr>
          <w:rFonts w:ascii="Calibri" w:hAnsi="Calibri"/>
        </w:rPr>
      </w:pPr>
    </w:p>
    <w:p w14:paraId="1D3533B4" w14:textId="77777777" w:rsidR="0082615B" w:rsidRDefault="008F37AF"/>
    <w:sectPr w:rsidR="008261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D3983" w14:textId="77777777" w:rsidR="008F37AF" w:rsidRDefault="008F37AF">
      <w:r>
        <w:separator/>
      </w:r>
    </w:p>
  </w:endnote>
  <w:endnote w:type="continuationSeparator" w:id="0">
    <w:p w14:paraId="19309635" w14:textId="77777777" w:rsidR="008F37AF" w:rsidRDefault="008F3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9F782" w14:textId="77777777" w:rsidR="007853C7" w:rsidRDefault="008F37A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BD4A5" w14:textId="77777777" w:rsidR="007853C7" w:rsidRDefault="008F37A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D3293" w14:textId="77777777" w:rsidR="007853C7" w:rsidRDefault="008F37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6CA30" w14:textId="77777777" w:rsidR="008F37AF" w:rsidRDefault="008F37AF">
      <w:r>
        <w:separator/>
      </w:r>
    </w:p>
  </w:footnote>
  <w:footnote w:type="continuationSeparator" w:id="0">
    <w:p w14:paraId="0B9185E1" w14:textId="77777777" w:rsidR="008F37AF" w:rsidRDefault="008F3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18FE2" w14:textId="77777777" w:rsidR="007853C7" w:rsidRDefault="008F37A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D9E99" w14:textId="77777777" w:rsidR="007853C7" w:rsidRDefault="008F37A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CD72D" w14:textId="77777777" w:rsidR="007853C7" w:rsidRDefault="008F37A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E3134"/>
    <w:multiLevelType w:val="hybridMultilevel"/>
    <w:tmpl w:val="C96CCE2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8A"/>
    <w:rsid w:val="001C47E5"/>
    <w:rsid w:val="002E6915"/>
    <w:rsid w:val="00351BA4"/>
    <w:rsid w:val="0040442C"/>
    <w:rsid w:val="0084398A"/>
    <w:rsid w:val="008B13BC"/>
    <w:rsid w:val="008F37AF"/>
    <w:rsid w:val="00996DCD"/>
    <w:rsid w:val="009F6E00"/>
    <w:rsid w:val="00A51E28"/>
    <w:rsid w:val="00A7242E"/>
    <w:rsid w:val="00AC0462"/>
    <w:rsid w:val="00AE1E52"/>
    <w:rsid w:val="00B97DC6"/>
    <w:rsid w:val="00D7340D"/>
    <w:rsid w:val="00E14339"/>
    <w:rsid w:val="00F053CE"/>
    <w:rsid w:val="00FC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A96A"/>
  <w15:chartTrackingRefBased/>
  <w15:docId w15:val="{EE95C85E-55A2-4A19-BF9F-DB82B35F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398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84398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4398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398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">
    <w:uiPriority w:val="21"/>
    <w:qFormat/>
    <w:rsid w:val="00843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intense">
    <w:name w:val="Intense Emphasis"/>
    <w:basedOn w:val="Policepardfaut"/>
    <w:uiPriority w:val="21"/>
    <w:qFormat/>
    <w:rsid w:val="0084398A"/>
    <w:rPr>
      <w:i/>
      <w:iCs/>
      <w:color w:val="4472C4" w:themeColor="accent1"/>
    </w:rPr>
  </w:style>
  <w:style w:type="character" w:styleId="Lienhypertexte">
    <w:name w:val="Hyperlink"/>
    <w:basedOn w:val="Policepardfaut"/>
    <w:uiPriority w:val="99"/>
    <w:unhideWhenUsed/>
    <w:rsid w:val="008439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3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Reny</dc:creator>
  <cp:keywords/>
  <dc:description/>
  <cp:lastModifiedBy>Alexandre Reny</cp:lastModifiedBy>
  <cp:revision>11</cp:revision>
  <dcterms:created xsi:type="dcterms:W3CDTF">2019-09-12T17:17:00Z</dcterms:created>
  <dcterms:modified xsi:type="dcterms:W3CDTF">2019-12-03T19:39:00Z</dcterms:modified>
</cp:coreProperties>
</file>