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CA91" w14:textId="77777777" w:rsidR="0084398A" w:rsidRDefault="0084398A" w:rsidP="0084398A">
      <w:pPr>
        <w:jc w:val="center"/>
        <w:rPr>
          <w:i/>
        </w:rPr>
      </w:pPr>
      <w:r w:rsidRPr="006D3F9B">
        <w:rPr>
          <w:i/>
        </w:rPr>
        <w:t>Critères de Bastien et Scapin</w:t>
      </w:r>
    </w:p>
    <w:p w14:paraId="2138F9F7" w14:textId="77777777" w:rsidR="0084398A" w:rsidRPr="006D3F9B" w:rsidRDefault="0084398A" w:rsidP="0084398A">
      <w:pPr>
        <w:jc w:val="center"/>
        <w:rPr>
          <w:i/>
        </w:rPr>
      </w:pPr>
    </w:p>
    <w:p w14:paraId="21DA31AE" w14:textId="77777777" w:rsidR="0084398A" w:rsidRPr="004C3FCA" w:rsidRDefault="0084398A" w:rsidP="0084398A">
      <w:pPr>
        <w:numPr>
          <w:ilvl w:val="0"/>
          <w:numId w:val="1"/>
        </w:numPr>
        <w:spacing w:line="259" w:lineRule="auto"/>
        <w:rPr>
          <w:b/>
          <w:bCs/>
          <w:i/>
          <w:iCs/>
        </w:rPr>
      </w:pPr>
      <w:r w:rsidRPr="00423B78">
        <w:t xml:space="preserve">Guidage </w:t>
      </w:r>
    </w:p>
    <w:tbl>
      <w:tblPr>
        <w:tblW w:w="8835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335"/>
      </w:tblGrid>
      <w:tr w:rsidR="0084398A" w14:paraId="4E6B5F70" w14:textId="77777777" w:rsidTr="00320C9B">
        <w:trPr>
          <w:trHeight w:val="330"/>
        </w:trPr>
        <w:tc>
          <w:tcPr>
            <w:tcW w:w="4500" w:type="dxa"/>
          </w:tcPr>
          <w:p w14:paraId="4AB0957C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Incitation </w:t>
            </w:r>
          </w:p>
        </w:tc>
        <w:tc>
          <w:tcPr>
            <w:tcW w:w="4335" w:type="dxa"/>
            <w:shd w:val="clear" w:color="auto" w:fill="auto"/>
          </w:tcPr>
          <w:p w14:paraId="73639581" w14:textId="3714F941" w:rsidR="0084398A" w:rsidRDefault="0084398A" w:rsidP="00320C9B">
            <w:r>
              <w:t>Oui car les élément</w:t>
            </w:r>
            <w:r w:rsidR="008B13BC">
              <w:t>s</w:t>
            </w:r>
            <w:r>
              <w:t xml:space="preserve"> cliquable</w:t>
            </w:r>
            <w:r w:rsidR="008B13BC">
              <w:t>s</w:t>
            </w:r>
            <w:r>
              <w:t xml:space="preserve"> sont mis en évidence</w:t>
            </w:r>
            <w:r w:rsidR="008B13BC">
              <w:t xml:space="preserve"> par un changement de couleur lorsque la souris passe dessus</w:t>
            </w:r>
            <w:r>
              <w:t xml:space="preserve"> et le titre de la page e</w:t>
            </w:r>
            <w:r w:rsidR="008B13BC">
              <w:t>s</w:t>
            </w:r>
            <w:r>
              <w:t xml:space="preserve">t claire </w:t>
            </w:r>
            <w:r w:rsidR="001C47E5">
              <w:t xml:space="preserve">et </w:t>
            </w:r>
            <w:r w:rsidR="008B13BC">
              <w:t xml:space="preserve">est adéquat avec le reste de la page car celui-ci </w:t>
            </w:r>
            <w:r w:rsidR="00A51E28">
              <w:t>fait</w:t>
            </w:r>
            <w:r w:rsidR="008B13BC">
              <w:t xml:space="preserve"> </w:t>
            </w:r>
            <w:r w:rsidR="00A51E28">
              <w:t>un contraste</w:t>
            </w:r>
            <w:r w:rsidR="008B13BC">
              <w:t xml:space="preserve"> de couleur avec le fond qui ne fais pas mal aux yeux.</w:t>
            </w:r>
          </w:p>
        </w:tc>
      </w:tr>
      <w:tr w:rsidR="0084398A" w14:paraId="76BEC857" w14:textId="77777777" w:rsidTr="00320C9B">
        <w:trPr>
          <w:trHeight w:val="555"/>
        </w:trPr>
        <w:tc>
          <w:tcPr>
            <w:tcW w:w="4500" w:type="dxa"/>
          </w:tcPr>
          <w:p w14:paraId="083922FC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Groupement/Distinction entre Items </w:t>
            </w:r>
          </w:p>
          <w:p w14:paraId="12FFC21D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40"/>
            </w:pPr>
            <w:r>
              <w:t xml:space="preserve"> </w:t>
            </w:r>
            <w:proofErr w:type="gramStart"/>
            <w:r>
              <w:t>par</w:t>
            </w:r>
            <w:proofErr w:type="gramEnd"/>
            <w:r>
              <w:t xml:space="preserve"> la Localisation </w:t>
            </w:r>
          </w:p>
        </w:tc>
        <w:tc>
          <w:tcPr>
            <w:tcW w:w="4335" w:type="dxa"/>
            <w:shd w:val="clear" w:color="auto" w:fill="auto"/>
          </w:tcPr>
          <w:p w14:paraId="78C69E96" w14:textId="06B99EED" w:rsidR="0084398A" w:rsidRDefault="00FE142E" w:rsidP="00320C9B">
            <w:r>
              <w:t>Il n’y a pas de distinction par localisation car il n’y a qu’un seul groupe d’item par page.</w:t>
            </w:r>
          </w:p>
        </w:tc>
      </w:tr>
      <w:tr w:rsidR="0084398A" w14:paraId="7ED690D3" w14:textId="77777777" w:rsidTr="00320C9B">
        <w:trPr>
          <w:trHeight w:val="315"/>
        </w:trPr>
        <w:tc>
          <w:tcPr>
            <w:tcW w:w="4500" w:type="dxa"/>
          </w:tcPr>
          <w:p w14:paraId="1018A885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40"/>
            </w:pPr>
            <w:r>
              <w:t xml:space="preserve"> </w:t>
            </w:r>
            <w:proofErr w:type="gramStart"/>
            <w:r>
              <w:t>par</w:t>
            </w:r>
            <w:proofErr w:type="gramEnd"/>
            <w:r>
              <w:t xml:space="preserve"> le Format </w:t>
            </w:r>
          </w:p>
        </w:tc>
        <w:tc>
          <w:tcPr>
            <w:tcW w:w="4335" w:type="dxa"/>
            <w:shd w:val="clear" w:color="auto" w:fill="auto"/>
          </w:tcPr>
          <w:p w14:paraId="1D05B3FC" w14:textId="5D521D86" w:rsidR="0084398A" w:rsidRDefault="00142FF4" w:rsidP="00320C9B">
            <w:r>
              <w:t>Il n’y a pas de distinction par format car tous les items dans une même pages sont de même format.</w:t>
            </w:r>
          </w:p>
        </w:tc>
      </w:tr>
      <w:tr w:rsidR="0084398A" w14:paraId="4599E47B" w14:textId="77777777" w:rsidTr="00320C9B">
        <w:trPr>
          <w:trHeight w:val="255"/>
        </w:trPr>
        <w:tc>
          <w:tcPr>
            <w:tcW w:w="4500" w:type="dxa"/>
          </w:tcPr>
          <w:p w14:paraId="087EFD65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Feedback immédiat </w:t>
            </w:r>
          </w:p>
        </w:tc>
        <w:tc>
          <w:tcPr>
            <w:tcW w:w="4335" w:type="dxa"/>
            <w:shd w:val="clear" w:color="auto" w:fill="auto"/>
          </w:tcPr>
          <w:p w14:paraId="0ACBC038" w14:textId="39CE9F1A" w:rsidR="0084398A" w:rsidRDefault="005B5B79" w:rsidP="00320C9B">
            <w:r>
              <w:t>Il y a un feedback qui se produit dans les formulaires lorsqu’il y a tentative de submit la page.</w:t>
            </w:r>
          </w:p>
        </w:tc>
      </w:tr>
      <w:tr w:rsidR="0084398A" w14:paraId="4A4174F8" w14:textId="77777777" w:rsidTr="00320C9B">
        <w:trPr>
          <w:trHeight w:val="315"/>
        </w:trPr>
        <w:tc>
          <w:tcPr>
            <w:tcW w:w="4500" w:type="dxa"/>
          </w:tcPr>
          <w:p w14:paraId="3BDF2F1B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20"/>
            </w:pPr>
            <w:r>
              <w:t xml:space="preserve"> Lisibilité </w:t>
            </w:r>
          </w:p>
        </w:tc>
        <w:tc>
          <w:tcPr>
            <w:tcW w:w="4335" w:type="dxa"/>
            <w:shd w:val="clear" w:color="auto" w:fill="auto"/>
          </w:tcPr>
          <w:p w14:paraId="7C1EF246" w14:textId="53349DBC" w:rsidR="0084398A" w:rsidRDefault="00A51E28" w:rsidP="00320C9B">
            <w:r>
              <w:t>La lisibilité est bonne, car les écritures ont une taille de police</w:t>
            </w:r>
            <w:r w:rsidR="005B5B79">
              <w:t xml:space="preserve"> suffisamment grande et de couleur noir sur un fond blanc. </w:t>
            </w:r>
          </w:p>
        </w:tc>
      </w:tr>
    </w:tbl>
    <w:p w14:paraId="4C312C94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Charge de travail </w:t>
      </w:r>
    </w:p>
    <w:tbl>
      <w:tblPr>
        <w:tblW w:w="885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350"/>
      </w:tblGrid>
      <w:tr w:rsidR="0084398A" w14:paraId="13DB3AB3" w14:textId="77777777" w:rsidTr="00320C9B">
        <w:trPr>
          <w:trHeight w:val="555"/>
        </w:trPr>
        <w:tc>
          <w:tcPr>
            <w:tcW w:w="4500" w:type="dxa"/>
          </w:tcPr>
          <w:p w14:paraId="1588057B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05"/>
            </w:pPr>
            <w:r>
              <w:t xml:space="preserve">Brièveté </w:t>
            </w:r>
          </w:p>
          <w:p w14:paraId="1E46FFC0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25"/>
            </w:pPr>
            <w:r>
              <w:t xml:space="preserve"> Concision </w:t>
            </w:r>
          </w:p>
        </w:tc>
        <w:tc>
          <w:tcPr>
            <w:tcW w:w="4350" w:type="dxa"/>
            <w:shd w:val="clear" w:color="auto" w:fill="auto"/>
          </w:tcPr>
          <w:p w14:paraId="24CE27D7" w14:textId="4B02FB08" w:rsidR="0084398A" w:rsidRDefault="009F6E00" w:rsidP="00320C9B">
            <w:r>
              <w:t xml:space="preserve">La règle de la concision est présente car les libellés sont </w:t>
            </w:r>
            <w:r w:rsidR="00AC0462">
              <w:t>clairs</w:t>
            </w:r>
            <w:r>
              <w:t xml:space="preserve"> indique clairement où ils mènent</w:t>
            </w:r>
            <w:r w:rsidR="005B5B79">
              <w:t>, par exemple sur le menu.</w:t>
            </w:r>
          </w:p>
        </w:tc>
      </w:tr>
      <w:tr w:rsidR="0084398A" w14:paraId="3197163F" w14:textId="77777777" w:rsidTr="00320C9B">
        <w:trPr>
          <w:trHeight w:val="390"/>
        </w:trPr>
        <w:tc>
          <w:tcPr>
            <w:tcW w:w="4500" w:type="dxa"/>
          </w:tcPr>
          <w:p w14:paraId="5C67A577" w14:textId="77777777" w:rsidR="0084398A" w:rsidRDefault="0084398A" w:rsidP="0084398A">
            <w:pPr>
              <w:numPr>
                <w:ilvl w:val="2"/>
                <w:numId w:val="1"/>
              </w:numPr>
              <w:spacing w:line="259" w:lineRule="auto"/>
              <w:ind w:left="1125"/>
            </w:pPr>
            <w:r>
              <w:t xml:space="preserve"> Actions Minimales </w:t>
            </w:r>
          </w:p>
        </w:tc>
        <w:tc>
          <w:tcPr>
            <w:tcW w:w="4350" w:type="dxa"/>
            <w:shd w:val="clear" w:color="auto" w:fill="auto"/>
          </w:tcPr>
          <w:p w14:paraId="0F43A82A" w14:textId="77777777" w:rsidR="0084398A" w:rsidRDefault="009F6E00" w:rsidP="00320C9B">
            <w:r>
              <w:t>La règle des actions minimales est présente car il est possible d’atteindre n’importe quelle section du site avec seulement trois cliques.</w:t>
            </w:r>
          </w:p>
        </w:tc>
      </w:tr>
      <w:tr w:rsidR="0084398A" w14:paraId="530C173E" w14:textId="77777777" w:rsidTr="00320C9B">
        <w:trPr>
          <w:trHeight w:val="405"/>
        </w:trPr>
        <w:tc>
          <w:tcPr>
            <w:tcW w:w="4500" w:type="dxa"/>
          </w:tcPr>
          <w:p w14:paraId="0C3D3134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05"/>
            </w:pPr>
            <w:r>
              <w:t xml:space="preserve">Densité Informationnelle </w:t>
            </w:r>
          </w:p>
        </w:tc>
        <w:tc>
          <w:tcPr>
            <w:tcW w:w="4350" w:type="dxa"/>
            <w:shd w:val="clear" w:color="auto" w:fill="auto"/>
          </w:tcPr>
          <w:p w14:paraId="229541DA" w14:textId="7ACDE8BF" w:rsidR="0084398A" w:rsidRDefault="00AC0462" w:rsidP="00320C9B">
            <w:r>
              <w:t xml:space="preserve">La règle de la densité informationnelle est </w:t>
            </w:r>
            <w:r w:rsidR="00A57D9F">
              <w:t>respectée</w:t>
            </w:r>
            <w:r>
              <w:t xml:space="preserve"> car sur chaque page un bloc d’information ne dépasse jamais 3 lignes</w:t>
            </w:r>
            <w:r w:rsidR="00A57D9F">
              <w:t>.</w:t>
            </w:r>
          </w:p>
        </w:tc>
      </w:tr>
    </w:tbl>
    <w:p w14:paraId="11E49791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Contrôle explicite </w:t>
      </w:r>
    </w:p>
    <w:tbl>
      <w:tblPr>
        <w:tblW w:w="892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5"/>
        <w:gridCol w:w="4380"/>
      </w:tblGrid>
      <w:tr w:rsidR="0084398A" w14:paraId="321491E9" w14:textId="77777777" w:rsidTr="00320C9B">
        <w:trPr>
          <w:trHeight w:val="330"/>
        </w:trPr>
        <w:tc>
          <w:tcPr>
            <w:tcW w:w="4545" w:type="dxa"/>
          </w:tcPr>
          <w:p w14:paraId="09975AB0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35"/>
            </w:pPr>
            <w:r>
              <w:t xml:space="preserve">Actions Explicites </w:t>
            </w:r>
          </w:p>
        </w:tc>
        <w:tc>
          <w:tcPr>
            <w:tcW w:w="4380" w:type="dxa"/>
            <w:shd w:val="clear" w:color="auto" w:fill="auto"/>
          </w:tcPr>
          <w:p w14:paraId="0E7ED095" w14:textId="5C0825A0" w:rsidR="0084398A" w:rsidRDefault="00F053CE" w:rsidP="00320C9B">
            <w:r>
              <w:t xml:space="preserve">La règle des actions explicites est respectée car la page </w:t>
            </w:r>
            <w:r w:rsidR="00A57D9F">
              <w:t xml:space="preserve">connexion ou inscription, </w:t>
            </w:r>
            <w:r>
              <w:t>le bouton se trouve à la fin du formulaire.</w:t>
            </w:r>
          </w:p>
        </w:tc>
      </w:tr>
      <w:tr w:rsidR="0084398A" w14:paraId="251E7A38" w14:textId="77777777" w:rsidTr="00320C9B">
        <w:trPr>
          <w:trHeight w:val="300"/>
        </w:trPr>
        <w:tc>
          <w:tcPr>
            <w:tcW w:w="4545" w:type="dxa"/>
          </w:tcPr>
          <w:p w14:paraId="5A2E70CF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35"/>
            </w:pPr>
            <w:r>
              <w:t xml:space="preserve">Contrôle Utilisateur </w:t>
            </w:r>
          </w:p>
        </w:tc>
        <w:tc>
          <w:tcPr>
            <w:tcW w:w="4380" w:type="dxa"/>
            <w:shd w:val="clear" w:color="auto" w:fill="auto"/>
          </w:tcPr>
          <w:p w14:paraId="42AA94E2" w14:textId="78C6A8EA" w:rsidR="0084398A" w:rsidRDefault="00F053CE" w:rsidP="00320C9B">
            <w:r>
              <w:t xml:space="preserve">La règle du contrôle utilisateur </w:t>
            </w:r>
            <w:r w:rsidR="00996DCD">
              <w:t>s’applique car l’utilisateur n’est forcé de rien</w:t>
            </w:r>
            <w:r w:rsidR="00A15FA6">
              <w:t xml:space="preserve"> s’il n’achète rien.</w:t>
            </w:r>
          </w:p>
        </w:tc>
      </w:tr>
    </w:tbl>
    <w:p w14:paraId="1D438133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Adaptabilité </w:t>
      </w:r>
    </w:p>
    <w:tbl>
      <w:tblPr>
        <w:tblW w:w="894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5"/>
        <w:gridCol w:w="4365"/>
      </w:tblGrid>
      <w:tr w:rsidR="0084398A" w14:paraId="28421BF7" w14:textId="77777777" w:rsidTr="00320C9B">
        <w:trPr>
          <w:trHeight w:val="270"/>
        </w:trPr>
        <w:tc>
          <w:tcPr>
            <w:tcW w:w="4575" w:type="dxa"/>
          </w:tcPr>
          <w:p w14:paraId="41C0469D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65"/>
            </w:pPr>
            <w:r>
              <w:t xml:space="preserve">Flexibilité </w:t>
            </w:r>
          </w:p>
        </w:tc>
        <w:tc>
          <w:tcPr>
            <w:tcW w:w="4365" w:type="dxa"/>
            <w:shd w:val="clear" w:color="auto" w:fill="auto"/>
          </w:tcPr>
          <w:p w14:paraId="0861BAA6" w14:textId="2752742A" w:rsidR="0084398A" w:rsidRDefault="00996DCD" w:rsidP="00320C9B">
            <w:r>
              <w:t>La règle de la flexibilité ne s’applique pas car l’utilisateur n’a pas de contrôle</w:t>
            </w:r>
            <w:r w:rsidR="001C63F5">
              <w:t xml:space="preserve"> sur les informations de la page.</w:t>
            </w:r>
          </w:p>
        </w:tc>
      </w:tr>
      <w:tr w:rsidR="0084398A" w14:paraId="20C72DF2" w14:textId="77777777" w:rsidTr="00320C9B">
        <w:trPr>
          <w:trHeight w:val="420"/>
        </w:trPr>
        <w:tc>
          <w:tcPr>
            <w:tcW w:w="4575" w:type="dxa"/>
          </w:tcPr>
          <w:p w14:paraId="0B37AC46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65"/>
            </w:pPr>
            <w:r>
              <w:lastRenderedPageBreak/>
              <w:t>Prise en Compte de l'Expérience de l'Utilisateur</w:t>
            </w:r>
          </w:p>
        </w:tc>
        <w:tc>
          <w:tcPr>
            <w:tcW w:w="4365" w:type="dxa"/>
            <w:shd w:val="clear" w:color="auto" w:fill="auto"/>
          </w:tcPr>
          <w:p w14:paraId="71D8AF3A" w14:textId="77777777" w:rsidR="0084398A" w:rsidRDefault="00AE1E52" w:rsidP="00320C9B">
            <w:r>
              <w:t>Non car il n’y a pas de didacticiel ou d’espaces privés aux utilisateurs plus expérimentés.</w:t>
            </w:r>
          </w:p>
        </w:tc>
      </w:tr>
    </w:tbl>
    <w:p w14:paraId="174CD217" w14:textId="77777777" w:rsidR="0084398A" w:rsidRPr="00423B78" w:rsidRDefault="0084398A" w:rsidP="0084398A">
      <w:pPr>
        <w:numPr>
          <w:ilvl w:val="0"/>
          <w:numId w:val="1"/>
        </w:numPr>
        <w:spacing w:line="259" w:lineRule="auto"/>
      </w:pPr>
      <w:r w:rsidRPr="00423B78">
        <w:t xml:space="preserve">Gestion des erreurs </w:t>
      </w:r>
    </w:p>
    <w:tbl>
      <w:tblPr>
        <w:tblW w:w="8940" w:type="dxa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5"/>
        <w:gridCol w:w="4305"/>
      </w:tblGrid>
      <w:tr w:rsidR="0084398A" w14:paraId="7C2FD637" w14:textId="77777777" w:rsidTr="00320C9B">
        <w:trPr>
          <w:trHeight w:val="300"/>
        </w:trPr>
        <w:tc>
          <w:tcPr>
            <w:tcW w:w="4635" w:type="dxa"/>
          </w:tcPr>
          <w:p w14:paraId="7924870E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80"/>
            </w:pPr>
            <w:r>
              <w:t xml:space="preserve">Protection Contre les Erreurs </w:t>
            </w:r>
          </w:p>
        </w:tc>
        <w:tc>
          <w:tcPr>
            <w:tcW w:w="4305" w:type="dxa"/>
            <w:shd w:val="clear" w:color="auto" w:fill="auto"/>
          </w:tcPr>
          <w:p w14:paraId="095E27F7" w14:textId="417937E0" w:rsidR="0084398A" w:rsidRDefault="00AE1E52" w:rsidP="00320C9B">
            <w:r>
              <w:t xml:space="preserve">Non car dans le formulaire de la </w:t>
            </w:r>
            <w:r w:rsidR="00A90D65">
              <w:t>page connexion et inscription</w:t>
            </w:r>
            <w:r>
              <w:t>, le bouton d’envoi est disponible avant le remplissage du formulaire</w:t>
            </w:r>
            <w:r w:rsidR="006B1D45">
              <w:t>.</w:t>
            </w:r>
          </w:p>
        </w:tc>
      </w:tr>
      <w:tr w:rsidR="0084398A" w14:paraId="09D8ADF0" w14:textId="77777777" w:rsidTr="00320C9B">
        <w:trPr>
          <w:trHeight w:val="345"/>
        </w:trPr>
        <w:tc>
          <w:tcPr>
            <w:tcW w:w="4635" w:type="dxa"/>
          </w:tcPr>
          <w:p w14:paraId="5239F19E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80"/>
            </w:pPr>
            <w:r>
              <w:t xml:space="preserve">Qualité des Messages d'Erreurs </w:t>
            </w:r>
          </w:p>
        </w:tc>
        <w:tc>
          <w:tcPr>
            <w:tcW w:w="4305" w:type="dxa"/>
            <w:shd w:val="clear" w:color="auto" w:fill="auto"/>
          </w:tcPr>
          <w:p w14:paraId="13F71B22" w14:textId="423ADC5B" w:rsidR="0084398A" w:rsidRDefault="00A90D65" w:rsidP="00320C9B">
            <w:r>
              <w:t xml:space="preserve">Les messages d’erreurs sont de bonnes qualités car ceux-ci </w:t>
            </w:r>
            <w:r w:rsidR="006B1D45">
              <w:t>indiquent</w:t>
            </w:r>
            <w:r>
              <w:t xml:space="preserve"> clairement le problème.</w:t>
            </w:r>
            <w:r w:rsidR="006B1D45">
              <w:t xml:space="preserve"> </w:t>
            </w:r>
            <w:r w:rsidR="006B1D45">
              <w:t xml:space="preserve">(Exemple : </w:t>
            </w:r>
            <w:proofErr w:type="gramStart"/>
            <w:r w:rsidR="006B1D45">
              <w:t>Email</w:t>
            </w:r>
            <w:proofErr w:type="gramEnd"/>
            <w:r w:rsidR="006B1D45">
              <w:t xml:space="preserve"> déjà utilisé)</w:t>
            </w:r>
          </w:p>
        </w:tc>
      </w:tr>
      <w:tr w:rsidR="0084398A" w14:paraId="161DC573" w14:textId="77777777" w:rsidTr="00320C9B">
        <w:trPr>
          <w:trHeight w:val="360"/>
        </w:trPr>
        <w:tc>
          <w:tcPr>
            <w:tcW w:w="4635" w:type="dxa"/>
          </w:tcPr>
          <w:p w14:paraId="589587B5" w14:textId="77777777" w:rsidR="0084398A" w:rsidRDefault="0084398A" w:rsidP="0084398A">
            <w:pPr>
              <w:numPr>
                <w:ilvl w:val="1"/>
                <w:numId w:val="1"/>
              </w:numPr>
              <w:spacing w:line="259" w:lineRule="auto"/>
              <w:ind w:left="480"/>
            </w:pPr>
            <w:r>
              <w:t xml:space="preserve">Correction des Erreurs </w:t>
            </w:r>
          </w:p>
        </w:tc>
        <w:tc>
          <w:tcPr>
            <w:tcW w:w="4305" w:type="dxa"/>
            <w:shd w:val="clear" w:color="auto" w:fill="auto"/>
          </w:tcPr>
          <w:p w14:paraId="7B841B71" w14:textId="7CC30A82" w:rsidR="0084398A" w:rsidRDefault="00A7242E" w:rsidP="00320C9B">
            <w:r>
              <w:t xml:space="preserve">La règle de correction des erreurs est </w:t>
            </w:r>
            <w:r w:rsidR="00E14339">
              <w:t>appliquée</w:t>
            </w:r>
            <w:r>
              <w:t xml:space="preserve"> car dans le formulaire de la </w:t>
            </w:r>
            <w:r w:rsidR="00A36965">
              <w:t>page inscription,</w:t>
            </w:r>
            <w:r>
              <w:t xml:space="preserve"> il est possible de modifier seulement l’information erroné et les autres champs ne sont pas effacés.</w:t>
            </w:r>
          </w:p>
        </w:tc>
      </w:tr>
    </w:tbl>
    <w:p w14:paraId="0F2C88F3" w14:textId="77777777" w:rsidR="0084398A" w:rsidRDefault="0084398A" w:rsidP="0084398A">
      <w:pPr>
        <w:ind w:left="360"/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2"/>
        <w:gridCol w:w="4248"/>
      </w:tblGrid>
      <w:tr w:rsidR="0084398A" w14:paraId="2665DC64" w14:textId="77777777" w:rsidTr="00320C9B">
        <w:trPr>
          <w:trHeight w:val="397"/>
        </w:trPr>
        <w:tc>
          <w:tcPr>
            <w:tcW w:w="5392" w:type="dxa"/>
          </w:tcPr>
          <w:p w14:paraId="3A8E8049" w14:textId="77777777" w:rsidR="0084398A" w:rsidRDefault="0084398A" w:rsidP="0084398A">
            <w:pPr>
              <w:numPr>
                <w:ilvl w:val="0"/>
                <w:numId w:val="1"/>
              </w:numPr>
              <w:spacing w:line="259" w:lineRule="auto"/>
              <w:ind w:left="435"/>
            </w:pPr>
            <w:r w:rsidRPr="00423B78">
              <w:t xml:space="preserve">Homogénéité et cohérence </w:t>
            </w:r>
          </w:p>
        </w:tc>
        <w:tc>
          <w:tcPr>
            <w:tcW w:w="4248" w:type="dxa"/>
            <w:shd w:val="clear" w:color="auto" w:fill="auto"/>
          </w:tcPr>
          <w:p w14:paraId="07DC383B" w14:textId="77777777" w:rsidR="0084398A" w:rsidRDefault="00E14339" w:rsidP="00320C9B">
            <w:r>
              <w:t>La règle d’homogénéité et cohérence s’applique car le système de navigation de chaque page reste le même et les titres/sous-titre garde les mêmes formats dans toutes les pages.</w:t>
            </w:r>
          </w:p>
        </w:tc>
      </w:tr>
    </w:tbl>
    <w:p w14:paraId="2CC4C192" w14:textId="77777777" w:rsidR="0084398A" w:rsidRDefault="0084398A" w:rsidP="0084398A">
      <w:pPr>
        <w:ind w:left="360"/>
      </w:pPr>
    </w:p>
    <w:tbl>
      <w:tblPr>
        <w:tblW w:w="9633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0"/>
        <w:gridCol w:w="4253"/>
      </w:tblGrid>
      <w:tr w:rsidR="0084398A" w14:paraId="60C51CD1" w14:textId="77777777" w:rsidTr="00320C9B">
        <w:trPr>
          <w:trHeight w:val="392"/>
        </w:trPr>
        <w:tc>
          <w:tcPr>
            <w:tcW w:w="5380" w:type="dxa"/>
          </w:tcPr>
          <w:p w14:paraId="1342BE55" w14:textId="77777777" w:rsidR="0084398A" w:rsidRDefault="0084398A" w:rsidP="0084398A">
            <w:pPr>
              <w:numPr>
                <w:ilvl w:val="0"/>
                <w:numId w:val="1"/>
              </w:numPr>
              <w:spacing w:line="259" w:lineRule="auto"/>
              <w:ind w:left="495"/>
            </w:pPr>
            <w:r w:rsidRPr="00423B78">
              <w:t xml:space="preserve">Signification des codes et dénominations </w:t>
            </w:r>
          </w:p>
        </w:tc>
        <w:tc>
          <w:tcPr>
            <w:tcW w:w="4253" w:type="dxa"/>
            <w:shd w:val="clear" w:color="auto" w:fill="auto"/>
          </w:tcPr>
          <w:p w14:paraId="028C7084" w14:textId="7B58F2AB" w:rsidR="0084398A" w:rsidRDefault="00E14339" w:rsidP="00320C9B">
            <w:r>
              <w:t xml:space="preserve">La règle de la signification des codes </w:t>
            </w:r>
            <w:r w:rsidR="00A36965">
              <w:t xml:space="preserve">et </w:t>
            </w:r>
            <w:r>
              <w:t xml:space="preserve">dénominations s’applique car </w:t>
            </w:r>
            <w:r w:rsidR="00A36965">
              <w:t>lors de l’ajout d’un item au panier, il y a un item significatif qui apparait.</w:t>
            </w:r>
          </w:p>
        </w:tc>
      </w:tr>
    </w:tbl>
    <w:p w14:paraId="04EF65DC" w14:textId="77777777" w:rsidR="0084398A" w:rsidRDefault="0084398A" w:rsidP="0084398A">
      <w:pPr>
        <w:ind w:left="360"/>
      </w:pPr>
    </w:p>
    <w:tbl>
      <w:tblPr>
        <w:tblW w:w="9678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5"/>
        <w:gridCol w:w="4233"/>
      </w:tblGrid>
      <w:tr w:rsidR="0084398A" w14:paraId="1C72F4FC" w14:textId="77777777" w:rsidTr="00320C9B">
        <w:trPr>
          <w:trHeight w:val="345"/>
        </w:trPr>
        <w:tc>
          <w:tcPr>
            <w:tcW w:w="5445" w:type="dxa"/>
          </w:tcPr>
          <w:p w14:paraId="6F234A90" w14:textId="77777777" w:rsidR="0084398A" w:rsidRDefault="0084398A" w:rsidP="0084398A">
            <w:pPr>
              <w:numPr>
                <w:ilvl w:val="0"/>
                <w:numId w:val="1"/>
              </w:numPr>
              <w:spacing w:line="259" w:lineRule="auto"/>
              <w:ind w:left="540"/>
            </w:pPr>
            <w:r w:rsidRPr="00423B78">
              <w:t>Compatibilité</w:t>
            </w:r>
          </w:p>
        </w:tc>
        <w:tc>
          <w:tcPr>
            <w:tcW w:w="4233" w:type="dxa"/>
            <w:shd w:val="clear" w:color="auto" w:fill="auto"/>
          </w:tcPr>
          <w:p w14:paraId="37F06582" w14:textId="77777777" w:rsidR="0084398A" w:rsidRDefault="00351BA4" w:rsidP="00320C9B">
            <w:r>
              <w:t>La règle ne s’applique pas</w:t>
            </w:r>
            <w:r w:rsidR="002E6915">
              <w:t xml:space="preserve"> car il n’y </w:t>
            </w:r>
            <w:proofErr w:type="spellStart"/>
            <w:proofErr w:type="gramStart"/>
            <w:r w:rsidR="002E6915">
              <w:t>à</w:t>
            </w:r>
            <w:proofErr w:type="spellEnd"/>
            <w:proofErr w:type="gramEnd"/>
            <w:r w:rsidR="002E6915">
              <w:t xml:space="preserve"> pas de données à saisir</w:t>
            </w:r>
          </w:p>
        </w:tc>
      </w:tr>
    </w:tbl>
    <w:p w14:paraId="012D2957" w14:textId="77777777" w:rsidR="0084398A" w:rsidRPr="00423B78" w:rsidRDefault="0084398A" w:rsidP="0084398A"/>
    <w:p w14:paraId="3C978E27" w14:textId="77777777" w:rsidR="0084398A" w:rsidRPr="00173989" w:rsidRDefault="0084398A" w:rsidP="0084398A">
      <w:pPr>
        <w:jc w:val="both"/>
        <w:rPr>
          <w:rFonts w:ascii="Calibri" w:hAnsi="Calibri"/>
        </w:rPr>
      </w:pPr>
    </w:p>
    <w:p w14:paraId="1D3533B4" w14:textId="77777777" w:rsidR="0082615B" w:rsidRDefault="00122492">
      <w:bookmarkStart w:id="0" w:name="_GoBack"/>
      <w:bookmarkEnd w:id="0"/>
    </w:p>
    <w:sectPr w:rsidR="008261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B8EC3" w14:textId="77777777" w:rsidR="00122492" w:rsidRDefault="00122492">
      <w:r>
        <w:separator/>
      </w:r>
    </w:p>
  </w:endnote>
  <w:endnote w:type="continuationSeparator" w:id="0">
    <w:p w14:paraId="0C0C05B8" w14:textId="77777777" w:rsidR="00122492" w:rsidRDefault="0012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9F782" w14:textId="77777777" w:rsidR="007853C7" w:rsidRDefault="001224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BD4A5" w14:textId="77777777" w:rsidR="007853C7" w:rsidRDefault="0012249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3293" w14:textId="77777777" w:rsidR="007853C7" w:rsidRDefault="001224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4C774" w14:textId="77777777" w:rsidR="00122492" w:rsidRDefault="00122492">
      <w:r>
        <w:separator/>
      </w:r>
    </w:p>
  </w:footnote>
  <w:footnote w:type="continuationSeparator" w:id="0">
    <w:p w14:paraId="6597B634" w14:textId="77777777" w:rsidR="00122492" w:rsidRDefault="00122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8FE2" w14:textId="77777777" w:rsidR="007853C7" w:rsidRDefault="001224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D9E99" w14:textId="77777777" w:rsidR="007853C7" w:rsidRDefault="001224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CD72D" w14:textId="77777777" w:rsidR="007853C7" w:rsidRDefault="001224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E3134"/>
    <w:multiLevelType w:val="hybridMultilevel"/>
    <w:tmpl w:val="C96CCE2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8A"/>
    <w:rsid w:val="00122492"/>
    <w:rsid w:val="00142FF4"/>
    <w:rsid w:val="00173D51"/>
    <w:rsid w:val="001C47E5"/>
    <w:rsid w:val="001C63F5"/>
    <w:rsid w:val="002E6915"/>
    <w:rsid w:val="00351BA4"/>
    <w:rsid w:val="0040442C"/>
    <w:rsid w:val="005B5B79"/>
    <w:rsid w:val="006B1D45"/>
    <w:rsid w:val="0084398A"/>
    <w:rsid w:val="008B13BC"/>
    <w:rsid w:val="00996DCD"/>
    <w:rsid w:val="009F6E00"/>
    <w:rsid w:val="00A15FA6"/>
    <w:rsid w:val="00A36965"/>
    <w:rsid w:val="00A51E28"/>
    <w:rsid w:val="00A57D9F"/>
    <w:rsid w:val="00A7242E"/>
    <w:rsid w:val="00A90D65"/>
    <w:rsid w:val="00AC0462"/>
    <w:rsid w:val="00AE1E52"/>
    <w:rsid w:val="00B97DC6"/>
    <w:rsid w:val="00D7340D"/>
    <w:rsid w:val="00E14339"/>
    <w:rsid w:val="00F053CE"/>
    <w:rsid w:val="00FC6378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A96A"/>
  <w15:chartTrackingRefBased/>
  <w15:docId w15:val="{EE95C85E-55A2-4A19-BF9F-DB82B35F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398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4398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4398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98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">
    <w:uiPriority w:val="21"/>
    <w:qFormat/>
    <w:rsid w:val="00843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84398A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8439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10</cp:revision>
  <dcterms:created xsi:type="dcterms:W3CDTF">2019-12-03T20:28:00Z</dcterms:created>
  <dcterms:modified xsi:type="dcterms:W3CDTF">2019-12-03T20:44:00Z</dcterms:modified>
</cp:coreProperties>
</file>