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2B409" w14:textId="77777777" w:rsidR="009E1FCE" w:rsidRDefault="00B84195">
      <w:pPr>
        <w:pStyle w:val="Title"/>
      </w:pPr>
      <w:r>
        <w:t>TWIST-EFS DSMB</w:t>
      </w:r>
    </w:p>
    <w:p w14:paraId="67C2B40A" w14:textId="77777777" w:rsidR="009E1FCE" w:rsidRDefault="00B84195">
      <w:r>
        <w:t>Invalid Date</w:t>
      </w:r>
    </w:p>
    <w:sdt>
      <w:sdtPr>
        <w:rPr>
          <w:rFonts w:eastAsiaTheme="minorHAnsi" w:cstheme="minorBidi"/>
          <w:b w:val="0"/>
          <w:color w:val="auto"/>
          <w:spacing w:val="0"/>
          <w:kern w:val="2"/>
          <w:sz w:val="24"/>
          <w:szCs w:val="24"/>
          <w14:ligatures w14:val="standardContextual"/>
        </w:rPr>
        <w:id w:val="-896050827"/>
        <w:docPartObj>
          <w:docPartGallery w:val="Table of Contents"/>
          <w:docPartUnique/>
        </w:docPartObj>
      </w:sdtPr>
      <w:sdtEndPr/>
      <w:sdtContent>
        <w:p w14:paraId="67C2B40B" w14:textId="77777777" w:rsidR="009E1FCE" w:rsidRDefault="00B84195">
          <w:pPr>
            <w:pStyle w:val="TOCHeading"/>
          </w:pPr>
          <w:r>
            <w:t>Table of contents</w:t>
          </w:r>
        </w:p>
        <w:p w14:paraId="08EF3E11" w14:textId="487217AA" w:rsidR="00B84195" w:rsidRDefault="00B84195">
          <w:pPr>
            <w:pStyle w:val="TOC1"/>
            <w:tabs>
              <w:tab w:val="right" w:leader="dot" w:pos="129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4786841" w:history="1">
            <w:r w:rsidRPr="004B6202">
              <w:rPr>
                <w:rStyle w:val="Hyperlink"/>
                <w:noProof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CD276" w14:textId="6CF400A2" w:rsidR="00B84195" w:rsidRDefault="00B84195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04786842" w:history="1">
            <w:r w:rsidRPr="004B6202">
              <w:rPr>
                <w:rStyle w:val="Hyperlink"/>
                <w:noProof/>
              </w:rPr>
              <w:t>Table 1 Enrollment by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2F33A" w14:textId="2C819AD2" w:rsidR="00B84195" w:rsidRDefault="00B84195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04786843" w:history="1">
            <w:r w:rsidRPr="004B6202">
              <w:rPr>
                <w:rStyle w:val="Hyperlink"/>
                <w:noProof/>
              </w:rPr>
              <w:t>Table 2 Patient Disposition &amp; Follow-up Visit Compliance by Interval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9C34C" w14:textId="142D5EC7" w:rsidR="00B84195" w:rsidRDefault="00B84195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04786844" w:history="1">
            <w:r w:rsidRPr="004B6202">
              <w:rPr>
                <w:rStyle w:val="Hyperlink"/>
                <w:noProof/>
              </w:rPr>
              <w:t>Table 3 Demographics and Baseline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6228A" w14:textId="40C73419" w:rsidR="00B84195" w:rsidRDefault="00B84195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04786845" w:history="1">
            <w:r w:rsidRPr="004B6202">
              <w:rPr>
                <w:rStyle w:val="Hyperlink"/>
                <w:noProof/>
              </w:rPr>
              <w:t>Table 11 CEC Adjudicated Heart Failure Hospitalizations and Non-elective Mitral Valve Reinterventions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7B936" w14:textId="1D62E023" w:rsidR="00B84195" w:rsidRDefault="00B84195">
          <w:pPr>
            <w:pStyle w:val="TOC1"/>
            <w:tabs>
              <w:tab w:val="right" w:leader="dot" w:pos="12950"/>
            </w:tabs>
            <w:rPr>
              <w:noProof/>
            </w:rPr>
          </w:pPr>
          <w:hyperlink w:anchor="_Toc204786846" w:history="1">
            <w:r w:rsidRPr="004B6202">
              <w:rPr>
                <w:rStyle w:val="Hyperlink"/>
                <w:noProof/>
              </w:rPr>
              <w:t>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9257C" w14:textId="4F6112A0" w:rsidR="00B84195" w:rsidRDefault="00B84195">
          <w:pPr>
            <w:pStyle w:val="TOC2"/>
            <w:tabs>
              <w:tab w:val="right" w:leader="dot" w:pos="12950"/>
            </w:tabs>
            <w:rPr>
              <w:noProof/>
            </w:rPr>
          </w:pPr>
          <w:hyperlink w:anchor="_Toc204786847" w:history="1">
            <w:r w:rsidRPr="004B6202">
              <w:rPr>
                <w:rStyle w:val="Hyperlink"/>
                <w:noProof/>
              </w:rPr>
              <w:t>Figure 1 Linear Graph of Cumulative Enrollment by Month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_Toc204786847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2B40C" w14:textId="0EAFC9DC" w:rsidR="009E1FCE" w:rsidRDefault="00B84195">
          <w:r>
            <w:fldChar w:fldCharType="end"/>
          </w:r>
        </w:p>
      </w:sdtContent>
    </w:sdt>
    <w:p w14:paraId="67C2B40D" w14:textId="77777777" w:rsidR="009E1FCE" w:rsidRDefault="00B84195">
      <w:pPr>
        <w:pStyle w:val="Heading1"/>
      </w:pPr>
      <w:bookmarkStart w:id="0" w:name="tables"/>
      <w:bookmarkStart w:id="1" w:name="_Toc204786841"/>
      <w:r>
        <w:t>Tables</w:t>
      </w:r>
      <w:bookmarkEnd w:id="1"/>
    </w:p>
    <w:p w14:paraId="67C2B40E" w14:textId="77777777" w:rsidR="009E1FCE" w:rsidRDefault="00B84195">
      <w:pPr>
        <w:pStyle w:val="Heading2"/>
      </w:pPr>
      <w:bookmarkStart w:id="2" w:name="table-1-enrollment-by-site"/>
      <w:bookmarkStart w:id="3" w:name="_Toc204786842"/>
      <w:r>
        <w:t>Table 1 Enrollment by Site</w:t>
      </w:r>
      <w:bookmarkEnd w:id="3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3960"/>
        <w:gridCol w:w="2880"/>
        <w:gridCol w:w="2880"/>
      </w:tblGrid>
      <w:tr w:rsidR="009E1FCE" w14:paraId="67C2B413" w14:textId="77777777">
        <w:trPr>
          <w:tblHeader/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0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Site Number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Site Name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Enrolled¹ (N=38)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2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Implanted² (N=37)</w:t>
            </w:r>
          </w:p>
        </w:tc>
      </w:tr>
      <w:tr w:rsidR="009E1FCE" w14:paraId="67C2B418" w14:textId="77777777">
        <w:trPr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5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Mayo Clinic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6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8/38 (21.1%)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8/37 (21.6%)</w:t>
            </w:r>
          </w:p>
        </w:tc>
      </w:tr>
      <w:tr w:rsidR="009E1FCE" w14:paraId="67C2B41D" w14:textId="77777777">
        <w:trPr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9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237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OhioHealth Research Institute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B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6/38 (15.8%)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C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6/37 (16.2%)</w:t>
            </w:r>
          </w:p>
        </w:tc>
      </w:tr>
      <w:tr w:rsidR="009E1FCE" w14:paraId="67C2B422" w14:textId="77777777">
        <w:trPr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238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1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Vanderbilt University Medical Center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5/38 (13.2%)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4/37 (10.8%)</w:t>
            </w:r>
          </w:p>
        </w:tc>
      </w:tr>
      <w:tr w:rsidR="009E1FCE" w14:paraId="67C2B427" w14:textId="77777777">
        <w:trPr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3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lastRenderedPageBreak/>
              <w:t>383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Piedmont Hospital, Atlanta, GA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5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5/38 (13.2%)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6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5/37 (13.5%)</w:t>
            </w:r>
          </w:p>
        </w:tc>
      </w:tr>
      <w:tr w:rsidR="009E1FCE" w14:paraId="67C2B42C" w14:textId="77777777">
        <w:trPr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8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9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Cleveland Clinic Foundation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5/38 (13.2%)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B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5/37 (13.5%)</w:t>
            </w:r>
          </w:p>
        </w:tc>
      </w:tr>
      <w:tr w:rsidR="009E1FCE" w14:paraId="67C2B431" w14:textId="77777777">
        <w:trPr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Oregon Health Sciences University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2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4/38 (10.5%)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4/37 (10.8%)</w:t>
            </w:r>
          </w:p>
        </w:tc>
      </w:tr>
      <w:tr w:rsidR="009E1FCE" w14:paraId="67C2B436" w14:textId="77777777">
        <w:trPr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2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3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Cedars-Sinai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2/38 (5.3%)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5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2/37 (5.4%)</w:t>
            </w:r>
          </w:p>
        </w:tc>
      </w:tr>
      <w:tr w:rsidR="009E1FCE" w14:paraId="67C2B43B" w14:textId="77777777">
        <w:trPr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824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8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Swedish Medical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9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2/38 (5.3%)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2/37 (5.4%)</w:t>
            </w:r>
          </w:p>
        </w:tc>
      </w:tr>
      <w:tr w:rsidR="009E1FCE" w14:paraId="67C2B440" w14:textId="77777777">
        <w:trPr>
          <w:jc w:val="center"/>
        </w:trPr>
        <w:tc>
          <w:tcPr>
            <w:tcW w:w="180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C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396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University of Michigan Hospital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1/38 (2.6%)</w:t>
            </w:r>
          </w:p>
        </w:tc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3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1/37 (2.7%)</w:t>
            </w:r>
          </w:p>
        </w:tc>
      </w:tr>
      <w:tr w:rsidR="009E1FCE" w14:paraId="67C2B442" w14:textId="77777777">
        <w:trPr>
          <w:jc w:val="center"/>
        </w:trPr>
        <w:tc>
          <w:tcPr>
            <w:tcW w:w="11520" w:type="dxa"/>
            <w:gridSpan w:val="4"/>
            <w:tcBorders>
              <w:top w:val="single" w:sz="8" w:space="0" w:color="666666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4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[1] Enrolled: A patient is considered enrolled if they have signed informed consent and have the study procedure attempted (defined as introduction of the investigational delivery system into the patient).</w:t>
            </w:r>
          </w:p>
        </w:tc>
      </w:tr>
      <w:tr w:rsidR="009E1FCE" w14:paraId="67C2B444" w14:textId="77777777">
        <w:trPr>
          <w:jc w:val="center"/>
        </w:trPr>
        <w:tc>
          <w:tcPr>
            <w:tcW w:w="11520" w:type="dxa"/>
            <w:gridSpan w:val="4"/>
            <w:tcBorders>
              <w:top w:val="none" w:sz="0" w:space="0" w:color="FFFFFF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43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[2] Implanted: A patient is considered implanted if they have undergone the study procedure and leave the operating room with the study valve in place.</w:t>
            </w:r>
          </w:p>
        </w:tc>
      </w:tr>
      <w:tr w:rsidR="009E1FCE" w14:paraId="67C2B446" w14:textId="77777777">
        <w:trPr>
          <w:jc w:val="center"/>
        </w:trPr>
        <w:tc>
          <w:tcPr>
            <w:tcW w:w="11520" w:type="dxa"/>
            <w:gridSpan w:val="4"/>
            <w:tcBorders>
              <w:top w:val="none" w:sz="0" w:space="0" w:color="FFFFFF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45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Categorical measures: %</w:t>
            </w:r>
          </w:p>
        </w:tc>
      </w:tr>
      <w:tr w:rsidR="009E1FCE" w14:paraId="67C2B448" w14:textId="77777777">
        <w:trPr>
          <w:jc w:val="center"/>
        </w:trPr>
        <w:tc>
          <w:tcPr>
            <w:tcW w:w="11520" w:type="dxa"/>
            <w:gridSpan w:val="4"/>
            <w:tcBorders>
              <w:top w:val="none" w:sz="0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4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Source: t1_enrollmentbysite.R Extract Date: 2025JUL28 Run Date (Time): 30Jul2025 (16:50)</w:t>
            </w:r>
          </w:p>
        </w:tc>
      </w:tr>
    </w:tbl>
    <w:p w14:paraId="67C2B449" w14:textId="77777777" w:rsidR="009E1FCE" w:rsidRDefault="00B84195">
      <w:pPr>
        <w:pStyle w:val="Heading2"/>
      </w:pPr>
      <w:bookmarkStart w:id="4" w:name="Xb373b8bdc17bdb71e0028ca552d89d2740befc9"/>
      <w:bookmarkStart w:id="5" w:name="_Toc204786843"/>
      <w:bookmarkEnd w:id="2"/>
      <w:r>
        <w:t>Table 2 Patient Disposition &amp; Follow-up Visit Compliance by Interval</w:t>
      </w:r>
      <w:bookmarkEnd w:id="5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240"/>
        <w:gridCol w:w="2520"/>
        <w:gridCol w:w="2520"/>
        <w:gridCol w:w="2520"/>
        <w:gridCol w:w="2520"/>
      </w:tblGrid>
      <w:tr w:rsidR="009E1FCE" w14:paraId="67C2B44F" w14:textId="77777777">
        <w:trPr>
          <w:tblHeader/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4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Patient Status at Follow-Up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4B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30 Days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4C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6 Months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4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1 Year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4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2 Years</w:t>
            </w:r>
          </w:p>
        </w:tc>
      </w:tr>
      <w:tr w:rsidR="009E1FCE" w14:paraId="67C2B455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Eligible for Visit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42/42 (100%)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2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33/42 (78.6%)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3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32/42 (76.2%)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20/42 (47.6%)</w:t>
            </w:r>
          </w:p>
        </w:tc>
      </w:tr>
      <w:tr w:rsidR="009E1FCE" w14:paraId="67C2B45B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6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Visit Completed Within Window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32/42 (76.2%)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8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27/42 (64.3%)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9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21/42 (50%)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11/42 (26.2%)</w:t>
            </w:r>
          </w:p>
        </w:tc>
      </w:tr>
      <w:tr w:rsidR="009E1FCE" w14:paraId="67C2B461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C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lastRenderedPageBreak/>
              <w:t>Visit Completed Outside Window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8/42 (19%)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3/42 (7.1%)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5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3/42 (7.1%)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0/42 (0%)</w:t>
            </w:r>
          </w:p>
        </w:tc>
      </w:tr>
      <w:tr w:rsidR="009E1FCE" w14:paraId="67C2B467" w14:textId="77777777">
        <w:trPr>
          <w:jc w:val="center"/>
        </w:trPr>
        <w:tc>
          <w:tcPr>
            <w:tcW w:w="32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2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Visit Not Performed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3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2/42 (4.8%)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12/42 (28.6%)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5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18/42 (42.9%)</w:t>
            </w:r>
          </w:p>
        </w:tc>
        <w:tc>
          <w:tcPr>
            <w:tcW w:w="252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6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8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31/42 (73.8%)</w:t>
            </w:r>
          </w:p>
        </w:tc>
      </w:tr>
      <w:tr w:rsidR="009E1FCE" w14:paraId="67C2B469" w14:textId="77777777">
        <w:trPr>
          <w:jc w:val="center"/>
        </w:trPr>
        <w:tc>
          <w:tcPr>
            <w:tcW w:w="13320" w:type="dxa"/>
            <w:gridSpan w:val="5"/>
            <w:tcBorders>
              <w:top w:val="single" w:sz="8" w:space="0" w:color="666666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8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[1] Patients are eligible if they complete the visit or their visit window is open and prior to FU visit window , they (a) are alive , (b) are not explanted,  (c) did not withdraw from study,  (d) are not lost to FU.</w:t>
            </w:r>
          </w:p>
        </w:tc>
      </w:tr>
      <w:tr w:rsidR="009E1FCE" w14:paraId="67C2B46B" w14:textId="77777777">
        <w:trPr>
          <w:jc w:val="center"/>
        </w:trPr>
        <w:tc>
          <w:tcPr>
            <w:tcW w:w="13320" w:type="dxa"/>
            <w:gridSpan w:val="5"/>
            <w:tcBorders>
              <w:top w:val="none" w:sz="0" w:space="0" w:color="FFFFFF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[2] Specify the visit window: 30 Days FU window (23-37 days), 6 FU window (166-194 days), 1 year FU window (335-390 days).</w:t>
            </w:r>
          </w:p>
        </w:tc>
      </w:tr>
      <w:tr w:rsidR="009E1FCE" w14:paraId="67C2B46D" w14:textId="77777777">
        <w:trPr>
          <w:jc w:val="center"/>
        </w:trPr>
        <w:tc>
          <w:tcPr>
            <w:tcW w:w="13320" w:type="dxa"/>
            <w:gridSpan w:val="5"/>
            <w:tcBorders>
              <w:top w:val="none" w:sz="0" w:space="0" w:color="FFFFFF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C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Categorical measures: %</w:t>
            </w:r>
          </w:p>
        </w:tc>
      </w:tr>
      <w:tr w:rsidR="009E1FCE" w14:paraId="67C2B46F" w14:textId="77777777">
        <w:trPr>
          <w:jc w:val="center"/>
        </w:trPr>
        <w:tc>
          <w:tcPr>
            <w:tcW w:w="13320" w:type="dxa"/>
            <w:gridSpan w:val="5"/>
            <w:tcBorders>
              <w:top w:val="none" w:sz="0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6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Source: t1_enrollmentbysite.R Extract Date: 09JUL2025 Run Date (Time): 30Jul2025 (16:50)</w:t>
            </w:r>
          </w:p>
        </w:tc>
      </w:tr>
    </w:tbl>
    <w:p w14:paraId="67C2B470" w14:textId="77777777" w:rsidR="009E1FCE" w:rsidRDefault="00B84195">
      <w:pPr>
        <w:pStyle w:val="Heading2"/>
      </w:pPr>
      <w:bookmarkStart w:id="6" w:name="Xd3c0b1b4b828887460ccda32c1a696e99bb2550"/>
      <w:bookmarkStart w:id="7" w:name="_Toc204786844"/>
      <w:bookmarkEnd w:id="4"/>
      <w:r>
        <w:t>Table 3 Demographics and Baseline Characteristics</w:t>
      </w:r>
      <w:bookmarkEnd w:id="7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320"/>
        <w:gridCol w:w="4320"/>
      </w:tblGrid>
      <w:tr w:rsidR="009E1FCE" w14:paraId="67C2B473" w14:textId="77777777">
        <w:trPr>
          <w:tblHeader/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Baseline Characteristic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2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Total</w:t>
            </w:r>
          </w:p>
        </w:tc>
      </w:tr>
      <w:tr w:rsidR="009E1FCE" w14:paraId="67C2B476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Age (Years)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5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73.2 ± 10.3 (42)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76 (44, 90)</w:t>
            </w:r>
          </w:p>
        </w:tc>
      </w:tr>
      <w:tr w:rsidR="009E1FCE" w14:paraId="67C2B479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BMI (kg/m²)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8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27.5 ± 6 (42)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27.1 (18.6, 52.7)</w:t>
            </w:r>
          </w:p>
        </w:tc>
      </w:tr>
      <w:tr w:rsidR="009E1FCE" w14:paraId="67C2B47C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Sex at Birth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Female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Male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B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16 / 42 (38.1%)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26 / 42 (61.9%)</w:t>
            </w:r>
          </w:p>
        </w:tc>
      </w:tr>
      <w:tr w:rsidR="009E1FCE" w14:paraId="67C2B47F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NYHA Class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Class II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Class III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7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11 / 42 (26.2%)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31 / 42 (73.8%)</w:t>
            </w:r>
          </w:p>
        </w:tc>
      </w:tr>
      <w:tr w:rsidR="009E1FCE" w14:paraId="67C2B482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lastRenderedPageBreak/>
              <w:t>LVEF (TTE)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21 - 25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26 - 30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31 - 35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36 - 40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41 - 45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46 - 50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51 - 55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56 - 60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        61 - 65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2 / 40 (5%)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4 / 40 (10%)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2 / 40 (5%)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5 / 40 (12.5%)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9 / 40 (22.5%)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2 / 40 (5%)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5 / 40 (12.5%)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5 / 40 (12.5%)</w:t>
            </w:r>
            <w:r>
              <w:rPr>
                <w:rFonts w:eastAsia="Calibri" w:cs="Calibri"/>
                <w:color w:val="000000"/>
                <w:sz w:val="22"/>
                <w:szCs w:val="22"/>
              </w:rPr>
              <w:br/>
              <w:t>6 / 40 (15%)</w:t>
            </w:r>
          </w:p>
        </w:tc>
      </w:tr>
      <w:tr w:rsidR="009E1FCE" w14:paraId="67C2B485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3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Stroke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6 / 42 (14.3%)</w:t>
            </w:r>
          </w:p>
        </w:tc>
      </w:tr>
      <w:tr w:rsidR="009E1FCE" w14:paraId="67C2B488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6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Atrial Fibrillation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28 / 42 (66.7%)</w:t>
            </w:r>
          </w:p>
        </w:tc>
      </w:tr>
      <w:tr w:rsidR="009E1FCE" w14:paraId="67C2B48B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9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PCI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13 / 42 (31%)</w:t>
            </w:r>
          </w:p>
        </w:tc>
      </w:tr>
      <w:tr w:rsidR="009E1FCE" w14:paraId="67C2B48E" w14:textId="77777777">
        <w:trPr>
          <w:jc w:val="center"/>
        </w:trPr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C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CABG</w:t>
            </w:r>
          </w:p>
        </w:tc>
        <w:tc>
          <w:tcPr>
            <w:tcW w:w="432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12 / 42 (28.6%)</w:t>
            </w:r>
          </w:p>
        </w:tc>
      </w:tr>
      <w:tr w:rsidR="009E1FCE" w14:paraId="67C2B490" w14:textId="77777777">
        <w:trPr>
          <w:jc w:val="center"/>
        </w:trPr>
        <w:tc>
          <w:tcPr>
            <w:tcW w:w="8640" w:type="dxa"/>
            <w:gridSpan w:val="2"/>
            <w:tcBorders>
              <w:top w:val="single" w:sz="8" w:space="0" w:color="666666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8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Continuous variables: Mean ± SD (n); Median (min, max)</w:t>
            </w:r>
          </w:p>
        </w:tc>
      </w:tr>
      <w:tr w:rsidR="009E1FCE" w14:paraId="67C2B492" w14:textId="77777777">
        <w:trPr>
          <w:jc w:val="center"/>
        </w:trPr>
        <w:tc>
          <w:tcPr>
            <w:tcW w:w="8640" w:type="dxa"/>
            <w:gridSpan w:val="2"/>
            <w:tcBorders>
              <w:top w:val="none" w:sz="0" w:space="0" w:color="FFFFFF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Categorical measures: n/Total N (%)</w:t>
            </w:r>
          </w:p>
        </w:tc>
      </w:tr>
      <w:tr w:rsidR="009E1FCE" w14:paraId="67C2B494" w14:textId="77777777">
        <w:trPr>
          <w:jc w:val="center"/>
        </w:trPr>
        <w:tc>
          <w:tcPr>
            <w:tcW w:w="8640" w:type="dxa"/>
            <w:gridSpan w:val="2"/>
            <w:tcBorders>
              <w:top w:val="none" w:sz="0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3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Source: t3_baselinedem.R Extract Date: 28JUL2025 Run Date (Time): 30Jul2025 (16:50)</w:t>
            </w:r>
          </w:p>
        </w:tc>
      </w:tr>
    </w:tbl>
    <w:p w14:paraId="67C2B495" w14:textId="77777777" w:rsidR="009E1FCE" w:rsidRDefault="00B84195">
      <w:pPr>
        <w:pStyle w:val="Heading2"/>
      </w:pPr>
      <w:bookmarkStart w:id="8" w:name="X66e13db40da541737815ad4c4ec1af670e3b3ed"/>
      <w:bookmarkStart w:id="9" w:name="_Toc204786845"/>
      <w:bookmarkEnd w:id="6"/>
      <w:r>
        <w:lastRenderedPageBreak/>
        <w:t>Table 11 CEC Adjudicated Heart Failure Hospitalizations and Non-elective Mitral Valve Reinterventions</w:t>
      </w:r>
      <w:bookmarkEnd w:id="9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440"/>
        <w:gridCol w:w="1440"/>
        <w:gridCol w:w="1440"/>
        <w:gridCol w:w="1440"/>
        <w:gridCol w:w="1440"/>
        <w:gridCol w:w="1440"/>
      </w:tblGrid>
      <w:tr w:rsidR="009E1FCE" w14:paraId="67C2B49A" w14:textId="77777777">
        <w:trPr>
          <w:tblHeader/>
          <w:jc w:val="center"/>
        </w:trPr>
        <w:tc>
          <w:tcPr>
            <w:tcW w:w="2880" w:type="dxa"/>
            <w:vMerge w:val="restart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6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 xml:space="preserve">Early Events </w:t>
            </w: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br/>
              <w:t xml:space="preserve"> (≤ 30 Days)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8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 xml:space="preserve">Late Events </w:t>
            </w: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br/>
            </w: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 xml:space="preserve"> (&gt; 30 Days to 1 Year)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9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Total Events</w:t>
            </w:r>
          </w:p>
        </w:tc>
      </w:tr>
      <w:tr w:rsidR="009E1FCE" w14:paraId="67C2B4A2" w14:textId="77777777">
        <w:trPr>
          <w:tblHeader/>
          <w:jc w:val="center"/>
        </w:trPr>
        <w:tc>
          <w:tcPr>
            <w:tcW w:w="2880" w:type="dxa"/>
            <w:vMerge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B" w14:textId="77777777" w:rsidR="009E1FCE" w:rsidRDefault="009E1F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C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9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Patients</w:t>
            </w:r>
          </w:p>
        </w:tc>
      </w:tr>
      <w:tr w:rsidR="009E1FCE" w14:paraId="67C2B4AA" w14:textId="77777777">
        <w:trPr>
          <w:jc w:val="center"/>
        </w:trPr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3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Heart Failure Hospitalization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5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2/42 (4.8%)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6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9/41 (22.0%)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8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9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10/42 (23.8%)</w:t>
            </w:r>
          </w:p>
        </w:tc>
      </w:tr>
      <w:tr w:rsidR="009E1FCE" w14:paraId="67C2B4B2" w14:textId="77777777">
        <w:trPr>
          <w:jc w:val="center"/>
        </w:trPr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B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Non-elective mitral valve re-intervention, percutaneous or surgical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C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2/42 (4.8%)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A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3/41 (7.3%)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5/42 (11.9%)</w:t>
            </w:r>
          </w:p>
        </w:tc>
      </w:tr>
      <w:tr w:rsidR="009E1FCE" w14:paraId="67C2B4B4" w14:textId="77777777">
        <w:trPr>
          <w:jc w:val="center"/>
        </w:trPr>
        <w:tc>
          <w:tcPr>
            <w:tcW w:w="11520" w:type="dxa"/>
            <w:gridSpan w:val="7"/>
            <w:tcBorders>
              <w:top w:val="single" w:sz="8" w:space="0" w:color="666666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3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Categorical measures (%)</w:t>
            </w:r>
          </w:p>
        </w:tc>
      </w:tr>
      <w:tr w:rsidR="009E1FCE" w14:paraId="67C2B4B6" w14:textId="77777777">
        <w:trPr>
          <w:jc w:val="center"/>
        </w:trPr>
        <w:tc>
          <w:tcPr>
            <w:tcW w:w="11520" w:type="dxa"/>
            <w:gridSpan w:val="7"/>
            <w:tcBorders>
              <w:top w:val="none" w:sz="0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5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Source: t1_enrollmentbysite.R Extract Date: 2025JUL28 Run Date (Time): 30Jul2025 (16:50)</w:t>
            </w:r>
          </w:p>
        </w:tc>
      </w:tr>
      <w:tr w:rsidR="009E1FCE" w14:paraId="67C2B4BB" w14:textId="77777777">
        <w:trPr>
          <w:tblHeader/>
          <w:jc w:val="center"/>
        </w:trPr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Category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8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 xml:space="preserve">Early Events </w:t>
            </w: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br/>
              <w:t xml:space="preserve"> (≤ 30 Days)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9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 xml:space="preserve">Late Events </w:t>
            </w: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br/>
              <w:t xml:space="preserve"> (&gt; 30 Days to 1 Year)</w:t>
            </w:r>
          </w:p>
        </w:tc>
        <w:tc>
          <w:tcPr>
            <w:tcW w:w="2880" w:type="dxa"/>
            <w:gridSpan w:val="2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Total Events</w:t>
            </w:r>
          </w:p>
        </w:tc>
      </w:tr>
      <w:tr w:rsidR="009E1FCE" w14:paraId="67C2B4C3" w14:textId="77777777">
        <w:trPr>
          <w:tblHeader/>
          <w:jc w:val="center"/>
        </w:trPr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C" w14:textId="77777777" w:rsidR="009E1FCE" w:rsidRDefault="009E1F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B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Patients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No. Events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D3D3D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2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b/>
                <w:color w:val="000000"/>
                <w:sz w:val="22"/>
                <w:szCs w:val="22"/>
              </w:rPr>
              <w:t>Patients</w:t>
            </w:r>
          </w:p>
        </w:tc>
      </w:tr>
      <w:tr w:rsidR="009E1FCE" w14:paraId="67C2B4CB" w14:textId="77777777">
        <w:trPr>
          <w:jc w:val="center"/>
        </w:trPr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Heart Failure Hospitalization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5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6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2/42 (4.8%)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7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8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9/41 (22.0%)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9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B3B3B3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A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10/42 (23.8%)</w:t>
            </w:r>
          </w:p>
        </w:tc>
      </w:tr>
      <w:tr w:rsidR="009E1FCE" w14:paraId="67C2B4D3" w14:textId="77777777">
        <w:trPr>
          <w:jc w:val="center"/>
        </w:trPr>
        <w:tc>
          <w:tcPr>
            <w:tcW w:w="288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C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Non-elective mitral valve re-intervention, percutaneous or surgical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D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E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2/42 (4.8%)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CF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D0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3/41 (7.3%)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D1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8" w:space="0" w:color="B3B3B3"/>
              <w:left w:val="single" w:sz="8" w:space="0" w:color="B3B3B3"/>
              <w:bottom w:val="single" w:sz="8" w:space="0" w:color="666666"/>
              <w:right w:val="single" w:sz="8" w:space="0" w:color="B3B3B3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D2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5/42 (11.9%)</w:t>
            </w:r>
          </w:p>
        </w:tc>
      </w:tr>
      <w:tr w:rsidR="009E1FCE" w14:paraId="67C2B4D5" w14:textId="77777777">
        <w:trPr>
          <w:jc w:val="center"/>
        </w:trPr>
        <w:tc>
          <w:tcPr>
            <w:tcW w:w="11520" w:type="dxa"/>
            <w:gridSpan w:val="7"/>
            <w:tcBorders>
              <w:top w:val="single" w:sz="8" w:space="0" w:color="666666"/>
              <w:left w:val="single" w:sz="8" w:space="0" w:color="666666"/>
              <w:bottom w:val="none" w:sz="0" w:space="0" w:color="FFFFFF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D4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Categorical measures (%)</w:t>
            </w:r>
          </w:p>
        </w:tc>
      </w:tr>
      <w:tr w:rsidR="009E1FCE" w14:paraId="67C2B4D7" w14:textId="77777777">
        <w:trPr>
          <w:jc w:val="center"/>
        </w:trPr>
        <w:tc>
          <w:tcPr>
            <w:tcW w:w="11520" w:type="dxa"/>
            <w:gridSpan w:val="7"/>
            <w:tcBorders>
              <w:top w:val="none" w:sz="0" w:space="0" w:color="FFFFFF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2B4D6" w14:textId="77777777" w:rsidR="009E1FCE" w:rsidRDefault="00B8419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eastAsia="Calibri" w:cs="Calibri"/>
                <w:color w:val="000000"/>
                <w:sz w:val="22"/>
                <w:szCs w:val="22"/>
              </w:rPr>
            </w:pPr>
            <w:r>
              <w:rPr>
                <w:rFonts w:eastAsia="Calibri" w:cs="Calibri"/>
                <w:color w:val="000000"/>
                <w:sz w:val="22"/>
                <w:szCs w:val="22"/>
              </w:rPr>
              <w:t>Source: t1_enrollmentbysite.R Extract Date: 2025JUL28 Run Date (Time): 30Jul2025 (16:50)</w:t>
            </w:r>
          </w:p>
        </w:tc>
      </w:tr>
    </w:tbl>
    <w:p w14:paraId="67C2B4D8" w14:textId="77777777" w:rsidR="009E1FCE" w:rsidRDefault="00B84195">
      <w:pPr>
        <w:pStyle w:val="Heading1"/>
      </w:pPr>
      <w:bookmarkStart w:id="10" w:name="figures"/>
      <w:bookmarkStart w:id="11" w:name="_Toc204786846"/>
      <w:bookmarkEnd w:id="8"/>
      <w:bookmarkEnd w:id="0"/>
      <w:r>
        <w:lastRenderedPageBreak/>
        <w:t>Figures</w:t>
      </w:r>
      <w:bookmarkEnd w:id="11"/>
    </w:p>
    <w:p w14:paraId="67C2B4D9" w14:textId="77777777" w:rsidR="009E1FCE" w:rsidRDefault="00B84195">
      <w:pPr>
        <w:pStyle w:val="Heading2"/>
      </w:pPr>
      <w:bookmarkStart w:id="12" w:name="X97a11fb1acbaff8c7d0e2eadd6eb93917eadb58"/>
      <w:bookmarkStart w:id="13" w:name="_Toc204786847"/>
      <w:r>
        <w:t>Figure 1 Linear Graph of Cumulative Enrollment by Month</w:t>
      </w:r>
      <w:bookmarkEnd w:id="13"/>
    </w:p>
    <w:p w14:paraId="67C2B4DA" w14:textId="77777777" w:rsidR="009E1FCE" w:rsidRDefault="00B84195">
      <w:r>
        <w:rPr>
          <w:noProof/>
        </w:rPr>
        <w:drawing>
          <wp:inline distT="0" distB="0" distL="0" distR="0" wp14:anchorId="67C2B4DB" wp14:editId="67C2B4DC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TWIST_EFS_NOV2025_DSMB_files/figure-docx/figure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"/>
    <w:bookmarkEnd w:id="10"/>
    <w:sectPr w:rsidR="009E1FCE" w:rsidSect="006F68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70222E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584409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0C"/>
    <w:rsid w:val="000C2ECA"/>
    <w:rsid w:val="001C3A94"/>
    <w:rsid w:val="001C43B0"/>
    <w:rsid w:val="00286E55"/>
    <w:rsid w:val="005C0EED"/>
    <w:rsid w:val="005F340C"/>
    <w:rsid w:val="00637EAD"/>
    <w:rsid w:val="006F6866"/>
    <w:rsid w:val="00734DD1"/>
    <w:rsid w:val="0078474E"/>
    <w:rsid w:val="007D684F"/>
    <w:rsid w:val="009741BC"/>
    <w:rsid w:val="009E1FCE"/>
    <w:rsid w:val="009F5164"/>
    <w:rsid w:val="00A40F80"/>
    <w:rsid w:val="00A50CA7"/>
    <w:rsid w:val="00B84195"/>
    <w:rsid w:val="00BA674C"/>
    <w:rsid w:val="00CE5847"/>
    <w:rsid w:val="00D6619C"/>
    <w:rsid w:val="00DC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2B409"/>
  <w15:docId w15:val="{356D3FD6-BBD8-4D85-B29C-FAE7CA411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40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2ECA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E55"/>
    <w:pPr>
      <w:keepNext/>
      <w:keepLines/>
      <w:spacing w:before="600" w:after="120"/>
      <w:outlineLvl w:val="1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ECA"/>
    <w:rPr>
      <w:rFonts w:ascii="Calibri" w:eastAsiaTheme="majorEastAsia" w:hAnsi="Calibri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86E55"/>
    <w:rPr>
      <w:rFonts w:ascii="Calibri" w:eastAsiaTheme="majorEastAsia" w:hAnsi="Calibri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40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Title"/>
    <w:next w:val="Normal"/>
    <w:uiPriority w:val="39"/>
    <w:unhideWhenUsed/>
    <w:qFormat/>
    <w:rsid w:val="00A50CA7"/>
    <w:pPr>
      <w:spacing w:before="240" w:after="0" w:line="259" w:lineRule="auto"/>
    </w:pPr>
    <w:rPr>
      <w:rFonts w:ascii="Calibri" w:hAnsi="Calibri"/>
      <w:b/>
      <w:color w:val="000000" w:themeColor="text1"/>
      <w:kern w:val="0"/>
      <w:sz w:val="28"/>
      <w:szCs w:val="32"/>
      <w14:ligatures w14:val="none"/>
    </w:rPr>
  </w:style>
  <w:style w:type="paragraph" w:customStyle="1" w:styleId="SourceCode">
    <w:name w:val="Source Code"/>
    <w:basedOn w:val="Normal"/>
    <w:pPr>
      <w:shd w:val="clear" w:color="auto" w:fill="F1F3F5"/>
      <w:wordWrap w:val="0"/>
    </w:pPr>
  </w:style>
  <w:style w:type="character" w:customStyle="1" w:styleId="KeywordTok">
    <w:name w:val="KeywordTok"/>
    <w:rPr>
      <w:b/>
      <w:color w:val="003B4F"/>
      <w:shd w:val="clear" w:color="auto" w:fill="F1F3F5"/>
    </w:rPr>
  </w:style>
  <w:style w:type="character" w:customStyle="1" w:styleId="DataTypeTok">
    <w:name w:val="DataTypeTok"/>
    <w:rPr>
      <w:color w:val="AD0000"/>
      <w:shd w:val="clear" w:color="auto" w:fill="F1F3F5"/>
    </w:rPr>
  </w:style>
  <w:style w:type="character" w:customStyle="1" w:styleId="DecValTok">
    <w:name w:val="DecValTok"/>
    <w:rPr>
      <w:color w:val="AD0000"/>
      <w:shd w:val="clear" w:color="auto" w:fill="F1F3F5"/>
    </w:rPr>
  </w:style>
  <w:style w:type="character" w:customStyle="1" w:styleId="BaseNTok">
    <w:name w:val="BaseNTok"/>
    <w:rPr>
      <w:color w:val="AD0000"/>
      <w:shd w:val="clear" w:color="auto" w:fill="F1F3F5"/>
    </w:rPr>
  </w:style>
  <w:style w:type="character" w:customStyle="1" w:styleId="FloatTok">
    <w:name w:val="FloatTok"/>
    <w:rPr>
      <w:color w:val="AD0000"/>
      <w:shd w:val="clear" w:color="auto" w:fill="F1F3F5"/>
    </w:rPr>
  </w:style>
  <w:style w:type="character" w:customStyle="1" w:styleId="ConstantTok">
    <w:name w:val="ConstantTok"/>
    <w:rPr>
      <w:color w:val="8F5902"/>
      <w:shd w:val="clear" w:color="auto" w:fill="F1F3F5"/>
    </w:rPr>
  </w:style>
  <w:style w:type="character" w:customStyle="1" w:styleId="CharTok">
    <w:name w:val="CharTok"/>
    <w:rPr>
      <w:color w:val="20794D"/>
      <w:shd w:val="clear" w:color="auto" w:fill="F1F3F5"/>
    </w:rPr>
  </w:style>
  <w:style w:type="character" w:customStyle="1" w:styleId="SpecialCharTok">
    <w:name w:val="SpecialCharTok"/>
    <w:rPr>
      <w:color w:val="5E5E5E"/>
      <w:shd w:val="clear" w:color="auto" w:fill="F1F3F5"/>
    </w:rPr>
  </w:style>
  <w:style w:type="character" w:customStyle="1" w:styleId="StringTok">
    <w:name w:val="StringTok"/>
    <w:rPr>
      <w:color w:val="20794D"/>
      <w:shd w:val="clear" w:color="auto" w:fill="F1F3F5"/>
    </w:rPr>
  </w:style>
  <w:style w:type="character" w:customStyle="1" w:styleId="VerbatimStringTok">
    <w:name w:val="VerbatimStringTok"/>
    <w:rPr>
      <w:color w:val="20794D"/>
      <w:shd w:val="clear" w:color="auto" w:fill="F1F3F5"/>
    </w:rPr>
  </w:style>
  <w:style w:type="character" w:customStyle="1" w:styleId="SpecialStringTok">
    <w:name w:val="SpecialStringTok"/>
    <w:rPr>
      <w:color w:val="20794D"/>
      <w:shd w:val="clear" w:color="auto" w:fill="F1F3F5"/>
    </w:rPr>
  </w:style>
  <w:style w:type="character" w:customStyle="1" w:styleId="ImportTok">
    <w:name w:val="ImportTok"/>
    <w:rPr>
      <w:color w:val="00769E"/>
      <w:shd w:val="clear" w:color="auto" w:fill="F1F3F5"/>
    </w:rPr>
  </w:style>
  <w:style w:type="character" w:customStyle="1" w:styleId="CommentTok">
    <w:name w:val="CommentTok"/>
    <w:rPr>
      <w:color w:val="5E5E5E"/>
      <w:shd w:val="clear" w:color="auto" w:fill="F1F3F5"/>
    </w:rPr>
  </w:style>
  <w:style w:type="character" w:customStyle="1" w:styleId="DocumentationTok">
    <w:name w:val="DocumentationTok"/>
    <w:rPr>
      <w:i/>
      <w:color w:val="5E5E5E"/>
      <w:shd w:val="clear" w:color="auto" w:fill="F1F3F5"/>
    </w:rPr>
  </w:style>
  <w:style w:type="character" w:customStyle="1" w:styleId="AnnotationTok">
    <w:name w:val="AnnotationTok"/>
    <w:rPr>
      <w:color w:val="5E5E5E"/>
      <w:shd w:val="clear" w:color="auto" w:fill="F1F3F5"/>
    </w:rPr>
  </w:style>
  <w:style w:type="character" w:customStyle="1" w:styleId="CommentVarTok">
    <w:name w:val="CommentVarTok"/>
    <w:rPr>
      <w:i/>
      <w:color w:val="5E5E5E"/>
      <w:shd w:val="clear" w:color="auto" w:fill="F1F3F5"/>
    </w:rPr>
  </w:style>
  <w:style w:type="character" w:customStyle="1" w:styleId="OtherTok">
    <w:name w:val="OtherTok"/>
    <w:rPr>
      <w:color w:val="003B4F"/>
      <w:shd w:val="clear" w:color="auto" w:fill="F1F3F5"/>
    </w:rPr>
  </w:style>
  <w:style w:type="character" w:customStyle="1" w:styleId="FunctionTok">
    <w:name w:val="FunctionTok"/>
    <w:rPr>
      <w:color w:val="4758AB"/>
      <w:shd w:val="clear" w:color="auto" w:fill="F1F3F5"/>
    </w:rPr>
  </w:style>
  <w:style w:type="character" w:customStyle="1" w:styleId="VariableTok">
    <w:name w:val="VariableTok"/>
    <w:rPr>
      <w:color w:val="111111"/>
      <w:shd w:val="clear" w:color="auto" w:fill="F1F3F5"/>
    </w:rPr>
  </w:style>
  <w:style w:type="character" w:customStyle="1" w:styleId="ControlFlowTok">
    <w:name w:val="ControlFlowTok"/>
    <w:rPr>
      <w:b/>
      <w:color w:val="003B4F"/>
      <w:shd w:val="clear" w:color="auto" w:fill="F1F3F5"/>
    </w:rPr>
  </w:style>
  <w:style w:type="character" w:customStyle="1" w:styleId="OperatorTok">
    <w:name w:val="OperatorTok"/>
    <w:rPr>
      <w:color w:val="5E5E5E"/>
      <w:shd w:val="clear" w:color="auto" w:fill="F1F3F5"/>
    </w:rPr>
  </w:style>
  <w:style w:type="character" w:customStyle="1" w:styleId="BuiltInTok">
    <w:name w:val="BuiltInTok"/>
    <w:rPr>
      <w:color w:val="003B4F"/>
      <w:shd w:val="clear" w:color="auto" w:fill="F1F3F5"/>
    </w:rPr>
  </w:style>
  <w:style w:type="character" w:customStyle="1" w:styleId="ExtensionTok">
    <w:name w:val="ExtensionTok"/>
    <w:rPr>
      <w:color w:val="003B4F"/>
      <w:shd w:val="clear" w:color="auto" w:fill="F1F3F5"/>
    </w:rPr>
  </w:style>
  <w:style w:type="character" w:customStyle="1" w:styleId="PreprocessorTok">
    <w:name w:val="PreprocessorTok"/>
    <w:rPr>
      <w:color w:val="AD0000"/>
      <w:shd w:val="clear" w:color="auto" w:fill="F1F3F5"/>
    </w:rPr>
  </w:style>
  <w:style w:type="character" w:customStyle="1" w:styleId="AttributeTok">
    <w:name w:val="AttributeTok"/>
    <w:rPr>
      <w:color w:val="657422"/>
      <w:shd w:val="clear" w:color="auto" w:fill="F1F3F5"/>
    </w:rPr>
  </w:style>
  <w:style w:type="character" w:customStyle="1" w:styleId="RegionMarkerTok">
    <w:name w:val="RegionMarkerTok"/>
    <w:rPr>
      <w:color w:val="003B4F"/>
      <w:shd w:val="clear" w:color="auto" w:fill="F1F3F5"/>
    </w:rPr>
  </w:style>
  <w:style w:type="character" w:customStyle="1" w:styleId="InformationTok">
    <w:name w:val="InformationTok"/>
    <w:rPr>
      <w:color w:val="5E5E5E"/>
      <w:shd w:val="clear" w:color="auto" w:fill="F1F3F5"/>
    </w:rPr>
  </w:style>
  <w:style w:type="character" w:customStyle="1" w:styleId="WarningTok">
    <w:name w:val="WarningTok"/>
    <w:rPr>
      <w:i/>
      <w:color w:val="5E5E5E"/>
      <w:shd w:val="clear" w:color="auto" w:fill="F1F3F5"/>
    </w:rPr>
  </w:style>
  <w:style w:type="character" w:customStyle="1" w:styleId="AlertTok">
    <w:name w:val="AlertTok"/>
    <w:rPr>
      <w:color w:val="AD0000"/>
      <w:shd w:val="clear" w:color="auto" w:fill="F1F3F5"/>
    </w:rPr>
  </w:style>
  <w:style w:type="character" w:customStyle="1" w:styleId="ErrorTok">
    <w:name w:val="ErrorTok"/>
    <w:rPr>
      <w:color w:val="AD0000"/>
      <w:shd w:val="clear" w:color="auto" w:fill="F1F3F5"/>
    </w:rPr>
  </w:style>
  <w:style w:type="character" w:customStyle="1" w:styleId="NormalTok">
    <w:name w:val="NormalTok"/>
    <w:rPr>
      <w:color w:val="003B4F"/>
      <w:shd w:val="clear" w:color="auto" w:fill="F1F3F5"/>
    </w:rPr>
  </w:style>
  <w:style w:type="paragraph" w:styleId="TOC1">
    <w:name w:val="toc 1"/>
    <w:basedOn w:val="Normal"/>
    <w:next w:val="Normal"/>
    <w:autoRedefine/>
    <w:uiPriority w:val="39"/>
    <w:unhideWhenUsed/>
    <w:rsid w:val="00B841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419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8419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781</Words>
  <Characters>3997</Characters>
  <Application>Microsoft Office Word</Application>
  <DocSecurity>0</DocSecurity>
  <Lines>249</Lines>
  <Paragraphs>227</Paragraphs>
  <ScaleCrop>false</ScaleCrop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TWIST-EFS DSMB</dc:title>
  <dc:creator/>
  <cp:keywords/>
  <cp:lastModifiedBy>Luke Hall</cp:lastModifiedBy>
  <cp:revision>2</cp:revision>
  <dcterms:created xsi:type="dcterms:W3CDTF">2025-07-30T20:50:00Z</dcterms:created>
  <dcterms:modified xsi:type="dcterms:W3CDTF">2025-07-30T20:53:00Z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Invalid Date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