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TWIST-EFS</w:t>
      </w:r>
      <w:r>
        <w:t xml:space="preserve"> </w:t>
      </w:r>
      <w:r>
        <w:t xml:space="preserve">-</w:t>
      </w:r>
      <w:r>
        <w:t xml:space="preserve"> </w:t>
      </w:r>
      <w:r>
        <w:t xml:space="preserve">TLFs</w:t>
      </w:r>
      <w:r>
        <w:t xml:space="preserve"> </w:t>
      </w:r>
      <w:r>
        <w:t xml:space="preserve">for</w:t>
      </w:r>
      <w:r>
        <w:t xml:space="preserve"> </w:t>
      </w:r>
      <w:r>
        <w:t xml:space="preserve">ROP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b373b8bdc17bdb71e0028ca552d89d2740befc9"/>
    <w:p>
      <w:pPr>
        <w:pStyle w:val="Heading1"/>
      </w:pPr>
      <w:r>
        <w:t xml:space="preserve">Table 2 Patient Disposition &amp; Follow-up Visit Compliance by Interval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 Status at Follow-Up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Months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Year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Eligible for Visit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42/42 (100%)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33/42 (78.6%)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32/42 (76.2%)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20/42 (47.6%)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Completed Within Window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32/42 (76.2%)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27/42 (64.3%)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21/42 (50%)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11/42 (26.2%)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Completed Outside Window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9/42 (21.4%)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3/42 (7.1%)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3/42 (7.1%)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0/42 (0%)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Not Performed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1/42 (2.4%)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12/42 (28.6%)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18/42 (42.9%)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31/42 (73.8%)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[2] Specify the visit window: 30 Days FU window (23-37 days), 6 FU window (166-194 days), 1 year FU window (335-390 days).</w:t>
            </w:r>
          </w:p>
        </w:tc>
      </w:tr>
      <w:tr>
        <w:trPr>
          <w:trHeight w:val="360" w:hRule="auto"/>
        </w:trPr>
        footer3
        <w:tc>
          <w:tcPr>
            <w:gridSpan w:val="5"/>
            <w:tcBorders>
              <w:bottom w:val="none" w:sz="0" w:space="0" w:color="FFFFFF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measures: %</w:t>
            </w:r>
          </w:p>
        </w:tc>
      </w:tr>
      <w:tr>
        <w:trPr>
          <w:trHeight w:val="360" w:hRule="auto"/>
        </w:trPr>
        footer4
        <w:tc>
          <w:tcPr>
            <w:gridSpan w:val="5"/>
            <w:tcBorders>
              <w:bottom w:val="single" w:sz="8" w:space="0" w:color="666666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t1_enrollmentbysite.R Extract Date: 09JUL2025 Run Date (Time): 01Aug2025 (12:07)</w:t>
            </w:r>
          </w:p>
        </w:tc>
      </w:tr>
    </w:tbl>
    <w:bookmarkEnd w:id="20"/>
    <w:bookmarkStart w:id="21" w:name="Xd3c0b1b4b828887460ccda32c1a696e99bb2550"/>
    <w:p>
      <w:pPr>
        <w:pStyle w:val="Heading1"/>
      </w:pPr>
      <w:r>
        <w:t xml:space="preserve">Table 3 Demographics and Baseline Characteristics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Characteristic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± 10.3 (42)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(44, 90)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(kg/m²)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± 6 (42)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 (18.6, 52.7)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at Birth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Male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42 (38.1%)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/ 42 (61.9%)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NYHA Class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Class 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Class III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/ 42 (26.2%)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/ 42 (73.8%)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LVEF (TTE)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21 - 25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26 - 30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31 - 35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36 - 40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41 - 45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46 - 50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51 - 55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56 - 60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61 - 65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40 (5%)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40 (10%)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40 (5%)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40 (12.5%)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40 (22.5%)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40 (5%)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40 (12.5%)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40 (12.5%)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40 (15%)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42 (14.3%)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/ 42 (66.7%)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PCI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42 (31%)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CABG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/ 42 (28.6%)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 variables: Mean ± SD (n); Median (min, max)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measures: n/Total N (%)</w:t>
            </w:r>
          </w:p>
        </w:tc>
      </w:tr>
      <w:tr>
        <w:trPr>
          <w:trHeight w:val="360" w:hRule="auto"/>
        </w:trPr>
        footer3
        <w:tc>
          <w:tcPr>
            <w:gridSpan w:val="2"/>
            <w:tcBorders>
              <w:bottom w:val="single" w:sz="8" w:space="0" w:color="666666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t3_baselinedem.R Extract Date: 28JUL2025 Run Date (Time): 01Aug2025 (12:07)</w:t>
            </w:r>
          </w:p>
        </w:tc>
      </w:tr>
    </w:tbl>
    <w:bookmarkEnd w:id="21"/>
    <w:bookmarkStart w:id="22" w:name="X66e13db40da541737815ad4c4ec1af670e3b3ed"/>
    <w:p>
      <w:pPr>
        <w:pStyle w:val="Heading1"/>
      </w:pPr>
      <w:r>
        <w:t xml:space="preserve">Table 11 CEC Adjudicated Heart Failure Hospitalizations and Non-elective Mitral Valve Reinterventions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>
        <w:trPr>
          <w:trHeight w:val="821" w:hRule="auto"/>
          <w:tblHeader/>
        </w:trPr>
        header1
        <w:tc>
          <w:tcPr>
            <w:vMerge w:val="restart"/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 Events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(≤ 30 Days)</w:t>
            </w:r>
          </w:p>
        </w:tc>
        <w:tc>
          <w:tcPr>
            <w:gridSpan w:val="2"/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 Events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(&gt; 30 Days to 1 Year)</w:t>
            </w:r>
          </w:p>
        </w:tc>
        <w:tc>
          <w:tcPr>
            <w:gridSpan w:val="2"/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Events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Events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Events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Events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Hospitalization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2/42 (4.8%)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9/41 (22.0%)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10/42 (23.8%)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Non-elective mitral valve re-intervention, percutaneous or surgical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2/42 (4.8%)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3/41 (7.3%)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5/42 (11.9%)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measures (%)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single" w:sz="8" w:space="0" w:color="666666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t1_enrollmentbysite.R Extract Date: 2025JUL28 Run Date (Time): 01Aug2025 (12:07)</w:t>
            </w:r>
          </w:p>
        </w:tc>
      </w:tr>
    </w:tbl>
    <w:bookmarkEnd w:id="22"/>
    <w:bookmarkStart w:id="23" w:name="table-13-nyha-class-unpaired-analysis"/>
    <w:p>
      <w:pPr>
        <w:pStyle w:val="Heading1"/>
      </w:pPr>
      <w:r>
        <w:t xml:space="preserve">Table 13 NYHA Class: Unpaired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3"/>
        <w:gridCol w:w="1793"/>
        <w:gridCol w:w="1793"/>
        <w:gridCol w:w="1793"/>
        <w:gridCol w:w="1793"/>
      </w:tblGrid>
      <w:tr>
        <w:trPr>
          <w:trHeight w:val="822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NYHA Class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(N=41)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 Days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(N=41)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Months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(N=30)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Year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(N=24)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9/41 (22.0%)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10/30 (33.3%)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11/24 (45.8%)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II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11/41 (26.8%)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23/41 (56.1%)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14/30 (46.7%)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8/24 (33.3%)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III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30/41 (73.2%)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8/41 (19.5%)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4/30 (13.3%)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3/24 (12.5%)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IV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1/41 ( 2.4%)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2/30 ( 6.7%)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measures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single" w:sz="8" w:space="0" w:color="666666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t1_enrollmentbysite.R Extract Date: 2025JUL28 Run Date (Time): 01Aug2025 (12:07)</w:t>
            </w:r>
          </w:p>
        </w:tc>
      </w:tr>
    </w:tbl>
    <w:bookmarkEnd w:id="23"/>
    <w:sectPr w:rsidR="00BA674C" w:rsidRPr="00BA674C" w:rsidSect="006F6866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C2ECA"/>
    <w:rsid w:val="001C3A94"/>
    <w:rsid w:val="001C43B0"/>
    <w:rsid w:val="00286E55"/>
    <w:rsid w:val="005C0EED"/>
    <w:rsid w:val="005F340C"/>
    <w:rsid w:val="00637EAD"/>
    <w:rsid w:val="006F6866"/>
    <w:rsid w:val="00734DD1"/>
    <w:rsid w:val="0078474E"/>
    <w:rsid w:val="007D684F"/>
    <w:rsid w:val="009741BC"/>
    <w:rsid w:val="009F5164"/>
    <w:rsid w:val="00A40F80"/>
    <w:rsid w:val="00A50CA7"/>
    <w:rsid w:val="00BA674C"/>
    <w:rsid w:val="00CE5847"/>
    <w:rsid w:val="00D6619C"/>
    <w:rsid w:val="00DC174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US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F340C"/>
    <w:rPr>
      <w:rFonts w:ascii="Calibri" w:hAnsi="Calibri"/>
    </w:rPr>
  </w:style>
  <w:style w:styleId="Heading1" w:type="paragraph">
    <w:name w:val="heading 1"/>
    <w:basedOn w:val="Normal"/>
    <w:next w:val="Normal"/>
    <w:link w:val="Heading1Char"/>
    <w:uiPriority w:val="9"/>
    <w:qFormat/>
    <w:rsid w:val="000C2ECA"/>
    <w:pPr>
      <w:keepNext/>
      <w:keepLines/>
      <w:spacing w:after="80" w:before="360"/>
      <w:outlineLvl w:val="0"/>
    </w:pPr>
    <w:rPr>
      <w:rFonts w:cstheme="majorBidi" w:eastAsiaTheme="majorEastAsia"/>
      <w:b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86E55"/>
    <w:pPr>
      <w:keepNext/>
      <w:keepLines/>
      <w:spacing w:after="120" w:before="600"/>
      <w:outlineLvl w:val="1"/>
    </w:pPr>
    <w:rPr>
      <w:rFonts w:cstheme="majorBidi" w:eastAsiaTheme="majorEastAsia"/>
      <w:b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C2ECA"/>
    <w:rPr>
      <w:rFonts w:ascii="Calibri" w:cstheme="majorBidi" w:eastAsiaTheme="majorEastAsia" w:hAnsi="Calibri"/>
      <w:b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86E55"/>
    <w:rPr>
      <w:rFonts w:ascii="Calibri" w:cstheme="majorBidi" w:eastAsiaTheme="majorEastAsia" w:hAnsi="Calibri"/>
      <w:b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5F340C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F340C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5F340C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5F340C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5F340C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5F340C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5F340C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5F340C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F340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5F340C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5F340C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5F340C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5F340C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5F340C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F340C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F340C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5F340C"/>
    <w:rPr>
      <w:b/>
      <w:bCs/>
      <w:smallCaps/>
      <w:color w:themeColor="accent1" w:themeShade="BF" w:val="0F4761"/>
      <w:spacing w:val="5"/>
    </w:rPr>
  </w:style>
  <w:style w:styleId="TOCHeading" w:type="paragraph">
    <w:name w:val="TOC Heading"/>
    <w:basedOn w:val="Title"/>
    <w:next w:val="Normal"/>
    <w:uiPriority w:val="39"/>
    <w:unhideWhenUsed/>
    <w:qFormat/>
    <w:rsid w:val="00A50CA7"/>
    <w:pPr>
      <w:spacing w:after="0" w:before="240" w:line="259" w:lineRule="auto"/>
    </w:pPr>
    <w:rPr>
      <w:rFonts w:ascii="Calibri" w:hAnsi="Calibri"/>
      <w:b/>
      <w:color w:themeColor="text1" w:val="000000"/>
      <w:kern w:val="0"/>
      <w:sz w:val="28"/>
      <w:szCs w:val="32"/>
      <w14:ligatures w14:val="non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70</Characters>
  <Application>Microsoft Office Word</Application>
  <DocSecurity>0</DocSecurity>
  <Lines>4</Lines>
  <Paragraphs>3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TWIST-EFS - TLFs for ROP</dc:title>
  <dc:creator/>
  <cp:keywords/>
  <dcterms:created xsi:type="dcterms:W3CDTF">2025-08-01T16:07:03Z</dcterms:created>
  <dcterms:modified xsi:type="dcterms:W3CDTF">2025-08-01T16:07:03Z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Invalid Date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