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D65E66">
        <w:trPr>
          <w:trHeight w:val="69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D65E66">
        <w:trPr>
          <w:trHeight w:val="143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D65E66">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sidR="00D65E66">
              <w:rPr>
                <w:rFonts w:ascii="Calibri" w:eastAsia="Times New Roman" w:hAnsi="Calibri" w:cs="Calibri"/>
                <w:color w:val="000000"/>
                <w:sz w:val="24"/>
                <w:szCs w:val="24"/>
                <w:lang w:eastAsia="es-PE"/>
              </w:rPr>
              <w:t>utrientes</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lastRenderedPageBreak/>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F67ABF" w:rsidRDefault="00F67ABF"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F67ABF" w:rsidRDefault="00F67ABF"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F67ABF" w:rsidRDefault="00F67ABF"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F67ABF" w:rsidRDefault="00F67ABF"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F67ABF" w:rsidRDefault="00F67ABF"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F67ABF" w:rsidRDefault="00F67ABF"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8C7AFC" w:rsidP="00BC519A">
      <w:pPr>
        <w:spacing w:line="276" w:lineRule="auto"/>
        <w:jc w:val="center"/>
        <w:rPr>
          <w:sz w:val="24"/>
          <w:szCs w:val="24"/>
        </w:rPr>
      </w:pPr>
      <w:r>
        <w:rPr>
          <w:noProof/>
          <w:sz w:val="24"/>
          <w:szCs w:val="24"/>
          <w:lang w:eastAsia="es-PE"/>
        </w:rPr>
        <w:lastRenderedPageBreak/>
        <w:drawing>
          <wp:inline distT="0" distB="0" distL="0" distR="0" wp14:anchorId="40EDFF5D">
            <wp:extent cx="8189343" cy="496252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750"/>
                    <a:stretch/>
                  </pic:blipFill>
                  <pic:spPr bwMode="auto">
                    <a:xfrm>
                      <a:off x="0" y="0"/>
                      <a:ext cx="8189343" cy="4962525"/>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455E74" w:rsidRPr="00455E74" w:rsidTr="00203114">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w:t>
      </w:r>
      <w:r w:rsidR="006A7F3B">
        <w:t>o</w:t>
      </w:r>
      <w:r w:rsidR="005F526D">
        <w:t xml:space="preserve"> bajo de primer orden</w:t>
      </w:r>
      <w:r>
        <w:t xml:space="preserve"> es</w:t>
      </w:r>
      <w:r w:rsidR="005F526D">
        <w:t>:</w:t>
      </w:r>
    </w:p>
    <w:p w:rsidR="00E0724B" w:rsidRPr="00BC519A" w:rsidRDefault="00F67ABF"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para evitar señales atrasadas</w:t>
      </w:r>
      <w:r>
        <w:t>:</w:t>
      </w:r>
    </w:p>
    <w:p w:rsidR="00B01CDB" w:rsidRPr="00BC519A" w:rsidRDefault="00F67ABF"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la ecuación de la señal en tiempo discreto queda:</w:t>
      </w:r>
    </w:p>
    <w:p w:rsidR="00BC519A"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rsidR="00E9378D">
        <w:t xml:space="preserve"> </w:t>
      </w:r>
      <w:r w:rsidR="00484018">
        <w:t>queda</w:t>
      </w:r>
      <w:r>
        <w:t>:</w:t>
      </w:r>
    </w:p>
    <w:p w:rsidR="00E0724B"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lastRenderedPageBreak/>
        <w:drawing>
          <wp:inline distT="0" distB="0" distL="0" distR="0" wp14:anchorId="2CE2FB34" wp14:editId="4FA51D39">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5C5F60" w:rsidRDefault="00AE15D5" w:rsidP="00846B54">
      <w:pPr>
        <w:spacing w:after="0" w:line="276" w:lineRule="auto"/>
        <w:jc w:val="both"/>
      </w:pPr>
      <w:r>
        <w:lastRenderedPageBreak/>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bookmarkStart w:id="31" w:name="_GoBack"/>
      <w:bookmarkEnd w:id="31"/>
      <w:r>
        <w:t>.</w:t>
      </w:r>
      <w:r w:rsidR="00207984">
        <w:t xml:space="preserve"> </w:t>
      </w:r>
      <w:r w:rsidR="00207984">
        <w:t>La estructura de archivos del módu</w:t>
      </w:r>
      <w:r w:rsidR="00207984">
        <w:t xml:space="preserve">lo MQTT </w:t>
      </w:r>
      <w:r w:rsidR="00207984">
        <w:t>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1E46A412" wp14:editId="1711184A">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Gestiona distintos eventos (mensajes) entre el servidor MQTT y los clientes (Entidades Plant)</w:t>
            </w:r>
            <w:r w:rsidRPr="00207984">
              <w:rPr>
                <w:rFonts w:ascii="Calibri" w:eastAsia="Times New Roman" w:hAnsi="Calibri" w:cs="Calibri"/>
                <w:color w:val="000000"/>
                <w:lang w:eastAsia="es-PE"/>
              </w:rPr>
              <w:br/>
            </w:r>
            <w:r w:rsidRPr="00207984">
              <w:rPr>
                <w:rFonts w:ascii="Calibri" w:eastAsia="Times New Roman" w:hAnsi="Calibri" w:cs="Calibri"/>
                <w:b/>
                <w:color w:val="000000"/>
                <w:lang w:eastAsia="es-PE"/>
              </w:rPr>
              <w:t>Eventos:</w:t>
            </w:r>
            <w:r w:rsidRPr="00207984">
              <w:rPr>
                <w:rFonts w:ascii="Calibri" w:eastAsia="Times New Roman" w:hAnsi="Calibri" w:cs="Calibri"/>
                <w:color w:val="000000"/>
                <w:lang w:eastAsia="es-PE"/>
              </w:rPr>
              <w:br/>
              <w:t>'ready': Conexión a la base de datos cuando el servidor está listo, obteniendo las entidades Plant y Tag</w:t>
            </w:r>
            <w:r w:rsidRPr="00207984">
              <w:rPr>
                <w:rFonts w:ascii="Calibri" w:eastAsia="Times New Roman" w:hAnsi="Calibri" w:cs="Calibri"/>
                <w:color w:val="000000"/>
                <w:lang w:eastAsia="es-PE"/>
              </w:rPr>
              <w:br/>
              <w:t>'clientConnected': Guarda el Id de la entidad Plant.</w:t>
            </w:r>
            <w:r w:rsidRPr="00207984">
              <w:rPr>
                <w:rFonts w:ascii="Calibri" w:eastAsia="Times New Roman" w:hAnsi="Calibri" w:cs="Calibri"/>
                <w:color w:val="000000"/>
                <w:lang w:eastAsia="es-PE"/>
              </w:rPr>
              <w:br/>
              <w:t>'clientDisconnected': Excluye de la lista a la entidad Plant.</w:t>
            </w:r>
            <w:r w:rsidRPr="00207984">
              <w:rPr>
                <w:rFonts w:ascii="Calibri" w:eastAsia="Times New Roman" w:hAnsi="Calibri" w:cs="Calibri"/>
                <w:color w:val="000000"/>
                <w:lang w:eastAsia="es-PE"/>
              </w:rPr>
              <w:br/>
              <w:t>'agent/disconnected': Permite hacer debug</w:t>
            </w:r>
            <w:r w:rsidRPr="00207984">
              <w:rPr>
                <w:rFonts w:ascii="Calibri" w:eastAsia="Times New Roman" w:hAnsi="Calibri" w:cs="Calibri"/>
                <w:color w:val="000000"/>
                <w:lang w:eastAsia="es-PE"/>
              </w:rPr>
              <w:br/>
              <w:t>'published': Gestiona los eventos agent/disconnected y agent/message</w:t>
            </w:r>
            <w:r w:rsidRPr="00207984">
              <w:rPr>
                <w:rFonts w:ascii="Calibri" w:eastAsia="Times New Roman" w:hAnsi="Calibri" w:cs="Calibri"/>
                <w:color w:val="000000"/>
                <w:lang w:eastAsia="es-PE"/>
              </w:rPr>
              <w:br/>
              <w:t>'agent/message':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207984" w:rsidRDefault="00207984" w:rsidP="00207984">
      <w:pPr>
        <w:spacing w:after="0" w:line="276" w:lineRule="auto"/>
      </w:pPr>
      <w:r>
        <w:t>El código completo se puede encontrar en los anexos.</w:t>
      </w:r>
    </w:p>
    <w:p w:rsidR="009D41C7" w:rsidRDefault="009D41C7" w:rsidP="00846B54">
      <w:pPr>
        <w:spacing w:after="0" w:line="276" w:lineRule="auto"/>
        <w:jc w:val="both"/>
      </w:pPr>
    </w:p>
    <w:p w:rsidR="00D62E06" w:rsidRDefault="00D62E06" w:rsidP="00846B54">
      <w:pPr>
        <w:spacing w:after="0" w:line="276" w:lineRule="auto"/>
        <w:jc w:val="both"/>
      </w:pP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0C9" w:rsidRDefault="00D870C9" w:rsidP="007A6B91">
      <w:pPr>
        <w:spacing w:after="0" w:line="240" w:lineRule="auto"/>
      </w:pPr>
      <w:r>
        <w:separator/>
      </w:r>
    </w:p>
  </w:endnote>
  <w:endnote w:type="continuationSeparator" w:id="0">
    <w:p w:rsidR="00D870C9" w:rsidRDefault="00D870C9"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0C9" w:rsidRDefault="00D870C9" w:rsidP="007A6B91">
      <w:pPr>
        <w:spacing w:after="0" w:line="240" w:lineRule="auto"/>
      </w:pPr>
      <w:r>
        <w:separator/>
      </w:r>
    </w:p>
  </w:footnote>
  <w:footnote w:type="continuationSeparator" w:id="0">
    <w:p w:rsidR="00D870C9" w:rsidRDefault="00D870C9"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7251"/>
    <w:rsid w:val="00097CF1"/>
    <w:rsid w:val="000D60BC"/>
    <w:rsid w:val="000F7650"/>
    <w:rsid w:val="00100530"/>
    <w:rsid w:val="00100C65"/>
    <w:rsid w:val="00113BB0"/>
    <w:rsid w:val="0012547C"/>
    <w:rsid w:val="001508BE"/>
    <w:rsid w:val="00151C27"/>
    <w:rsid w:val="00151DCE"/>
    <w:rsid w:val="00151FD3"/>
    <w:rsid w:val="00161F4D"/>
    <w:rsid w:val="00180990"/>
    <w:rsid w:val="00184332"/>
    <w:rsid w:val="00196A9C"/>
    <w:rsid w:val="001A3590"/>
    <w:rsid w:val="001B234C"/>
    <w:rsid w:val="001E007A"/>
    <w:rsid w:val="001E310B"/>
    <w:rsid w:val="00203114"/>
    <w:rsid w:val="00207984"/>
    <w:rsid w:val="00212979"/>
    <w:rsid w:val="00214E39"/>
    <w:rsid w:val="00215949"/>
    <w:rsid w:val="00224CC7"/>
    <w:rsid w:val="00232426"/>
    <w:rsid w:val="0023306C"/>
    <w:rsid w:val="00240A33"/>
    <w:rsid w:val="002511D4"/>
    <w:rsid w:val="0025462E"/>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43A93"/>
    <w:rsid w:val="00353D7D"/>
    <w:rsid w:val="00356ECB"/>
    <w:rsid w:val="00363754"/>
    <w:rsid w:val="00363B77"/>
    <w:rsid w:val="00367CBA"/>
    <w:rsid w:val="0037485D"/>
    <w:rsid w:val="003822D1"/>
    <w:rsid w:val="003834EA"/>
    <w:rsid w:val="003871EC"/>
    <w:rsid w:val="00394017"/>
    <w:rsid w:val="003A0983"/>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5F60"/>
    <w:rsid w:val="005C76F9"/>
    <w:rsid w:val="005F526D"/>
    <w:rsid w:val="005F5C06"/>
    <w:rsid w:val="006027E1"/>
    <w:rsid w:val="006075EA"/>
    <w:rsid w:val="0062487F"/>
    <w:rsid w:val="00632C03"/>
    <w:rsid w:val="006505B3"/>
    <w:rsid w:val="0065131C"/>
    <w:rsid w:val="0066086E"/>
    <w:rsid w:val="00664849"/>
    <w:rsid w:val="00665C04"/>
    <w:rsid w:val="00673104"/>
    <w:rsid w:val="00676C50"/>
    <w:rsid w:val="00685822"/>
    <w:rsid w:val="00690716"/>
    <w:rsid w:val="006A396A"/>
    <w:rsid w:val="006A7F3B"/>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803DBD"/>
    <w:rsid w:val="00817175"/>
    <w:rsid w:val="00822914"/>
    <w:rsid w:val="00823E90"/>
    <w:rsid w:val="00831156"/>
    <w:rsid w:val="008402AE"/>
    <w:rsid w:val="00842159"/>
    <w:rsid w:val="00846B54"/>
    <w:rsid w:val="008477A8"/>
    <w:rsid w:val="0085192A"/>
    <w:rsid w:val="008631E8"/>
    <w:rsid w:val="008652BA"/>
    <w:rsid w:val="008673BA"/>
    <w:rsid w:val="00874A21"/>
    <w:rsid w:val="00881F21"/>
    <w:rsid w:val="008C7AFC"/>
    <w:rsid w:val="008F039D"/>
    <w:rsid w:val="008F0E40"/>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557B"/>
    <w:rsid w:val="0099780B"/>
    <w:rsid w:val="00997893"/>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5B2D"/>
    <w:rsid w:val="00A561A5"/>
    <w:rsid w:val="00A57268"/>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D7B"/>
    <w:rsid w:val="00AC1ECD"/>
    <w:rsid w:val="00AE15D5"/>
    <w:rsid w:val="00AE609A"/>
    <w:rsid w:val="00B01CDB"/>
    <w:rsid w:val="00B020DB"/>
    <w:rsid w:val="00B02A11"/>
    <w:rsid w:val="00B041B3"/>
    <w:rsid w:val="00B06F51"/>
    <w:rsid w:val="00B137AF"/>
    <w:rsid w:val="00B26307"/>
    <w:rsid w:val="00B51F8C"/>
    <w:rsid w:val="00B801E6"/>
    <w:rsid w:val="00B90C4F"/>
    <w:rsid w:val="00BA3B59"/>
    <w:rsid w:val="00BC519A"/>
    <w:rsid w:val="00BD5DC9"/>
    <w:rsid w:val="00C30395"/>
    <w:rsid w:val="00C50C03"/>
    <w:rsid w:val="00C51183"/>
    <w:rsid w:val="00C51C03"/>
    <w:rsid w:val="00C85E7E"/>
    <w:rsid w:val="00C86CD3"/>
    <w:rsid w:val="00C94A14"/>
    <w:rsid w:val="00C95F55"/>
    <w:rsid w:val="00CA0540"/>
    <w:rsid w:val="00CB2F14"/>
    <w:rsid w:val="00CD005C"/>
    <w:rsid w:val="00CD15F2"/>
    <w:rsid w:val="00CF0D4A"/>
    <w:rsid w:val="00D16925"/>
    <w:rsid w:val="00D27DD5"/>
    <w:rsid w:val="00D36CEE"/>
    <w:rsid w:val="00D371F2"/>
    <w:rsid w:val="00D43584"/>
    <w:rsid w:val="00D47D68"/>
    <w:rsid w:val="00D534F6"/>
    <w:rsid w:val="00D62E06"/>
    <w:rsid w:val="00D64A76"/>
    <w:rsid w:val="00D65E66"/>
    <w:rsid w:val="00D8086B"/>
    <w:rsid w:val="00D83894"/>
    <w:rsid w:val="00D84BA0"/>
    <w:rsid w:val="00D863BC"/>
    <w:rsid w:val="00D870C9"/>
    <w:rsid w:val="00D9093C"/>
    <w:rsid w:val="00D91E95"/>
    <w:rsid w:val="00DA3F34"/>
    <w:rsid w:val="00DA722B"/>
    <w:rsid w:val="00DA7B4B"/>
    <w:rsid w:val="00DC1747"/>
    <w:rsid w:val="00DD59B5"/>
    <w:rsid w:val="00DD5A03"/>
    <w:rsid w:val="00DF21A8"/>
    <w:rsid w:val="00E0724B"/>
    <w:rsid w:val="00E16579"/>
    <w:rsid w:val="00E22837"/>
    <w:rsid w:val="00E40A4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67ABF"/>
    <w:rsid w:val="00F74E84"/>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4CFD"/>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2FA6782A-2552-44EB-906A-73E895ECA089}" type="presOf" srcId="{2B8D6FFE-D774-4BA2-9D8D-211A742F2500}" destId="{53CA0FE3-6D9F-4BE6-8968-EF5F2970B01B}"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2A6B4BCE-2C6B-403A-A690-CF680702252A}" type="presOf" srcId="{D52D74A9-11F5-461E-A83D-CF9AC05BD957}" destId="{4704D582-8770-4885-8EE7-36793A58451A}" srcOrd="0" destOrd="0" presId="urn:microsoft.com/office/officeart/2005/8/layout/hierarchy1"/>
    <dgm:cxn modelId="{E0B92FE0-CCCF-4ECC-955D-AFCDBBCAC291}" srcId="{6008ECDF-7D0B-4190-AE3D-F00BDC72F4D2}" destId="{D52D74A9-11F5-461E-A83D-CF9AC05BD957}" srcOrd="1" destOrd="0" parTransId="{E25EFD57-BD74-4670-B07F-14EEF276BBCA}" sibTransId="{7103E723-1F8D-487D-89D4-40E1F7D445A6}"/>
    <dgm:cxn modelId="{0C095FC1-EABE-4524-8DB8-9DDEF20AB933}" srcId="{6008ECDF-7D0B-4190-AE3D-F00BDC72F4D2}" destId="{3959EB27-CCEE-41E6-87FB-542528B57439}" srcOrd="0" destOrd="0" parTransId="{8DAAB8B2-E8DD-4B01-BA2B-E0B7A0BFBA71}" sibTransId="{74343386-857A-49D3-8ED2-F9649A378FBE}"/>
    <dgm:cxn modelId="{C94BEF8A-2635-4C37-A0E0-57A2797ECF0D}" srcId="{0D0E576D-60CD-4339-A7AC-885ED306BCF6}" destId="{6008ECDF-7D0B-4190-AE3D-F00BDC72F4D2}" srcOrd="0" destOrd="0" parTransId="{16BC49B4-4CE9-47CD-8E54-1B5696B93E13}" sibTransId="{68C96FA5-D403-4DE6-B7A0-57C6E441F9F9}"/>
    <dgm:cxn modelId="{55F16EB5-7BD3-470F-9520-50666C37BF7E}" srcId="{0D0E576D-60CD-4339-A7AC-885ED306BCF6}" destId="{2B8D6FFE-D774-4BA2-9D8D-211A742F2500}" srcOrd="1" destOrd="0" parTransId="{52FBC572-B449-4BE2-BA28-E1EDF0939609}" sibTransId="{4256BA6B-D866-4F5B-939F-6DD246A12E6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413CE-9693-4B1B-B441-4714CA971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9591</TotalTime>
  <Pages>31</Pages>
  <Words>5616</Words>
  <Characters>30889</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28</cp:revision>
  <dcterms:created xsi:type="dcterms:W3CDTF">2018-06-26T03:28:00Z</dcterms:created>
  <dcterms:modified xsi:type="dcterms:W3CDTF">2018-08-04T04:43:00Z</dcterms:modified>
</cp:coreProperties>
</file>