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C4F5F" w14:textId="0B46E43D" w:rsidR="0091046D" w:rsidRDefault="00B02F77">
      <w:pPr>
        <w:jc w:val="center"/>
        <w:rPr>
          <w:rFonts w:ascii="Merriweather" w:eastAsia="Merriweather" w:hAnsi="Merriweather" w:cs="Merriweather"/>
          <w:b/>
          <w:sz w:val="48"/>
          <w:szCs w:val="48"/>
        </w:rPr>
      </w:pPr>
      <w:r>
        <w:rPr>
          <w:rFonts w:ascii="Merriweather" w:eastAsia="Merriweather" w:hAnsi="Merriweather" w:cs="Merriweather"/>
          <w:b/>
          <w:sz w:val="48"/>
          <w:szCs w:val="48"/>
        </w:rPr>
        <w:t>RamSync Investment Analysis</w:t>
      </w:r>
    </w:p>
    <w:p w14:paraId="730DAD2D" w14:textId="77777777" w:rsidR="0091046D" w:rsidRDefault="000C0B51">
      <w:pPr>
        <w:jc w:val="center"/>
        <w:rPr>
          <w:sz w:val="24"/>
          <w:szCs w:val="24"/>
        </w:rPr>
      </w:pPr>
      <w:r>
        <w:rPr>
          <w:sz w:val="24"/>
          <w:szCs w:val="24"/>
        </w:rPr>
        <w:t>Jacob Baron, Ben Hoffman, Lucas Lantis, Reid Zuerlein</w:t>
      </w:r>
    </w:p>
    <w:p w14:paraId="6EB983FE" w14:textId="77777777" w:rsidR="0091046D" w:rsidRDefault="00FD688C">
      <w:pPr>
        <w:jc w:val="center"/>
        <w:rPr>
          <w:sz w:val="24"/>
          <w:szCs w:val="24"/>
        </w:rPr>
      </w:pPr>
      <w:r>
        <w:pict w14:anchorId="396965D3">
          <v:rect id="_x0000_i1025" style="width:0;height:1.5pt" o:hralign="center" o:hrstd="t" o:hr="t" fillcolor="#a0a0a0" stroked="f"/>
        </w:pict>
      </w:r>
    </w:p>
    <w:p w14:paraId="5E09A6BA" w14:textId="77777777" w:rsidR="0091046D" w:rsidRDefault="0091046D">
      <w:pPr>
        <w:jc w:val="center"/>
        <w:rPr>
          <w:rFonts w:ascii="Merriweather" w:eastAsia="Merriweather" w:hAnsi="Merriweather" w:cs="Merriweather"/>
          <w:b/>
          <w:sz w:val="24"/>
          <w:szCs w:val="24"/>
        </w:rPr>
      </w:pPr>
    </w:p>
    <w:p w14:paraId="04D7D342" w14:textId="19608478" w:rsidR="0091046D" w:rsidRDefault="00B02F77" w:rsidP="00B02F77">
      <w:pPr>
        <w:jc w:val="center"/>
        <w:rPr>
          <w:sz w:val="28"/>
          <w:szCs w:val="28"/>
        </w:rPr>
      </w:pPr>
      <w:r>
        <w:rPr>
          <w:rFonts w:ascii="Merriweather" w:eastAsia="Merriweather" w:hAnsi="Merriweather" w:cs="Merriweather"/>
          <w:b/>
          <w:sz w:val="28"/>
          <w:szCs w:val="28"/>
        </w:rPr>
        <w:t xml:space="preserve">Overview of Financial Options </w:t>
      </w:r>
    </w:p>
    <w:p w14:paraId="7F247898" w14:textId="1FA27D35" w:rsidR="009D1798" w:rsidRDefault="000E7E73" w:rsidP="00F03181">
      <w:pPr>
        <w:rPr>
          <w:sz w:val="24"/>
          <w:szCs w:val="28"/>
        </w:rPr>
      </w:pPr>
      <w:r>
        <w:rPr>
          <w:sz w:val="24"/>
          <w:szCs w:val="28"/>
        </w:rPr>
        <w:tab/>
        <w:t xml:space="preserve">A financial option is a contract which grants one party the right to either purchase or sell </w:t>
      </w:r>
      <w:r w:rsidR="007D414C">
        <w:rPr>
          <w:sz w:val="24"/>
          <w:szCs w:val="28"/>
        </w:rPr>
        <w:t>an asset</w:t>
      </w:r>
      <w:r>
        <w:rPr>
          <w:sz w:val="24"/>
          <w:szCs w:val="28"/>
        </w:rPr>
        <w:t xml:space="preserve"> within the agreed upon timespan and</w:t>
      </w:r>
      <w:r w:rsidR="00792495">
        <w:rPr>
          <w:sz w:val="24"/>
          <w:szCs w:val="28"/>
        </w:rPr>
        <w:t xml:space="preserve"> at the</w:t>
      </w:r>
      <w:r>
        <w:rPr>
          <w:sz w:val="24"/>
          <w:szCs w:val="28"/>
        </w:rPr>
        <w:t xml:space="preserve"> price </w:t>
      </w:r>
      <w:r w:rsidR="007D414C">
        <w:rPr>
          <w:sz w:val="24"/>
          <w:szCs w:val="28"/>
        </w:rPr>
        <w:t>in the contract</w:t>
      </w:r>
      <w:r>
        <w:rPr>
          <w:sz w:val="24"/>
          <w:szCs w:val="28"/>
        </w:rPr>
        <w:t xml:space="preserve">. The asset being exchanged can vary depending on the contract and ranges from commodities to currency and ownership shares. In </w:t>
      </w:r>
      <w:r w:rsidR="007D414C">
        <w:rPr>
          <w:sz w:val="24"/>
          <w:szCs w:val="28"/>
        </w:rPr>
        <w:t>a</w:t>
      </w:r>
      <w:r>
        <w:rPr>
          <w:sz w:val="24"/>
          <w:szCs w:val="28"/>
        </w:rPr>
        <w:t xml:space="preserve"> typical call option, the party purchasing the long position has a right, but not an obligation, to purchase 100 shares of stock at the agreed upon exercise price at any point during the options lifespan. Profit is made </w:t>
      </w:r>
      <w:r w:rsidR="007D414C">
        <w:rPr>
          <w:sz w:val="24"/>
          <w:szCs w:val="28"/>
        </w:rPr>
        <w:t xml:space="preserve">if the stock’s price appreciates because the party maintaining the long position can exercise their option and purchase shares at the exercise price before reselling at the higher market valuation. Contrarily, put options give the buyer the right to sell an asset at a certain price, and profits grow as the asset’s market price depreciates. </w:t>
      </w:r>
    </w:p>
    <w:p w14:paraId="71043D1C" w14:textId="77777777" w:rsidR="00F03181" w:rsidRDefault="00F03181" w:rsidP="00F03181">
      <w:pPr>
        <w:ind w:firstLine="720"/>
        <w:rPr>
          <w:sz w:val="24"/>
          <w:szCs w:val="28"/>
        </w:rPr>
      </w:pPr>
    </w:p>
    <w:p w14:paraId="76B3989C" w14:textId="36A19CAC" w:rsidR="001008E9" w:rsidRDefault="007D414C" w:rsidP="00F03181">
      <w:pPr>
        <w:ind w:firstLine="720"/>
        <w:rPr>
          <w:sz w:val="24"/>
          <w:szCs w:val="28"/>
        </w:rPr>
      </w:pPr>
      <w:r>
        <w:rPr>
          <w:sz w:val="24"/>
          <w:szCs w:val="28"/>
        </w:rPr>
        <w:t>The stock’s price, the option’s exercise price, time to maturity, price volatility</w:t>
      </w:r>
      <w:r w:rsidR="001677CC">
        <w:rPr>
          <w:sz w:val="24"/>
          <w:szCs w:val="28"/>
        </w:rPr>
        <w:t>, and interest rates</w:t>
      </w:r>
      <w:r>
        <w:rPr>
          <w:sz w:val="24"/>
          <w:szCs w:val="28"/>
        </w:rPr>
        <w:t xml:space="preserve"> all effect an option’s call price which is the premium investors pay to enter into </w:t>
      </w:r>
      <w:r w:rsidR="009D1798">
        <w:rPr>
          <w:sz w:val="24"/>
          <w:szCs w:val="28"/>
        </w:rPr>
        <w:t>an</w:t>
      </w:r>
      <w:r>
        <w:rPr>
          <w:sz w:val="24"/>
          <w:szCs w:val="28"/>
        </w:rPr>
        <w:t xml:space="preserve"> option contract. </w:t>
      </w:r>
      <w:r w:rsidR="009D1798">
        <w:rPr>
          <w:sz w:val="24"/>
          <w:szCs w:val="28"/>
        </w:rPr>
        <w:t xml:space="preserve">This is relevant, because option holders can sell their position for </w:t>
      </w:r>
      <w:r w:rsidR="00A3478D">
        <w:rPr>
          <w:sz w:val="24"/>
          <w:szCs w:val="28"/>
        </w:rPr>
        <w:t>profit</w:t>
      </w:r>
      <w:r w:rsidR="00576813">
        <w:rPr>
          <w:sz w:val="24"/>
          <w:szCs w:val="28"/>
        </w:rPr>
        <w:t xml:space="preserve"> based on the value of the call option within itself. </w:t>
      </w:r>
      <w:r w:rsidR="00A3478D">
        <w:rPr>
          <w:sz w:val="24"/>
          <w:szCs w:val="28"/>
        </w:rPr>
        <w:t>If the stock price of the underlying asset increases, the contract will gain in value as it is closer to a profitable position. This same effect is seen negatively when the stock price decreases.</w:t>
      </w:r>
      <w:r w:rsidR="005E1D63">
        <w:rPr>
          <w:sz w:val="24"/>
          <w:szCs w:val="28"/>
        </w:rPr>
        <w:t xml:space="preserve"> Price volatility is another factor in call price. A stock price with a historically unstable price is going to demand a higher premium as investors foresee more price fluctuations. Lastly, a longer time to maturity for an option contract will command a higher option premium. This is because a 6-month option contract will have twice as much time to land in the money compared to a 3-month contract. </w:t>
      </w:r>
      <w:r w:rsidR="001008E9">
        <w:rPr>
          <w:sz w:val="24"/>
          <w:szCs w:val="28"/>
        </w:rPr>
        <w:t>By examining the RamSync investment like a financial option, we built a Black-Scholes pricing model to demonstrate the impact these variables have on option price when changing (</w:t>
      </w:r>
      <w:r w:rsidR="001008E9" w:rsidRPr="001008E9">
        <w:rPr>
          <w:i/>
          <w:sz w:val="24"/>
          <w:szCs w:val="28"/>
        </w:rPr>
        <w:t>Excel - Exhibit A</w:t>
      </w:r>
      <w:r w:rsidR="001008E9">
        <w:rPr>
          <w:sz w:val="24"/>
          <w:szCs w:val="28"/>
        </w:rPr>
        <w:t>).</w:t>
      </w:r>
      <w:r w:rsidR="001677CC">
        <w:rPr>
          <w:sz w:val="24"/>
          <w:szCs w:val="28"/>
        </w:rPr>
        <w:t xml:space="preserve"> </w:t>
      </w:r>
    </w:p>
    <w:p w14:paraId="345EDF19" w14:textId="77777777" w:rsidR="00F03181" w:rsidRDefault="00F03181" w:rsidP="001008E9">
      <w:pPr>
        <w:ind w:firstLine="720"/>
        <w:rPr>
          <w:sz w:val="24"/>
          <w:szCs w:val="28"/>
        </w:rPr>
      </w:pPr>
    </w:p>
    <w:p w14:paraId="4C194AF2" w14:textId="6379026C" w:rsidR="00B02F77" w:rsidRPr="00B02F77" w:rsidRDefault="005E1D63" w:rsidP="001008E9">
      <w:pPr>
        <w:ind w:firstLine="720"/>
        <w:rPr>
          <w:sz w:val="24"/>
          <w:szCs w:val="28"/>
        </w:rPr>
      </w:pPr>
      <w:r>
        <w:rPr>
          <w:sz w:val="24"/>
          <w:szCs w:val="28"/>
        </w:rPr>
        <w:t xml:space="preserve">Before continuing, we must clarify the difference between intrinsic and time values for option pricing. The intrinsic value is calculated by subtracting the strike price from the underlying stock’s price and represents </w:t>
      </w:r>
      <w:r w:rsidR="00DA6B5F">
        <w:rPr>
          <w:sz w:val="24"/>
          <w:szCs w:val="28"/>
        </w:rPr>
        <w:t xml:space="preserve">the portion of the option which is in-the-money. Contrarily, the option’s time value is found by subtracting the intrinsic value from the premium and represents the excess premium that can be charged on top of the contract itself. </w:t>
      </w:r>
      <w:r w:rsidR="001008E9">
        <w:rPr>
          <w:sz w:val="24"/>
          <w:szCs w:val="28"/>
        </w:rPr>
        <w:t>We demonstrated this difference by calculating the hypothetical intrinsic and time values of RamSync call and put options at varying times and prices (</w:t>
      </w:r>
      <w:r w:rsidR="001008E9" w:rsidRPr="001008E9">
        <w:rPr>
          <w:i/>
          <w:sz w:val="24"/>
          <w:szCs w:val="28"/>
        </w:rPr>
        <w:t>Excel – Exhibit B</w:t>
      </w:r>
      <w:r w:rsidR="001008E9">
        <w:rPr>
          <w:sz w:val="24"/>
          <w:szCs w:val="28"/>
        </w:rPr>
        <w:t>).</w:t>
      </w:r>
    </w:p>
    <w:p w14:paraId="11FD2F30" w14:textId="77777777" w:rsidR="00F03181" w:rsidRDefault="00F03181" w:rsidP="00F03181">
      <w:pPr>
        <w:jc w:val="center"/>
        <w:rPr>
          <w:rFonts w:ascii="Merriweather" w:eastAsia="Merriweather" w:hAnsi="Merriweather" w:cs="Merriweather"/>
          <w:b/>
          <w:sz w:val="28"/>
          <w:szCs w:val="28"/>
        </w:rPr>
      </w:pPr>
    </w:p>
    <w:p w14:paraId="672A8055" w14:textId="37AA0E8E" w:rsidR="001677CC" w:rsidRDefault="00BA5CB3" w:rsidP="00F03181">
      <w:pPr>
        <w:jc w:val="center"/>
        <w:rPr>
          <w:rFonts w:ascii="Merriweather" w:eastAsia="Merriweather" w:hAnsi="Merriweather" w:cs="Merriweather"/>
          <w:b/>
          <w:sz w:val="28"/>
          <w:szCs w:val="28"/>
        </w:rPr>
      </w:pPr>
      <w:r>
        <w:rPr>
          <w:rFonts w:ascii="Merriweather" w:eastAsia="Merriweather" w:hAnsi="Merriweather" w:cs="Merriweather"/>
          <w:b/>
          <w:sz w:val="28"/>
          <w:szCs w:val="28"/>
        </w:rPr>
        <w:lastRenderedPageBreak/>
        <w:t>The RamSync MRAM Growth Option</w:t>
      </w:r>
    </w:p>
    <w:p w14:paraId="084232A3" w14:textId="2B25329F" w:rsidR="001677CC" w:rsidRDefault="00BA5CB3" w:rsidP="00F03181">
      <w:pPr>
        <w:rPr>
          <w:sz w:val="24"/>
          <w:szCs w:val="28"/>
        </w:rPr>
      </w:pPr>
      <w:r>
        <w:rPr>
          <w:rFonts w:ascii="Merriweather" w:eastAsia="Merriweather" w:hAnsi="Merriweather" w:cs="Merriweather"/>
          <w:b/>
          <w:sz w:val="24"/>
          <w:szCs w:val="28"/>
        </w:rPr>
        <w:tab/>
      </w:r>
      <w:r w:rsidR="006C7636" w:rsidRPr="001677CC">
        <w:rPr>
          <w:sz w:val="24"/>
          <w:szCs w:val="28"/>
        </w:rPr>
        <w:t xml:space="preserve">By examining the RamSync opportunity like a financial option with the Black Scholes model, we were able to find a minimum value for which the investment would breakeven for the Hedge Fund. </w:t>
      </w:r>
      <w:r w:rsidR="001677CC">
        <w:rPr>
          <w:sz w:val="24"/>
          <w:szCs w:val="28"/>
        </w:rPr>
        <w:t xml:space="preserve">We believe that this investment can be analyzed like a financial option because it shares many of the same inputs, variables, and exit options. Just like the Black Scholes model, the MRAM project’s profitability will depend on stock price (DCFs), time to maturity, and interest rates. </w:t>
      </w:r>
      <w:r w:rsidR="006C7636" w:rsidRPr="001677CC">
        <w:rPr>
          <w:sz w:val="24"/>
          <w:szCs w:val="28"/>
        </w:rPr>
        <w:t xml:space="preserve">Through our analysis, we calculated that the MRAM growth option would need to </w:t>
      </w:r>
      <w:r w:rsidR="001677CC" w:rsidRPr="001677CC">
        <w:rPr>
          <w:sz w:val="24"/>
          <w:szCs w:val="28"/>
        </w:rPr>
        <w:t>generate discounted cash flows of</w:t>
      </w:r>
      <w:r w:rsidR="006C7636" w:rsidRPr="001677CC">
        <w:rPr>
          <w:sz w:val="24"/>
          <w:szCs w:val="28"/>
        </w:rPr>
        <w:t xml:space="preserve"> $119.9m to breakeven (Excel – Exhibit C). After inputting RamSync’s Black Scholes sensitive variables into our model, we executed a goal seek function to find the minimum ‘stock price’ required. This ‘stock price’ </w:t>
      </w:r>
      <w:r w:rsidR="001677CC" w:rsidRPr="001677CC">
        <w:rPr>
          <w:sz w:val="24"/>
          <w:szCs w:val="28"/>
        </w:rPr>
        <w:t>represents</w:t>
      </w:r>
      <w:r w:rsidR="006C7636" w:rsidRPr="001677CC">
        <w:rPr>
          <w:sz w:val="24"/>
          <w:szCs w:val="28"/>
        </w:rPr>
        <w:t xml:space="preserve"> the future discounted cash flows generated by the MRAM venture to satisfy the $33m ‘call price’. </w:t>
      </w:r>
      <w:r w:rsidR="001677CC" w:rsidRPr="001677CC">
        <w:rPr>
          <w:sz w:val="24"/>
          <w:szCs w:val="28"/>
        </w:rPr>
        <w:t xml:space="preserve"> </w:t>
      </w:r>
      <w:r w:rsidR="00F03181">
        <w:rPr>
          <w:sz w:val="24"/>
          <w:szCs w:val="28"/>
        </w:rPr>
        <w:t xml:space="preserve">This ‘call price’ represents the project’s NPV, which must be at least $33m to overcome the -$33m NPV generated from RamSync’s general operations. </w:t>
      </w:r>
    </w:p>
    <w:p w14:paraId="00A20A7D" w14:textId="77777777" w:rsidR="00F03181" w:rsidRDefault="00F03181" w:rsidP="00F03181">
      <w:pPr>
        <w:ind w:firstLine="720"/>
        <w:rPr>
          <w:sz w:val="24"/>
          <w:szCs w:val="28"/>
        </w:rPr>
      </w:pPr>
    </w:p>
    <w:p w14:paraId="3F5252C3" w14:textId="3907F07F" w:rsidR="00F03181" w:rsidRPr="00F03181" w:rsidRDefault="001677CC" w:rsidP="00F03181">
      <w:pPr>
        <w:ind w:firstLine="720"/>
        <w:rPr>
          <w:sz w:val="24"/>
          <w:szCs w:val="28"/>
        </w:rPr>
      </w:pPr>
      <w:r w:rsidRPr="001677CC">
        <w:rPr>
          <w:sz w:val="24"/>
          <w:szCs w:val="28"/>
        </w:rPr>
        <w:t>Further, we conducted a second sensitivity analysis which we believe covers all potential outcomes for the MRAM project (Excel – Exhibit D). In this model, we calculated the value of the project for any potential amount of discounted cash flow in a reasonable range, $100m - $</w:t>
      </w:r>
      <w:r>
        <w:rPr>
          <w:sz w:val="24"/>
          <w:szCs w:val="28"/>
        </w:rPr>
        <w:t>3</w:t>
      </w:r>
      <w:r w:rsidRPr="001677CC">
        <w:rPr>
          <w:sz w:val="24"/>
          <w:szCs w:val="28"/>
        </w:rPr>
        <w:t>00m.</w:t>
      </w:r>
      <w:r>
        <w:rPr>
          <w:sz w:val="24"/>
          <w:szCs w:val="28"/>
        </w:rPr>
        <w:t xml:space="preserve"> For instance, </w:t>
      </w:r>
      <w:r w:rsidR="00000A57">
        <w:rPr>
          <w:sz w:val="24"/>
          <w:szCs w:val="28"/>
        </w:rPr>
        <w:t xml:space="preserve">if the MRAM model generates $300m in DCFs, the RamSync investment would be worth much more than the breakeven value of $33m at $144.9m. Contrarily, if it only generates $100m it would not be worth the breakeven value of $33m. The decision of whether to invest into RamSync is heavily dependent on how confident your Hedge Fund is in RamSync’s pro forma projections of their own cash flows. Inaccuracies here would cause our Black Scholes analysis to be misguided.  One of the variables that is included in our model is variability in RamSync’s discounted cash flows. We believe that this is important because of the just-discussed importance of accurate projections. If cash flow variance is high, we cannot be as certain that their pro forma projections are correct. However, low variance suggests that their cash flows are predictable and consistent. Since the accuracy of these projections is the most important variable in this investment making process, it is necessary to include predicted volatility. </w:t>
      </w:r>
    </w:p>
    <w:p w14:paraId="623F884A" w14:textId="435078F7" w:rsidR="00F03181" w:rsidRPr="00F03181" w:rsidRDefault="00F03181" w:rsidP="00F03181">
      <w:pPr>
        <w:jc w:val="center"/>
        <w:rPr>
          <w:rFonts w:ascii="Merriweather" w:eastAsia="Merriweather" w:hAnsi="Merriweather" w:cs="Merriweather"/>
          <w:b/>
          <w:sz w:val="28"/>
          <w:szCs w:val="28"/>
        </w:rPr>
      </w:pPr>
      <w:r>
        <w:rPr>
          <w:rFonts w:ascii="Merriweather" w:eastAsia="Merriweather" w:hAnsi="Merriweather" w:cs="Merriweather"/>
          <w:b/>
          <w:sz w:val="28"/>
          <w:szCs w:val="28"/>
        </w:rPr>
        <w:t>Conclusion and Results</w:t>
      </w:r>
    </w:p>
    <w:p w14:paraId="4827A572" w14:textId="6118F8FB" w:rsidR="00F03181" w:rsidRDefault="00F03181">
      <w:pPr>
        <w:rPr>
          <w:sz w:val="24"/>
          <w:szCs w:val="24"/>
        </w:rPr>
      </w:pPr>
      <w:r>
        <w:rPr>
          <w:sz w:val="24"/>
          <w:szCs w:val="24"/>
        </w:rPr>
        <w:tab/>
        <w:t>Our suggestion to your Hedge Fund is to make the investment into RamSync. We agree with your analysis that RamSync’s regular operations alone would not be a worthwhile investment because of their -$33m NPV. However, after analyzing many different potential outcomes for the MRAM venture, we believe that this innovative technology could generate cash flows that compensate for RamSync’s -$33m NPV and more. Specifically, we found that RamSync will become a profitable investment if the MRAM project could generate $119.9m in DCF, which is approximately $45m less than RamSync’s internal projections.</w:t>
      </w:r>
    </w:p>
    <w:tbl>
      <w:tblPr>
        <w:tblpPr w:leftFromText="180" w:rightFromText="180" w:vertAnchor="text" w:horzAnchor="margin" w:tblpY="-374"/>
        <w:tblW w:w="9037" w:type="dxa"/>
        <w:tblLook w:val="04A0" w:firstRow="1" w:lastRow="0" w:firstColumn="1" w:lastColumn="0" w:noHBand="0" w:noVBand="1"/>
      </w:tblPr>
      <w:tblGrid>
        <w:gridCol w:w="1995"/>
        <w:gridCol w:w="1006"/>
        <w:gridCol w:w="1006"/>
        <w:gridCol w:w="1006"/>
        <w:gridCol w:w="1006"/>
        <w:gridCol w:w="1006"/>
        <w:gridCol w:w="1006"/>
        <w:gridCol w:w="1006"/>
      </w:tblGrid>
      <w:tr w:rsidR="00F03181" w:rsidRPr="00000A57" w14:paraId="08259995" w14:textId="77777777" w:rsidTr="00F03181">
        <w:trPr>
          <w:trHeight w:val="315"/>
        </w:trPr>
        <w:tc>
          <w:tcPr>
            <w:tcW w:w="1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04E73" w14:textId="77777777" w:rsidR="00F03181" w:rsidRPr="00000A57" w:rsidRDefault="00F03181" w:rsidP="00F03181">
            <w:pPr>
              <w:spacing w:line="240" w:lineRule="auto"/>
              <w:jc w:val="center"/>
              <w:rPr>
                <w:rFonts w:eastAsia="Times New Roman"/>
                <w:b/>
                <w:bCs/>
                <w:sz w:val="20"/>
                <w:szCs w:val="20"/>
                <w:lang w:val="en-US"/>
              </w:rPr>
            </w:pPr>
            <w:r w:rsidRPr="00000A57">
              <w:rPr>
                <w:rFonts w:eastAsia="Times New Roman"/>
                <w:b/>
                <w:bCs/>
                <w:sz w:val="20"/>
                <w:szCs w:val="20"/>
                <w:lang w:val="en-US"/>
              </w:rPr>
              <w:lastRenderedPageBreak/>
              <w:t>Variables</w:t>
            </w:r>
          </w:p>
        </w:tc>
        <w:tc>
          <w:tcPr>
            <w:tcW w:w="6036" w:type="dxa"/>
            <w:gridSpan w:val="6"/>
            <w:tcBorders>
              <w:top w:val="single" w:sz="4" w:space="0" w:color="auto"/>
              <w:left w:val="nil"/>
              <w:bottom w:val="single" w:sz="4" w:space="0" w:color="auto"/>
              <w:right w:val="nil"/>
            </w:tcBorders>
            <w:shd w:val="clear" w:color="auto" w:fill="auto"/>
            <w:noWrap/>
            <w:vAlign w:val="bottom"/>
            <w:hideMark/>
          </w:tcPr>
          <w:p w14:paraId="6B3E67CB" w14:textId="77777777" w:rsidR="00F03181" w:rsidRPr="00000A57" w:rsidRDefault="00F03181" w:rsidP="00F03181">
            <w:pPr>
              <w:spacing w:line="240" w:lineRule="auto"/>
              <w:jc w:val="center"/>
              <w:rPr>
                <w:rFonts w:eastAsia="Times New Roman"/>
                <w:b/>
                <w:bCs/>
                <w:sz w:val="20"/>
                <w:szCs w:val="20"/>
                <w:lang w:val="en-US"/>
              </w:rPr>
            </w:pPr>
            <w:r>
              <w:rPr>
                <w:rFonts w:eastAsia="Times New Roman"/>
                <w:b/>
                <w:bCs/>
                <w:sz w:val="20"/>
                <w:szCs w:val="20"/>
                <w:lang w:val="en-US"/>
              </w:rPr>
              <w:t>Results Summary – Sensitivity Analysis</w:t>
            </w:r>
          </w:p>
        </w:tc>
        <w:tc>
          <w:tcPr>
            <w:tcW w:w="1006" w:type="dxa"/>
            <w:tcBorders>
              <w:top w:val="single" w:sz="4" w:space="0" w:color="auto"/>
              <w:left w:val="nil"/>
              <w:bottom w:val="single" w:sz="4" w:space="0" w:color="auto"/>
              <w:right w:val="single" w:sz="4" w:space="0" w:color="auto"/>
            </w:tcBorders>
            <w:shd w:val="clear" w:color="auto" w:fill="auto"/>
            <w:noWrap/>
            <w:vAlign w:val="bottom"/>
            <w:hideMark/>
          </w:tcPr>
          <w:p w14:paraId="5420C4AA" w14:textId="77777777" w:rsidR="00F03181" w:rsidRPr="00000A57" w:rsidRDefault="00F03181" w:rsidP="00F03181">
            <w:pPr>
              <w:spacing w:line="240" w:lineRule="auto"/>
              <w:rPr>
                <w:rFonts w:eastAsia="Times New Roman"/>
                <w:color w:val="000000"/>
                <w:sz w:val="20"/>
                <w:szCs w:val="20"/>
                <w:lang w:val="en-US"/>
              </w:rPr>
            </w:pPr>
            <w:r w:rsidRPr="00000A57">
              <w:rPr>
                <w:rFonts w:eastAsia="Times New Roman"/>
                <w:color w:val="000000"/>
                <w:sz w:val="20"/>
                <w:szCs w:val="20"/>
                <w:lang w:val="en-US"/>
              </w:rPr>
              <w:t> </w:t>
            </w:r>
          </w:p>
        </w:tc>
      </w:tr>
      <w:tr w:rsidR="00F03181" w:rsidRPr="00000A57" w14:paraId="2657147C" w14:textId="77777777" w:rsidTr="00F03181">
        <w:trPr>
          <w:trHeight w:val="315"/>
        </w:trPr>
        <w:tc>
          <w:tcPr>
            <w:tcW w:w="1995" w:type="dxa"/>
            <w:tcBorders>
              <w:top w:val="nil"/>
              <w:left w:val="single" w:sz="4" w:space="0" w:color="auto"/>
              <w:bottom w:val="nil"/>
              <w:right w:val="nil"/>
            </w:tcBorders>
            <w:shd w:val="clear" w:color="auto" w:fill="auto"/>
            <w:noWrap/>
            <w:vAlign w:val="bottom"/>
            <w:hideMark/>
          </w:tcPr>
          <w:p w14:paraId="2581AB38" w14:textId="186061CC" w:rsidR="00F03181" w:rsidRPr="00000A57" w:rsidRDefault="00F03181" w:rsidP="00F03181">
            <w:pPr>
              <w:spacing w:line="240" w:lineRule="auto"/>
              <w:rPr>
                <w:rFonts w:eastAsia="Times New Roman"/>
                <w:sz w:val="20"/>
                <w:szCs w:val="20"/>
                <w:lang w:val="en-US"/>
              </w:rPr>
            </w:pPr>
            <w:r w:rsidRPr="00000A57">
              <w:rPr>
                <w:rFonts w:eastAsia="Times New Roman"/>
                <w:sz w:val="20"/>
                <w:szCs w:val="20"/>
                <w:lang w:val="en-US"/>
              </w:rPr>
              <w:t>Stock Price</w:t>
            </w:r>
            <w:r>
              <w:rPr>
                <w:rFonts w:eastAsia="Times New Roman"/>
                <w:sz w:val="20"/>
                <w:szCs w:val="20"/>
                <w:lang w:val="en-US"/>
              </w:rPr>
              <w:t xml:space="preserve"> </w:t>
            </w:r>
            <w:r w:rsidRPr="00F03181">
              <w:rPr>
                <w:rFonts w:eastAsia="Times New Roman"/>
                <w:b/>
                <w:sz w:val="20"/>
                <w:szCs w:val="20"/>
                <w:lang w:val="en-US"/>
              </w:rPr>
              <w:t>(DCF)</w:t>
            </w:r>
          </w:p>
        </w:tc>
        <w:tc>
          <w:tcPr>
            <w:tcW w:w="1006" w:type="dxa"/>
            <w:tcBorders>
              <w:top w:val="nil"/>
              <w:left w:val="single" w:sz="4" w:space="0" w:color="auto"/>
              <w:bottom w:val="nil"/>
              <w:right w:val="nil"/>
            </w:tcBorders>
            <w:shd w:val="clear" w:color="D9D9D9" w:fill="D9D9D9"/>
            <w:noWrap/>
            <w:vAlign w:val="bottom"/>
            <w:hideMark/>
          </w:tcPr>
          <w:p w14:paraId="7A923EC2" w14:textId="77777777" w:rsidR="00F03181" w:rsidRPr="00000A57" w:rsidRDefault="00F03181" w:rsidP="00F03181">
            <w:pPr>
              <w:spacing w:line="240" w:lineRule="auto"/>
              <w:jc w:val="right"/>
              <w:rPr>
                <w:rFonts w:eastAsia="Times New Roman"/>
                <w:b/>
                <w:bCs/>
                <w:sz w:val="20"/>
                <w:szCs w:val="20"/>
                <w:lang w:val="en-US"/>
              </w:rPr>
            </w:pPr>
            <w:r w:rsidRPr="00000A57">
              <w:rPr>
                <w:rFonts w:eastAsia="Times New Roman"/>
                <w:b/>
                <w:bCs/>
                <w:sz w:val="20"/>
                <w:szCs w:val="20"/>
                <w:lang w:val="en-US"/>
              </w:rPr>
              <w:t>100</w:t>
            </w:r>
          </w:p>
        </w:tc>
        <w:tc>
          <w:tcPr>
            <w:tcW w:w="1006" w:type="dxa"/>
            <w:tcBorders>
              <w:top w:val="nil"/>
              <w:left w:val="nil"/>
              <w:bottom w:val="nil"/>
              <w:right w:val="nil"/>
            </w:tcBorders>
            <w:shd w:val="clear" w:color="D9D9D9" w:fill="D9D9D9"/>
            <w:noWrap/>
            <w:vAlign w:val="bottom"/>
            <w:hideMark/>
          </w:tcPr>
          <w:p w14:paraId="577E9A40" w14:textId="77777777" w:rsidR="00F03181" w:rsidRPr="00000A57" w:rsidRDefault="00F03181" w:rsidP="00F03181">
            <w:pPr>
              <w:spacing w:line="240" w:lineRule="auto"/>
              <w:jc w:val="right"/>
              <w:rPr>
                <w:rFonts w:eastAsia="Times New Roman"/>
                <w:b/>
                <w:bCs/>
                <w:sz w:val="20"/>
                <w:szCs w:val="20"/>
                <w:lang w:val="en-US"/>
              </w:rPr>
            </w:pPr>
            <w:r w:rsidRPr="00000A57">
              <w:rPr>
                <w:rFonts w:eastAsia="Times New Roman"/>
                <w:b/>
                <w:bCs/>
                <w:sz w:val="20"/>
                <w:szCs w:val="20"/>
                <w:lang w:val="en-US"/>
              </w:rPr>
              <w:t>120</w:t>
            </w:r>
          </w:p>
        </w:tc>
        <w:tc>
          <w:tcPr>
            <w:tcW w:w="1006" w:type="dxa"/>
            <w:tcBorders>
              <w:top w:val="nil"/>
              <w:left w:val="nil"/>
              <w:bottom w:val="nil"/>
              <w:right w:val="nil"/>
            </w:tcBorders>
            <w:shd w:val="clear" w:color="D9D9D9" w:fill="D9D9D9"/>
            <w:noWrap/>
            <w:vAlign w:val="bottom"/>
            <w:hideMark/>
          </w:tcPr>
          <w:p w14:paraId="2EF07A2B" w14:textId="77777777" w:rsidR="00F03181" w:rsidRPr="00000A57" w:rsidRDefault="00F03181" w:rsidP="00F03181">
            <w:pPr>
              <w:spacing w:line="240" w:lineRule="auto"/>
              <w:jc w:val="right"/>
              <w:rPr>
                <w:rFonts w:eastAsia="Times New Roman"/>
                <w:b/>
                <w:bCs/>
                <w:sz w:val="20"/>
                <w:szCs w:val="20"/>
                <w:lang w:val="en-US"/>
              </w:rPr>
            </w:pPr>
            <w:r w:rsidRPr="00000A57">
              <w:rPr>
                <w:rFonts w:eastAsia="Times New Roman"/>
                <w:b/>
                <w:bCs/>
                <w:sz w:val="20"/>
                <w:szCs w:val="20"/>
                <w:lang w:val="en-US"/>
              </w:rPr>
              <w:t>140</w:t>
            </w:r>
          </w:p>
        </w:tc>
        <w:tc>
          <w:tcPr>
            <w:tcW w:w="1006" w:type="dxa"/>
            <w:tcBorders>
              <w:top w:val="nil"/>
              <w:left w:val="nil"/>
              <w:bottom w:val="nil"/>
              <w:right w:val="nil"/>
            </w:tcBorders>
            <w:shd w:val="clear" w:color="D9D9D9" w:fill="D9D9D9"/>
            <w:noWrap/>
            <w:vAlign w:val="bottom"/>
            <w:hideMark/>
          </w:tcPr>
          <w:p w14:paraId="5A8B9332" w14:textId="77777777" w:rsidR="00F03181" w:rsidRPr="00000A57" w:rsidRDefault="00F03181" w:rsidP="00F03181">
            <w:pPr>
              <w:spacing w:line="240" w:lineRule="auto"/>
              <w:jc w:val="right"/>
              <w:rPr>
                <w:rFonts w:eastAsia="Times New Roman"/>
                <w:b/>
                <w:bCs/>
                <w:sz w:val="20"/>
                <w:szCs w:val="20"/>
                <w:lang w:val="en-US"/>
              </w:rPr>
            </w:pPr>
            <w:r w:rsidRPr="00000A57">
              <w:rPr>
                <w:rFonts w:eastAsia="Times New Roman"/>
                <w:b/>
                <w:bCs/>
                <w:sz w:val="20"/>
                <w:szCs w:val="20"/>
                <w:lang w:val="en-US"/>
              </w:rPr>
              <w:t>160</w:t>
            </w:r>
          </w:p>
        </w:tc>
        <w:tc>
          <w:tcPr>
            <w:tcW w:w="1006" w:type="dxa"/>
            <w:tcBorders>
              <w:top w:val="nil"/>
              <w:left w:val="nil"/>
              <w:bottom w:val="nil"/>
              <w:right w:val="nil"/>
            </w:tcBorders>
            <w:shd w:val="clear" w:color="D9D9D9" w:fill="D9D9D9"/>
            <w:noWrap/>
            <w:vAlign w:val="bottom"/>
            <w:hideMark/>
          </w:tcPr>
          <w:p w14:paraId="379ABB42" w14:textId="77777777" w:rsidR="00F03181" w:rsidRPr="00000A57" w:rsidRDefault="00F03181" w:rsidP="00F03181">
            <w:pPr>
              <w:spacing w:line="240" w:lineRule="auto"/>
              <w:jc w:val="right"/>
              <w:rPr>
                <w:rFonts w:eastAsia="Times New Roman"/>
                <w:b/>
                <w:bCs/>
                <w:sz w:val="20"/>
                <w:szCs w:val="20"/>
                <w:lang w:val="en-US"/>
              </w:rPr>
            </w:pPr>
            <w:r w:rsidRPr="00000A57">
              <w:rPr>
                <w:rFonts w:eastAsia="Times New Roman"/>
                <w:b/>
                <w:bCs/>
                <w:sz w:val="20"/>
                <w:szCs w:val="20"/>
                <w:lang w:val="en-US"/>
              </w:rPr>
              <w:t>180</w:t>
            </w:r>
          </w:p>
        </w:tc>
        <w:tc>
          <w:tcPr>
            <w:tcW w:w="1006" w:type="dxa"/>
            <w:tcBorders>
              <w:top w:val="nil"/>
              <w:left w:val="nil"/>
              <w:bottom w:val="nil"/>
              <w:right w:val="nil"/>
            </w:tcBorders>
            <w:shd w:val="clear" w:color="D9D9D9" w:fill="D9D9D9"/>
            <w:noWrap/>
            <w:vAlign w:val="bottom"/>
            <w:hideMark/>
          </w:tcPr>
          <w:p w14:paraId="460EA180" w14:textId="77777777" w:rsidR="00F03181" w:rsidRPr="00000A57" w:rsidRDefault="00F03181" w:rsidP="00F03181">
            <w:pPr>
              <w:spacing w:line="240" w:lineRule="auto"/>
              <w:jc w:val="right"/>
              <w:rPr>
                <w:rFonts w:eastAsia="Times New Roman"/>
                <w:b/>
                <w:bCs/>
                <w:sz w:val="20"/>
                <w:szCs w:val="20"/>
                <w:lang w:val="en-US"/>
              </w:rPr>
            </w:pPr>
            <w:r w:rsidRPr="00000A57">
              <w:rPr>
                <w:rFonts w:eastAsia="Times New Roman"/>
                <w:b/>
                <w:bCs/>
                <w:sz w:val="20"/>
                <w:szCs w:val="20"/>
                <w:lang w:val="en-US"/>
              </w:rPr>
              <w:t>200</w:t>
            </w:r>
          </w:p>
        </w:tc>
        <w:tc>
          <w:tcPr>
            <w:tcW w:w="1006" w:type="dxa"/>
            <w:tcBorders>
              <w:top w:val="nil"/>
              <w:left w:val="nil"/>
              <w:bottom w:val="nil"/>
              <w:right w:val="single" w:sz="4" w:space="0" w:color="auto"/>
            </w:tcBorders>
            <w:shd w:val="clear" w:color="D9D9D9" w:fill="D9D9D9"/>
            <w:noWrap/>
            <w:vAlign w:val="bottom"/>
            <w:hideMark/>
          </w:tcPr>
          <w:p w14:paraId="3A569320" w14:textId="77777777" w:rsidR="00F03181" w:rsidRPr="00000A57" w:rsidRDefault="00F03181" w:rsidP="00F03181">
            <w:pPr>
              <w:spacing w:line="240" w:lineRule="auto"/>
              <w:jc w:val="right"/>
              <w:rPr>
                <w:rFonts w:eastAsia="Times New Roman"/>
                <w:b/>
                <w:bCs/>
                <w:sz w:val="20"/>
                <w:szCs w:val="20"/>
                <w:lang w:val="en-US"/>
              </w:rPr>
            </w:pPr>
            <w:r w:rsidRPr="00000A57">
              <w:rPr>
                <w:rFonts w:eastAsia="Times New Roman"/>
                <w:b/>
                <w:bCs/>
                <w:sz w:val="20"/>
                <w:szCs w:val="20"/>
                <w:lang w:val="en-US"/>
              </w:rPr>
              <w:t>300</w:t>
            </w:r>
          </w:p>
        </w:tc>
      </w:tr>
      <w:tr w:rsidR="00F03181" w:rsidRPr="00000A57" w14:paraId="3CA7CC8F" w14:textId="77777777" w:rsidTr="00F03181">
        <w:trPr>
          <w:trHeight w:val="315"/>
        </w:trPr>
        <w:tc>
          <w:tcPr>
            <w:tcW w:w="1995" w:type="dxa"/>
            <w:tcBorders>
              <w:top w:val="nil"/>
              <w:left w:val="single" w:sz="4" w:space="0" w:color="auto"/>
              <w:bottom w:val="nil"/>
              <w:right w:val="nil"/>
            </w:tcBorders>
            <w:shd w:val="clear" w:color="auto" w:fill="auto"/>
            <w:noWrap/>
            <w:vAlign w:val="bottom"/>
            <w:hideMark/>
          </w:tcPr>
          <w:p w14:paraId="75B99510" w14:textId="77777777" w:rsidR="00F03181" w:rsidRPr="00000A57" w:rsidRDefault="00F03181" w:rsidP="00F03181">
            <w:pPr>
              <w:spacing w:line="240" w:lineRule="auto"/>
              <w:rPr>
                <w:rFonts w:eastAsia="Times New Roman"/>
                <w:sz w:val="20"/>
                <w:szCs w:val="20"/>
                <w:lang w:val="en-US"/>
              </w:rPr>
            </w:pPr>
            <w:r w:rsidRPr="00000A57">
              <w:rPr>
                <w:rFonts w:eastAsia="Times New Roman"/>
                <w:sz w:val="20"/>
                <w:szCs w:val="20"/>
                <w:lang w:val="en-US"/>
              </w:rPr>
              <w:t>Time Until Maturity</w:t>
            </w:r>
          </w:p>
        </w:tc>
        <w:tc>
          <w:tcPr>
            <w:tcW w:w="1006" w:type="dxa"/>
            <w:tcBorders>
              <w:top w:val="nil"/>
              <w:left w:val="single" w:sz="4" w:space="0" w:color="auto"/>
              <w:bottom w:val="nil"/>
              <w:right w:val="nil"/>
            </w:tcBorders>
            <w:shd w:val="clear" w:color="auto" w:fill="auto"/>
            <w:noWrap/>
            <w:vAlign w:val="bottom"/>
            <w:hideMark/>
          </w:tcPr>
          <w:p w14:paraId="6B98739B"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5</w:t>
            </w:r>
          </w:p>
        </w:tc>
        <w:tc>
          <w:tcPr>
            <w:tcW w:w="1006" w:type="dxa"/>
            <w:tcBorders>
              <w:top w:val="nil"/>
              <w:left w:val="nil"/>
              <w:bottom w:val="nil"/>
              <w:right w:val="nil"/>
            </w:tcBorders>
            <w:shd w:val="clear" w:color="auto" w:fill="auto"/>
            <w:noWrap/>
            <w:vAlign w:val="bottom"/>
            <w:hideMark/>
          </w:tcPr>
          <w:p w14:paraId="5297F79F" w14:textId="77777777" w:rsidR="00F03181" w:rsidRPr="00000A57" w:rsidRDefault="00F03181" w:rsidP="00F03181">
            <w:pPr>
              <w:spacing w:line="240" w:lineRule="auto"/>
              <w:jc w:val="right"/>
              <w:rPr>
                <w:rFonts w:eastAsia="Times New Roman"/>
                <w:color w:val="000000"/>
                <w:sz w:val="20"/>
                <w:szCs w:val="20"/>
                <w:lang w:val="en-US"/>
              </w:rPr>
            </w:pPr>
            <w:r w:rsidRPr="00000A57">
              <w:rPr>
                <w:rFonts w:eastAsia="Times New Roman"/>
                <w:color w:val="000000"/>
                <w:sz w:val="20"/>
                <w:szCs w:val="20"/>
                <w:lang w:val="en-US"/>
              </w:rPr>
              <w:t>5</w:t>
            </w:r>
          </w:p>
        </w:tc>
        <w:tc>
          <w:tcPr>
            <w:tcW w:w="1006" w:type="dxa"/>
            <w:tcBorders>
              <w:top w:val="nil"/>
              <w:left w:val="nil"/>
              <w:bottom w:val="nil"/>
              <w:right w:val="nil"/>
            </w:tcBorders>
            <w:shd w:val="clear" w:color="auto" w:fill="auto"/>
            <w:noWrap/>
            <w:vAlign w:val="bottom"/>
            <w:hideMark/>
          </w:tcPr>
          <w:p w14:paraId="2B036169"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5</w:t>
            </w:r>
          </w:p>
        </w:tc>
        <w:tc>
          <w:tcPr>
            <w:tcW w:w="1006" w:type="dxa"/>
            <w:tcBorders>
              <w:top w:val="nil"/>
              <w:left w:val="nil"/>
              <w:bottom w:val="nil"/>
              <w:right w:val="nil"/>
            </w:tcBorders>
            <w:shd w:val="clear" w:color="auto" w:fill="auto"/>
            <w:noWrap/>
            <w:vAlign w:val="bottom"/>
            <w:hideMark/>
          </w:tcPr>
          <w:p w14:paraId="3BBCBA08" w14:textId="77777777" w:rsidR="00F03181" w:rsidRPr="00000A57" w:rsidRDefault="00F03181" w:rsidP="00F03181">
            <w:pPr>
              <w:spacing w:line="240" w:lineRule="auto"/>
              <w:jc w:val="right"/>
              <w:rPr>
                <w:rFonts w:eastAsia="Times New Roman"/>
                <w:color w:val="000000"/>
                <w:sz w:val="20"/>
                <w:szCs w:val="20"/>
                <w:lang w:val="en-US"/>
              </w:rPr>
            </w:pPr>
            <w:r w:rsidRPr="00000A57">
              <w:rPr>
                <w:rFonts w:eastAsia="Times New Roman"/>
                <w:color w:val="000000"/>
                <w:sz w:val="20"/>
                <w:szCs w:val="20"/>
                <w:lang w:val="en-US"/>
              </w:rPr>
              <w:t>5</w:t>
            </w:r>
          </w:p>
        </w:tc>
        <w:tc>
          <w:tcPr>
            <w:tcW w:w="1006" w:type="dxa"/>
            <w:tcBorders>
              <w:top w:val="nil"/>
              <w:left w:val="nil"/>
              <w:bottom w:val="nil"/>
              <w:right w:val="nil"/>
            </w:tcBorders>
            <w:shd w:val="clear" w:color="auto" w:fill="auto"/>
            <w:noWrap/>
            <w:vAlign w:val="bottom"/>
            <w:hideMark/>
          </w:tcPr>
          <w:p w14:paraId="5239AA49"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5</w:t>
            </w:r>
          </w:p>
        </w:tc>
        <w:tc>
          <w:tcPr>
            <w:tcW w:w="1006" w:type="dxa"/>
            <w:tcBorders>
              <w:top w:val="nil"/>
              <w:left w:val="nil"/>
              <w:bottom w:val="nil"/>
              <w:right w:val="nil"/>
            </w:tcBorders>
            <w:shd w:val="clear" w:color="auto" w:fill="auto"/>
            <w:noWrap/>
            <w:vAlign w:val="bottom"/>
            <w:hideMark/>
          </w:tcPr>
          <w:p w14:paraId="09468325" w14:textId="77777777" w:rsidR="00F03181" w:rsidRPr="00000A57" w:rsidRDefault="00F03181" w:rsidP="00F03181">
            <w:pPr>
              <w:spacing w:line="240" w:lineRule="auto"/>
              <w:jc w:val="right"/>
              <w:rPr>
                <w:rFonts w:eastAsia="Times New Roman"/>
                <w:color w:val="000000"/>
                <w:sz w:val="20"/>
                <w:szCs w:val="20"/>
                <w:lang w:val="en-US"/>
              </w:rPr>
            </w:pPr>
            <w:r w:rsidRPr="00000A57">
              <w:rPr>
                <w:rFonts w:eastAsia="Times New Roman"/>
                <w:color w:val="000000"/>
                <w:sz w:val="20"/>
                <w:szCs w:val="20"/>
                <w:lang w:val="en-US"/>
              </w:rPr>
              <w:t>5</w:t>
            </w:r>
          </w:p>
        </w:tc>
        <w:tc>
          <w:tcPr>
            <w:tcW w:w="1006" w:type="dxa"/>
            <w:tcBorders>
              <w:top w:val="nil"/>
              <w:left w:val="nil"/>
              <w:bottom w:val="nil"/>
              <w:right w:val="single" w:sz="4" w:space="0" w:color="auto"/>
            </w:tcBorders>
            <w:shd w:val="clear" w:color="auto" w:fill="auto"/>
            <w:noWrap/>
            <w:vAlign w:val="bottom"/>
            <w:hideMark/>
          </w:tcPr>
          <w:p w14:paraId="7121E700" w14:textId="77777777" w:rsidR="00F03181" w:rsidRPr="00000A57" w:rsidRDefault="00F03181" w:rsidP="00F03181">
            <w:pPr>
              <w:spacing w:line="240" w:lineRule="auto"/>
              <w:jc w:val="right"/>
              <w:rPr>
                <w:rFonts w:eastAsia="Times New Roman"/>
                <w:color w:val="000000"/>
                <w:sz w:val="20"/>
                <w:szCs w:val="20"/>
                <w:lang w:val="en-US"/>
              </w:rPr>
            </w:pPr>
            <w:r w:rsidRPr="00000A57">
              <w:rPr>
                <w:rFonts w:eastAsia="Times New Roman"/>
                <w:color w:val="000000"/>
                <w:sz w:val="20"/>
                <w:szCs w:val="20"/>
                <w:lang w:val="en-US"/>
              </w:rPr>
              <w:t>5</w:t>
            </w:r>
          </w:p>
        </w:tc>
      </w:tr>
      <w:tr w:rsidR="00F03181" w:rsidRPr="00000A57" w14:paraId="7C8F2A37" w14:textId="77777777" w:rsidTr="00F03181">
        <w:trPr>
          <w:trHeight w:val="315"/>
        </w:trPr>
        <w:tc>
          <w:tcPr>
            <w:tcW w:w="1995" w:type="dxa"/>
            <w:tcBorders>
              <w:top w:val="nil"/>
              <w:left w:val="single" w:sz="4" w:space="0" w:color="auto"/>
              <w:bottom w:val="nil"/>
              <w:right w:val="nil"/>
            </w:tcBorders>
            <w:shd w:val="clear" w:color="auto" w:fill="auto"/>
            <w:noWrap/>
            <w:vAlign w:val="bottom"/>
            <w:hideMark/>
          </w:tcPr>
          <w:p w14:paraId="0C5F509C" w14:textId="77777777" w:rsidR="00F03181" w:rsidRPr="00000A57" w:rsidRDefault="00F03181" w:rsidP="00F03181">
            <w:pPr>
              <w:spacing w:line="240" w:lineRule="auto"/>
              <w:rPr>
                <w:rFonts w:eastAsia="Times New Roman"/>
                <w:sz w:val="20"/>
                <w:szCs w:val="20"/>
                <w:lang w:val="en-US"/>
              </w:rPr>
            </w:pPr>
            <w:r w:rsidRPr="00000A57">
              <w:rPr>
                <w:rFonts w:eastAsia="Times New Roman"/>
                <w:sz w:val="20"/>
                <w:szCs w:val="20"/>
                <w:lang w:val="en-US"/>
              </w:rPr>
              <w:t>Exercise Price</w:t>
            </w:r>
          </w:p>
        </w:tc>
        <w:tc>
          <w:tcPr>
            <w:tcW w:w="1006" w:type="dxa"/>
            <w:tcBorders>
              <w:top w:val="nil"/>
              <w:left w:val="single" w:sz="4" w:space="0" w:color="auto"/>
              <w:bottom w:val="nil"/>
              <w:right w:val="nil"/>
            </w:tcBorders>
            <w:shd w:val="clear" w:color="auto" w:fill="auto"/>
            <w:noWrap/>
            <w:vAlign w:val="bottom"/>
            <w:hideMark/>
          </w:tcPr>
          <w:p w14:paraId="3FA42F2A"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500</w:t>
            </w:r>
          </w:p>
        </w:tc>
        <w:tc>
          <w:tcPr>
            <w:tcW w:w="1006" w:type="dxa"/>
            <w:tcBorders>
              <w:top w:val="nil"/>
              <w:left w:val="nil"/>
              <w:bottom w:val="nil"/>
              <w:right w:val="nil"/>
            </w:tcBorders>
            <w:shd w:val="clear" w:color="auto" w:fill="auto"/>
            <w:noWrap/>
            <w:vAlign w:val="bottom"/>
            <w:hideMark/>
          </w:tcPr>
          <w:p w14:paraId="18B22478" w14:textId="77777777" w:rsidR="00F03181" w:rsidRPr="00000A57" w:rsidRDefault="00F03181" w:rsidP="00F03181">
            <w:pPr>
              <w:spacing w:line="240" w:lineRule="auto"/>
              <w:jc w:val="right"/>
              <w:rPr>
                <w:rFonts w:eastAsia="Times New Roman"/>
                <w:color w:val="000000"/>
                <w:sz w:val="20"/>
                <w:szCs w:val="20"/>
                <w:lang w:val="en-US"/>
              </w:rPr>
            </w:pPr>
            <w:r w:rsidRPr="00000A57">
              <w:rPr>
                <w:rFonts w:eastAsia="Times New Roman"/>
                <w:color w:val="000000"/>
                <w:sz w:val="20"/>
                <w:szCs w:val="20"/>
                <w:lang w:val="en-US"/>
              </w:rPr>
              <w:t>500</w:t>
            </w:r>
          </w:p>
        </w:tc>
        <w:tc>
          <w:tcPr>
            <w:tcW w:w="1006" w:type="dxa"/>
            <w:tcBorders>
              <w:top w:val="nil"/>
              <w:left w:val="nil"/>
              <w:bottom w:val="nil"/>
              <w:right w:val="nil"/>
            </w:tcBorders>
            <w:shd w:val="clear" w:color="auto" w:fill="auto"/>
            <w:noWrap/>
            <w:vAlign w:val="bottom"/>
            <w:hideMark/>
          </w:tcPr>
          <w:p w14:paraId="052DCAA4"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500</w:t>
            </w:r>
          </w:p>
        </w:tc>
        <w:tc>
          <w:tcPr>
            <w:tcW w:w="1006" w:type="dxa"/>
            <w:tcBorders>
              <w:top w:val="nil"/>
              <w:left w:val="nil"/>
              <w:bottom w:val="nil"/>
              <w:right w:val="nil"/>
            </w:tcBorders>
            <w:shd w:val="clear" w:color="auto" w:fill="auto"/>
            <w:noWrap/>
            <w:vAlign w:val="bottom"/>
            <w:hideMark/>
          </w:tcPr>
          <w:p w14:paraId="48C3AE26" w14:textId="77777777" w:rsidR="00F03181" w:rsidRPr="00000A57" w:rsidRDefault="00F03181" w:rsidP="00F03181">
            <w:pPr>
              <w:spacing w:line="240" w:lineRule="auto"/>
              <w:jc w:val="right"/>
              <w:rPr>
                <w:rFonts w:eastAsia="Times New Roman"/>
                <w:color w:val="000000"/>
                <w:sz w:val="20"/>
                <w:szCs w:val="20"/>
                <w:lang w:val="en-US"/>
              </w:rPr>
            </w:pPr>
            <w:r w:rsidRPr="00000A57">
              <w:rPr>
                <w:rFonts w:eastAsia="Times New Roman"/>
                <w:color w:val="000000"/>
                <w:sz w:val="20"/>
                <w:szCs w:val="20"/>
                <w:lang w:val="en-US"/>
              </w:rPr>
              <w:t>500</w:t>
            </w:r>
          </w:p>
        </w:tc>
        <w:tc>
          <w:tcPr>
            <w:tcW w:w="1006" w:type="dxa"/>
            <w:tcBorders>
              <w:top w:val="nil"/>
              <w:left w:val="nil"/>
              <w:bottom w:val="nil"/>
              <w:right w:val="nil"/>
            </w:tcBorders>
            <w:shd w:val="clear" w:color="auto" w:fill="auto"/>
            <w:noWrap/>
            <w:vAlign w:val="bottom"/>
            <w:hideMark/>
          </w:tcPr>
          <w:p w14:paraId="15FCC6F7"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500</w:t>
            </w:r>
          </w:p>
        </w:tc>
        <w:tc>
          <w:tcPr>
            <w:tcW w:w="1006" w:type="dxa"/>
            <w:tcBorders>
              <w:top w:val="nil"/>
              <w:left w:val="nil"/>
              <w:bottom w:val="nil"/>
              <w:right w:val="nil"/>
            </w:tcBorders>
            <w:shd w:val="clear" w:color="auto" w:fill="auto"/>
            <w:noWrap/>
            <w:vAlign w:val="bottom"/>
            <w:hideMark/>
          </w:tcPr>
          <w:p w14:paraId="1D69BF6F" w14:textId="77777777" w:rsidR="00F03181" w:rsidRPr="00000A57" w:rsidRDefault="00F03181" w:rsidP="00F03181">
            <w:pPr>
              <w:spacing w:line="240" w:lineRule="auto"/>
              <w:jc w:val="right"/>
              <w:rPr>
                <w:rFonts w:eastAsia="Times New Roman"/>
                <w:color w:val="000000"/>
                <w:sz w:val="20"/>
                <w:szCs w:val="20"/>
                <w:lang w:val="en-US"/>
              </w:rPr>
            </w:pPr>
            <w:r w:rsidRPr="00000A57">
              <w:rPr>
                <w:rFonts w:eastAsia="Times New Roman"/>
                <w:color w:val="000000"/>
                <w:sz w:val="20"/>
                <w:szCs w:val="20"/>
                <w:lang w:val="en-US"/>
              </w:rPr>
              <w:t>500</w:t>
            </w:r>
          </w:p>
        </w:tc>
        <w:tc>
          <w:tcPr>
            <w:tcW w:w="1006" w:type="dxa"/>
            <w:tcBorders>
              <w:top w:val="nil"/>
              <w:left w:val="nil"/>
              <w:bottom w:val="nil"/>
              <w:right w:val="single" w:sz="4" w:space="0" w:color="auto"/>
            </w:tcBorders>
            <w:shd w:val="clear" w:color="auto" w:fill="auto"/>
            <w:noWrap/>
            <w:vAlign w:val="bottom"/>
            <w:hideMark/>
          </w:tcPr>
          <w:p w14:paraId="7CE1C6A9" w14:textId="77777777" w:rsidR="00F03181" w:rsidRPr="00000A57" w:rsidRDefault="00F03181" w:rsidP="00F03181">
            <w:pPr>
              <w:spacing w:line="240" w:lineRule="auto"/>
              <w:jc w:val="right"/>
              <w:rPr>
                <w:rFonts w:eastAsia="Times New Roman"/>
                <w:color w:val="000000"/>
                <w:sz w:val="20"/>
                <w:szCs w:val="20"/>
                <w:lang w:val="en-US"/>
              </w:rPr>
            </w:pPr>
            <w:r w:rsidRPr="00000A57">
              <w:rPr>
                <w:rFonts w:eastAsia="Times New Roman"/>
                <w:color w:val="000000"/>
                <w:sz w:val="20"/>
                <w:szCs w:val="20"/>
                <w:lang w:val="en-US"/>
              </w:rPr>
              <w:t>500</w:t>
            </w:r>
          </w:p>
        </w:tc>
      </w:tr>
      <w:tr w:rsidR="00F03181" w:rsidRPr="00000A57" w14:paraId="64AF1896" w14:textId="77777777" w:rsidTr="00F03181">
        <w:trPr>
          <w:trHeight w:val="315"/>
        </w:trPr>
        <w:tc>
          <w:tcPr>
            <w:tcW w:w="1995" w:type="dxa"/>
            <w:tcBorders>
              <w:top w:val="nil"/>
              <w:left w:val="single" w:sz="4" w:space="0" w:color="auto"/>
              <w:bottom w:val="nil"/>
              <w:right w:val="nil"/>
            </w:tcBorders>
            <w:shd w:val="clear" w:color="auto" w:fill="auto"/>
            <w:noWrap/>
            <w:vAlign w:val="bottom"/>
            <w:hideMark/>
          </w:tcPr>
          <w:p w14:paraId="1B5384AE" w14:textId="77777777" w:rsidR="00F03181" w:rsidRPr="00000A57" w:rsidRDefault="00F03181" w:rsidP="00F03181">
            <w:pPr>
              <w:spacing w:line="240" w:lineRule="auto"/>
              <w:rPr>
                <w:rFonts w:eastAsia="Times New Roman"/>
                <w:sz w:val="20"/>
                <w:szCs w:val="20"/>
                <w:lang w:val="en-US"/>
              </w:rPr>
            </w:pPr>
            <w:r w:rsidRPr="00000A57">
              <w:rPr>
                <w:rFonts w:eastAsia="Times New Roman"/>
                <w:sz w:val="20"/>
                <w:szCs w:val="20"/>
                <w:lang w:val="en-US"/>
              </w:rPr>
              <w:t>Risk Free Rate</w:t>
            </w:r>
          </w:p>
        </w:tc>
        <w:tc>
          <w:tcPr>
            <w:tcW w:w="1006" w:type="dxa"/>
            <w:tcBorders>
              <w:top w:val="nil"/>
              <w:left w:val="single" w:sz="4" w:space="0" w:color="auto"/>
              <w:bottom w:val="nil"/>
              <w:right w:val="nil"/>
            </w:tcBorders>
            <w:shd w:val="clear" w:color="auto" w:fill="auto"/>
            <w:noWrap/>
            <w:vAlign w:val="bottom"/>
            <w:hideMark/>
          </w:tcPr>
          <w:p w14:paraId="6E15D50F"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6%</w:t>
            </w:r>
          </w:p>
        </w:tc>
        <w:tc>
          <w:tcPr>
            <w:tcW w:w="1006" w:type="dxa"/>
            <w:tcBorders>
              <w:top w:val="nil"/>
              <w:left w:val="nil"/>
              <w:bottom w:val="nil"/>
              <w:right w:val="nil"/>
            </w:tcBorders>
            <w:shd w:val="clear" w:color="auto" w:fill="auto"/>
            <w:noWrap/>
            <w:vAlign w:val="bottom"/>
            <w:hideMark/>
          </w:tcPr>
          <w:p w14:paraId="569B9616"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6%</w:t>
            </w:r>
          </w:p>
        </w:tc>
        <w:tc>
          <w:tcPr>
            <w:tcW w:w="1006" w:type="dxa"/>
            <w:tcBorders>
              <w:top w:val="nil"/>
              <w:left w:val="nil"/>
              <w:bottom w:val="nil"/>
              <w:right w:val="nil"/>
            </w:tcBorders>
            <w:shd w:val="clear" w:color="auto" w:fill="auto"/>
            <w:noWrap/>
            <w:vAlign w:val="bottom"/>
            <w:hideMark/>
          </w:tcPr>
          <w:p w14:paraId="29D9AABA"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6%</w:t>
            </w:r>
          </w:p>
        </w:tc>
        <w:tc>
          <w:tcPr>
            <w:tcW w:w="1006" w:type="dxa"/>
            <w:tcBorders>
              <w:top w:val="nil"/>
              <w:left w:val="nil"/>
              <w:bottom w:val="nil"/>
              <w:right w:val="nil"/>
            </w:tcBorders>
            <w:shd w:val="clear" w:color="auto" w:fill="auto"/>
            <w:noWrap/>
            <w:vAlign w:val="bottom"/>
            <w:hideMark/>
          </w:tcPr>
          <w:p w14:paraId="1E776828"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6%</w:t>
            </w:r>
          </w:p>
        </w:tc>
        <w:tc>
          <w:tcPr>
            <w:tcW w:w="1006" w:type="dxa"/>
            <w:tcBorders>
              <w:top w:val="nil"/>
              <w:left w:val="nil"/>
              <w:bottom w:val="nil"/>
              <w:right w:val="nil"/>
            </w:tcBorders>
            <w:shd w:val="clear" w:color="auto" w:fill="auto"/>
            <w:noWrap/>
            <w:vAlign w:val="bottom"/>
            <w:hideMark/>
          </w:tcPr>
          <w:p w14:paraId="65E37E0D"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6%</w:t>
            </w:r>
          </w:p>
        </w:tc>
        <w:tc>
          <w:tcPr>
            <w:tcW w:w="1006" w:type="dxa"/>
            <w:tcBorders>
              <w:top w:val="nil"/>
              <w:left w:val="nil"/>
              <w:bottom w:val="nil"/>
              <w:right w:val="nil"/>
            </w:tcBorders>
            <w:shd w:val="clear" w:color="auto" w:fill="auto"/>
            <w:noWrap/>
            <w:vAlign w:val="bottom"/>
            <w:hideMark/>
          </w:tcPr>
          <w:p w14:paraId="6367A96A"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6%</w:t>
            </w:r>
          </w:p>
        </w:tc>
        <w:tc>
          <w:tcPr>
            <w:tcW w:w="1006" w:type="dxa"/>
            <w:tcBorders>
              <w:top w:val="nil"/>
              <w:left w:val="nil"/>
              <w:bottom w:val="nil"/>
              <w:right w:val="single" w:sz="4" w:space="0" w:color="auto"/>
            </w:tcBorders>
            <w:shd w:val="clear" w:color="auto" w:fill="auto"/>
            <w:noWrap/>
            <w:vAlign w:val="bottom"/>
            <w:hideMark/>
          </w:tcPr>
          <w:p w14:paraId="1ADB288B"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6%</w:t>
            </w:r>
          </w:p>
        </w:tc>
      </w:tr>
      <w:tr w:rsidR="00F03181" w:rsidRPr="00000A57" w14:paraId="48AB16D6" w14:textId="77777777" w:rsidTr="00F03181">
        <w:trPr>
          <w:trHeight w:val="315"/>
        </w:trPr>
        <w:tc>
          <w:tcPr>
            <w:tcW w:w="1995" w:type="dxa"/>
            <w:tcBorders>
              <w:top w:val="nil"/>
              <w:left w:val="single" w:sz="4" w:space="0" w:color="auto"/>
              <w:bottom w:val="single" w:sz="4" w:space="0" w:color="auto"/>
              <w:right w:val="nil"/>
            </w:tcBorders>
            <w:shd w:val="clear" w:color="auto" w:fill="auto"/>
            <w:noWrap/>
            <w:vAlign w:val="bottom"/>
            <w:hideMark/>
          </w:tcPr>
          <w:p w14:paraId="2C4F2642" w14:textId="77777777" w:rsidR="00F03181" w:rsidRPr="00000A57" w:rsidRDefault="00F03181" w:rsidP="00F03181">
            <w:pPr>
              <w:spacing w:line="240" w:lineRule="auto"/>
              <w:rPr>
                <w:rFonts w:eastAsia="Times New Roman"/>
                <w:sz w:val="20"/>
                <w:szCs w:val="20"/>
                <w:lang w:val="en-US"/>
              </w:rPr>
            </w:pPr>
            <w:r w:rsidRPr="00000A57">
              <w:rPr>
                <w:rFonts w:eastAsia="Times New Roman"/>
                <w:sz w:val="20"/>
                <w:szCs w:val="20"/>
                <w:lang w:val="en-US"/>
              </w:rPr>
              <w:t>Volatility</w:t>
            </w:r>
          </w:p>
        </w:tc>
        <w:tc>
          <w:tcPr>
            <w:tcW w:w="1006" w:type="dxa"/>
            <w:tcBorders>
              <w:top w:val="nil"/>
              <w:left w:val="single" w:sz="4" w:space="0" w:color="auto"/>
              <w:bottom w:val="single" w:sz="4" w:space="0" w:color="auto"/>
              <w:right w:val="nil"/>
            </w:tcBorders>
            <w:shd w:val="clear" w:color="auto" w:fill="auto"/>
            <w:noWrap/>
            <w:vAlign w:val="bottom"/>
            <w:hideMark/>
          </w:tcPr>
          <w:p w14:paraId="737B7DCD"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65%</w:t>
            </w:r>
          </w:p>
        </w:tc>
        <w:tc>
          <w:tcPr>
            <w:tcW w:w="1006" w:type="dxa"/>
            <w:tcBorders>
              <w:top w:val="nil"/>
              <w:left w:val="nil"/>
              <w:bottom w:val="single" w:sz="4" w:space="0" w:color="auto"/>
              <w:right w:val="nil"/>
            </w:tcBorders>
            <w:shd w:val="clear" w:color="auto" w:fill="auto"/>
            <w:noWrap/>
            <w:vAlign w:val="bottom"/>
            <w:hideMark/>
          </w:tcPr>
          <w:p w14:paraId="63961AC8"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65%</w:t>
            </w:r>
          </w:p>
        </w:tc>
        <w:tc>
          <w:tcPr>
            <w:tcW w:w="1006" w:type="dxa"/>
            <w:tcBorders>
              <w:top w:val="nil"/>
              <w:left w:val="nil"/>
              <w:bottom w:val="single" w:sz="4" w:space="0" w:color="auto"/>
              <w:right w:val="nil"/>
            </w:tcBorders>
            <w:shd w:val="clear" w:color="auto" w:fill="auto"/>
            <w:noWrap/>
            <w:vAlign w:val="bottom"/>
            <w:hideMark/>
          </w:tcPr>
          <w:p w14:paraId="108E477F"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65%</w:t>
            </w:r>
          </w:p>
        </w:tc>
        <w:tc>
          <w:tcPr>
            <w:tcW w:w="1006" w:type="dxa"/>
            <w:tcBorders>
              <w:top w:val="nil"/>
              <w:left w:val="nil"/>
              <w:bottom w:val="single" w:sz="4" w:space="0" w:color="auto"/>
              <w:right w:val="nil"/>
            </w:tcBorders>
            <w:shd w:val="clear" w:color="auto" w:fill="auto"/>
            <w:noWrap/>
            <w:vAlign w:val="bottom"/>
            <w:hideMark/>
          </w:tcPr>
          <w:p w14:paraId="3D5988A3"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65%</w:t>
            </w:r>
          </w:p>
        </w:tc>
        <w:tc>
          <w:tcPr>
            <w:tcW w:w="1006" w:type="dxa"/>
            <w:tcBorders>
              <w:top w:val="nil"/>
              <w:left w:val="nil"/>
              <w:bottom w:val="single" w:sz="4" w:space="0" w:color="auto"/>
              <w:right w:val="nil"/>
            </w:tcBorders>
            <w:shd w:val="clear" w:color="auto" w:fill="auto"/>
            <w:noWrap/>
            <w:vAlign w:val="bottom"/>
            <w:hideMark/>
          </w:tcPr>
          <w:p w14:paraId="2EDBA337"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65%</w:t>
            </w:r>
          </w:p>
        </w:tc>
        <w:tc>
          <w:tcPr>
            <w:tcW w:w="1006" w:type="dxa"/>
            <w:tcBorders>
              <w:top w:val="nil"/>
              <w:left w:val="nil"/>
              <w:bottom w:val="single" w:sz="4" w:space="0" w:color="auto"/>
              <w:right w:val="nil"/>
            </w:tcBorders>
            <w:shd w:val="clear" w:color="auto" w:fill="auto"/>
            <w:noWrap/>
            <w:vAlign w:val="bottom"/>
            <w:hideMark/>
          </w:tcPr>
          <w:p w14:paraId="3B115231"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65%</w:t>
            </w:r>
          </w:p>
        </w:tc>
        <w:tc>
          <w:tcPr>
            <w:tcW w:w="1006" w:type="dxa"/>
            <w:tcBorders>
              <w:top w:val="nil"/>
              <w:left w:val="nil"/>
              <w:bottom w:val="single" w:sz="4" w:space="0" w:color="auto"/>
              <w:right w:val="single" w:sz="4" w:space="0" w:color="auto"/>
            </w:tcBorders>
            <w:shd w:val="clear" w:color="auto" w:fill="auto"/>
            <w:noWrap/>
            <w:vAlign w:val="bottom"/>
            <w:hideMark/>
          </w:tcPr>
          <w:p w14:paraId="228AFA25"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65%</w:t>
            </w:r>
          </w:p>
        </w:tc>
      </w:tr>
      <w:tr w:rsidR="00F03181" w:rsidRPr="00000A57" w14:paraId="58DD1C4A" w14:textId="77777777" w:rsidTr="00F03181">
        <w:trPr>
          <w:trHeight w:val="315"/>
        </w:trPr>
        <w:tc>
          <w:tcPr>
            <w:tcW w:w="1995" w:type="dxa"/>
            <w:tcBorders>
              <w:top w:val="nil"/>
              <w:left w:val="nil"/>
              <w:bottom w:val="nil"/>
              <w:right w:val="nil"/>
            </w:tcBorders>
            <w:shd w:val="clear" w:color="auto" w:fill="auto"/>
            <w:noWrap/>
            <w:vAlign w:val="bottom"/>
            <w:hideMark/>
          </w:tcPr>
          <w:p w14:paraId="6697EED3" w14:textId="77777777" w:rsidR="00F03181" w:rsidRPr="00000A57" w:rsidRDefault="00F03181" w:rsidP="00F03181">
            <w:pPr>
              <w:spacing w:line="240" w:lineRule="auto"/>
              <w:jc w:val="right"/>
              <w:rPr>
                <w:rFonts w:eastAsia="Times New Roman"/>
                <w:sz w:val="20"/>
                <w:szCs w:val="20"/>
                <w:lang w:val="en-US"/>
              </w:rPr>
            </w:pPr>
          </w:p>
        </w:tc>
        <w:tc>
          <w:tcPr>
            <w:tcW w:w="1006" w:type="dxa"/>
            <w:tcBorders>
              <w:top w:val="nil"/>
              <w:left w:val="nil"/>
              <w:bottom w:val="nil"/>
              <w:right w:val="nil"/>
            </w:tcBorders>
            <w:shd w:val="clear" w:color="auto" w:fill="auto"/>
            <w:noWrap/>
            <w:vAlign w:val="bottom"/>
            <w:hideMark/>
          </w:tcPr>
          <w:p w14:paraId="6DB201BF" w14:textId="77777777" w:rsidR="00F03181" w:rsidRPr="00000A57" w:rsidRDefault="00F03181" w:rsidP="00F03181">
            <w:pPr>
              <w:spacing w:line="240" w:lineRule="auto"/>
              <w:rPr>
                <w:rFonts w:ascii="Times New Roman" w:eastAsia="Times New Roman" w:hAnsi="Times New Roman" w:cs="Times New Roman"/>
                <w:sz w:val="20"/>
                <w:szCs w:val="20"/>
                <w:lang w:val="en-US"/>
              </w:rPr>
            </w:pPr>
          </w:p>
        </w:tc>
        <w:tc>
          <w:tcPr>
            <w:tcW w:w="1006" w:type="dxa"/>
            <w:tcBorders>
              <w:top w:val="nil"/>
              <w:left w:val="nil"/>
              <w:bottom w:val="nil"/>
              <w:right w:val="nil"/>
            </w:tcBorders>
            <w:shd w:val="clear" w:color="auto" w:fill="auto"/>
            <w:noWrap/>
            <w:vAlign w:val="bottom"/>
            <w:hideMark/>
          </w:tcPr>
          <w:p w14:paraId="60F9E835" w14:textId="77777777" w:rsidR="00F03181" w:rsidRPr="00000A57" w:rsidRDefault="00F03181" w:rsidP="00F03181">
            <w:pPr>
              <w:spacing w:line="240" w:lineRule="auto"/>
              <w:rPr>
                <w:rFonts w:ascii="Times New Roman" w:eastAsia="Times New Roman" w:hAnsi="Times New Roman" w:cs="Times New Roman"/>
                <w:sz w:val="20"/>
                <w:szCs w:val="20"/>
                <w:lang w:val="en-US"/>
              </w:rPr>
            </w:pPr>
          </w:p>
        </w:tc>
        <w:tc>
          <w:tcPr>
            <w:tcW w:w="1006" w:type="dxa"/>
            <w:tcBorders>
              <w:top w:val="nil"/>
              <w:left w:val="nil"/>
              <w:bottom w:val="nil"/>
              <w:right w:val="nil"/>
            </w:tcBorders>
            <w:shd w:val="clear" w:color="auto" w:fill="auto"/>
            <w:noWrap/>
            <w:vAlign w:val="bottom"/>
            <w:hideMark/>
          </w:tcPr>
          <w:p w14:paraId="6E4E21C7" w14:textId="77777777" w:rsidR="00F03181" w:rsidRPr="00000A57" w:rsidRDefault="00F03181" w:rsidP="00F03181">
            <w:pPr>
              <w:spacing w:line="240" w:lineRule="auto"/>
              <w:rPr>
                <w:rFonts w:ascii="Times New Roman" w:eastAsia="Times New Roman" w:hAnsi="Times New Roman" w:cs="Times New Roman"/>
                <w:sz w:val="20"/>
                <w:szCs w:val="20"/>
                <w:lang w:val="en-US"/>
              </w:rPr>
            </w:pPr>
          </w:p>
        </w:tc>
        <w:tc>
          <w:tcPr>
            <w:tcW w:w="1006" w:type="dxa"/>
            <w:tcBorders>
              <w:top w:val="nil"/>
              <w:left w:val="nil"/>
              <w:bottom w:val="nil"/>
              <w:right w:val="nil"/>
            </w:tcBorders>
            <w:shd w:val="clear" w:color="auto" w:fill="auto"/>
            <w:noWrap/>
            <w:vAlign w:val="bottom"/>
            <w:hideMark/>
          </w:tcPr>
          <w:p w14:paraId="4672B80B" w14:textId="77777777" w:rsidR="00F03181" w:rsidRPr="00000A57" w:rsidRDefault="00F03181" w:rsidP="00F03181">
            <w:pPr>
              <w:spacing w:line="240" w:lineRule="auto"/>
              <w:rPr>
                <w:rFonts w:ascii="Times New Roman" w:eastAsia="Times New Roman" w:hAnsi="Times New Roman" w:cs="Times New Roman"/>
                <w:sz w:val="20"/>
                <w:szCs w:val="20"/>
                <w:lang w:val="en-US"/>
              </w:rPr>
            </w:pPr>
          </w:p>
        </w:tc>
        <w:tc>
          <w:tcPr>
            <w:tcW w:w="1006" w:type="dxa"/>
            <w:tcBorders>
              <w:top w:val="nil"/>
              <w:left w:val="nil"/>
              <w:bottom w:val="nil"/>
              <w:right w:val="nil"/>
            </w:tcBorders>
            <w:shd w:val="clear" w:color="auto" w:fill="auto"/>
            <w:noWrap/>
            <w:vAlign w:val="bottom"/>
            <w:hideMark/>
          </w:tcPr>
          <w:p w14:paraId="3A0B5570" w14:textId="77777777" w:rsidR="00F03181" w:rsidRPr="00000A57" w:rsidRDefault="00F03181" w:rsidP="00F03181">
            <w:pPr>
              <w:spacing w:line="240" w:lineRule="auto"/>
              <w:rPr>
                <w:rFonts w:ascii="Times New Roman" w:eastAsia="Times New Roman" w:hAnsi="Times New Roman" w:cs="Times New Roman"/>
                <w:sz w:val="20"/>
                <w:szCs w:val="20"/>
                <w:lang w:val="en-US"/>
              </w:rPr>
            </w:pPr>
          </w:p>
        </w:tc>
        <w:tc>
          <w:tcPr>
            <w:tcW w:w="1006" w:type="dxa"/>
            <w:tcBorders>
              <w:top w:val="nil"/>
              <w:left w:val="nil"/>
              <w:bottom w:val="nil"/>
              <w:right w:val="nil"/>
            </w:tcBorders>
            <w:shd w:val="clear" w:color="auto" w:fill="auto"/>
            <w:noWrap/>
            <w:vAlign w:val="bottom"/>
            <w:hideMark/>
          </w:tcPr>
          <w:p w14:paraId="5FD9828D" w14:textId="77777777" w:rsidR="00F03181" w:rsidRPr="00000A57" w:rsidRDefault="00F03181" w:rsidP="00F03181">
            <w:pPr>
              <w:spacing w:line="240" w:lineRule="auto"/>
              <w:rPr>
                <w:rFonts w:ascii="Times New Roman" w:eastAsia="Times New Roman" w:hAnsi="Times New Roman" w:cs="Times New Roman"/>
                <w:sz w:val="20"/>
                <w:szCs w:val="20"/>
                <w:lang w:val="en-US"/>
              </w:rPr>
            </w:pPr>
          </w:p>
        </w:tc>
        <w:tc>
          <w:tcPr>
            <w:tcW w:w="1006" w:type="dxa"/>
            <w:tcBorders>
              <w:top w:val="nil"/>
              <w:left w:val="nil"/>
              <w:bottom w:val="nil"/>
              <w:right w:val="nil"/>
            </w:tcBorders>
            <w:shd w:val="clear" w:color="auto" w:fill="auto"/>
            <w:noWrap/>
            <w:vAlign w:val="bottom"/>
            <w:hideMark/>
          </w:tcPr>
          <w:p w14:paraId="36724566" w14:textId="77777777" w:rsidR="00F03181" w:rsidRPr="00000A57" w:rsidRDefault="00F03181" w:rsidP="00F03181">
            <w:pPr>
              <w:spacing w:line="240" w:lineRule="auto"/>
              <w:rPr>
                <w:rFonts w:ascii="Times New Roman" w:eastAsia="Times New Roman" w:hAnsi="Times New Roman" w:cs="Times New Roman"/>
                <w:sz w:val="20"/>
                <w:szCs w:val="20"/>
                <w:lang w:val="en-US"/>
              </w:rPr>
            </w:pPr>
          </w:p>
        </w:tc>
      </w:tr>
      <w:tr w:rsidR="00F03181" w:rsidRPr="00000A57" w14:paraId="35795826" w14:textId="77777777" w:rsidTr="00F03181">
        <w:trPr>
          <w:trHeight w:val="315"/>
        </w:trPr>
        <w:tc>
          <w:tcPr>
            <w:tcW w:w="1995" w:type="dxa"/>
            <w:tcBorders>
              <w:top w:val="single" w:sz="4" w:space="0" w:color="auto"/>
              <w:left w:val="single" w:sz="4" w:space="0" w:color="auto"/>
              <w:bottom w:val="single" w:sz="4" w:space="0" w:color="auto"/>
              <w:right w:val="nil"/>
            </w:tcBorders>
            <w:shd w:val="clear" w:color="auto" w:fill="auto"/>
            <w:noWrap/>
            <w:vAlign w:val="bottom"/>
            <w:hideMark/>
          </w:tcPr>
          <w:p w14:paraId="3593329A" w14:textId="77777777" w:rsidR="00F03181" w:rsidRPr="00000A57" w:rsidRDefault="00F03181" w:rsidP="00F03181">
            <w:pPr>
              <w:spacing w:line="240" w:lineRule="auto"/>
              <w:rPr>
                <w:rFonts w:eastAsia="Times New Roman"/>
                <w:b/>
                <w:bCs/>
                <w:sz w:val="20"/>
                <w:szCs w:val="20"/>
                <w:lang w:val="en-US"/>
              </w:rPr>
            </w:pPr>
            <w:r w:rsidRPr="00000A57">
              <w:rPr>
                <w:rFonts w:eastAsia="Times New Roman"/>
                <w:b/>
                <w:bCs/>
                <w:sz w:val="20"/>
                <w:szCs w:val="20"/>
                <w:lang w:val="en-US"/>
              </w:rPr>
              <w:t>Calculations</w:t>
            </w:r>
          </w:p>
        </w:tc>
        <w:tc>
          <w:tcPr>
            <w:tcW w:w="1006" w:type="dxa"/>
            <w:tcBorders>
              <w:top w:val="single" w:sz="4" w:space="0" w:color="auto"/>
              <w:left w:val="single" w:sz="4" w:space="0" w:color="auto"/>
              <w:bottom w:val="single" w:sz="4" w:space="0" w:color="auto"/>
              <w:right w:val="nil"/>
            </w:tcBorders>
            <w:shd w:val="clear" w:color="auto" w:fill="auto"/>
            <w:noWrap/>
            <w:vAlign w:val="bottom"/>
            <w:hideMark/>
          </w:tcPr>
          <w:p w14:paraId="6B09111D" w14:textId="77777777" w:rsidR="00F03181" w:rsidRPr="00000A57" w:rsidRDefault="00F03181" w:rsidP="00F03181">
            <w:pPr>
              <w:spacing w:line="240" w:lineRule="auto"/>
              <w:rPr>
                <w:rFonts w:eastAsia="Times New Roman"/>
                <w:color w:val="000000"/>
                <w:sz w:val="20"/>
                <w:szCs w:val="20"/>
                <w:lang w:val="en-US"/>
              </w:rPr>
            </w:pPr>
            <w:r w:rsidRPr="00000A57">
              <w:rPr>
                <w:rFonts w:eastAsia="Times New Roman"/>
                <w:color w:val="000000"/>
                <w:sz w:val="20"/>
                <w:szCs w:val="20"/>
                <w:lang w:val="en-US"/>
              </w:rPr>
              <w:t> </w:t>
            </w:r>
          </w:p>
        </w:tc>
        <w:tc>
          <w:tcPr>
            <w:tcW w:w="1006" w:type="dxa"/>
            <w:tcBorders>
              <w:top w:val="single" w:sz="4" w:space="0" w:color="auto"/>
              <w:left w:val="nil"/>
              <w:bottom w:val="single" w:sz="4" w:space="0" w:color="auto"/>
              <w:right w:val="nil"/>
            </w:tcBorders>
            <w:shd w:val="clear" w:color="auto" w:fill="auto"/>
            <w:noWrap/>
            <w:vAlign w:val="bottom"/>
            <w:hideMark/>
          </w:tcPr>
          <w:p w14:paraId="55E27733" w14:textId="77777777" w:rsidR="00F03181" w:rsidRPr="00000A57" w:rsidRDefault="00F03181" w:rsidP="00F03181">
            <w:pPr>
              <w:spacing w:line="240" w:lineRule="auto"/>
              <w:rPr>
                <w:rFonts w:eastAsia="Times New Roman"/>
                <w:color w:val="000000"/>
                <w:sz w:val="20"/>
                <w:szCs w:val="20"/>
                <w:lang w:val="en-US"/>
              </w:rPr>
            </w:pPr>
            <w:r w:rsidRPr="00000A57">
              <w:rPr>
                <w:rFonts w:eastAsia="Times New Roman"/>
                <w:color w:val="000000"/>
                <w:sz w:val="20"/>
                <w:szCs w:val="20"/>
                <w:lang w:val="en-US"/>
              </w:rPr>
              <w:t> </w:t>
            </w:r>
          </w:p>
        </w:tc>
        <w:tc>
          <w:tcPr>
            <w:tcW w:w="1006" w:type="dxa"/>
            <w:tcBorders>
              <w:top w:val="single" w:sz="4" w:space="0" w:color="auto"/>
              <w:left w:val="nil"/>
              <w:bottom w:val="single" w:sz="4" w:space="0" w:color="auto"/>
              <w:right w:val="nil"/>
            </w:tcBorders>
            <w:shd w:val="clear" w:color="auto" w:fill="auto"/>
            <w:noWrap/>
            <w:vAlign w:val="bottom"/>
            <w:hideMark/>
          </w:tcPr>
          <w:p w14:paraId="6C03CE7E" w14:textId="77777777" w:rsidR="00F03181" w:rsidRPr="00000A57" w:rsidRDefault="00F03181" w:rsidP="00F03181">
            <w:pPr>
              <w:spacing w:line="240" w:lineRule="auto"/>
              <w:rPr>
                <w:rFonts w:eastAsia="Times New Roman"/>
                <w:color w:val="000000"/>
                <w:sz w:val="20"/>
                <w:szCs w:val="20"/>
                <w:lang w:val="en-US"/>
              </w:rPr>
            </w:pPr>
            <w:r w:rsidRPr="00000A57">
              <w:rPr>
                <w:rFonts w:eastAsia="Times New Roman"/>
                <w:color w:val="000000"/>
                <w:sz w:val="20"/>
                <w:szCs w:val="20"/>
                <w:lang w:val="en-US"/>
              </w:rPr>
              <w:t> </w:t>
            </w:r>
          </w:p>
        </w:tc>
        <w:tc>
          <w:tcPr>
            <w:tcW w:w="1006" w:type="dxa"/>
            <w:tcBorders>
              <w:top w:val="single" w:sz="4" w:space="0" w:color="auto"/>
              <w:left w:val="nil"/>
              <w:bottom w:val="single" w:sz="4" w:space="0" w:color="auto"/>
              <w:right w:val="nil"/>
            </w:tcBorders>
            <w:shd w:val="clear" w:color="auto" w:fill="auto"/>
            <w:noWrap/>
            <w:vAlign w:val="bottom"/>
            <w:hideMark/>
          </w:tcPr>
          <w:p w14:paraId="6915B859" w14:textId="77777777" w:rsidR="00F03181" w:rsidRPr="00000A57" w:rsidRDefault="00F03181" w:rsidP="00F03181">
            <w:pPr>
              <w:spacing w:line="240" w:lineRule="auto"/>
              <w:rPr>
                <w:rFonts w:eastAsia="Times New Roman"/>
                <w:color w:val="000000"/>
                <w:sz w:val="20"/>
                <w:szCs w:val="20"/>
                <w:lang w:val="en-US"/>
              </w:rPr>
            </w:pPr>
            <w:r w:rsidRPr="00000A57">
              <w:rPr>
                <w:rFonts w:eastAsia="Times New Roman"/>
                <w:color w:val="000000"/>
                <w:sz w:val="20"/>
                <w:szCs w:val="20"/>
                <w:lang w:val="en-US"/>
              </w:rPr>
              <w:t> </w:t>
            </w:r>
          </w:p>
        </w:tc>
        <w:tc>
          <w:tcPr>
            <w:tcW w:w="1006" w:type="dxa"/>
            <w:tcBorders>
              <w:top w:val="single" w:sz="4" w:space="0" w:color="auto"/>
              <w:left w:val="nil"/>
              <w:bottom w:val="single" w:sz="4" w:space="0" w:color="auto"/>
              <w:right w:val="nil"/>
            </w:tcBorders>
            <w:shd w:val="clear" w:color="auto" w:fill="auto"/>
            <w:noWrap/>
            <w:vAlign w:val="bottom"/>
            <w:hideMark/>
          </w:tcPr>
          <w:p w14:paraId="014E22DA" w14:textId="77777777" w:rsidR="00F03181" w:rsidRPr="00000A57" w:rsidRDefault="00F03181" w:rsidP="00F03181">
            <w:pPr>
              <w:spacing w:line="240" w:lineRule="auto"/>
              <w:rPr>
                <w:rFonts w:eastAsia="Times New Roman"/>
                <w:color w:val="000000"/>
                <w:sz w:val="20"/>
                <w:szCs w:val="20"/>
                <w:lang w:val="en-US"/>
              </w:rPr>
            </w:pPr>
            <w:r w:rsidRPr="00000A57">
              <w:rPr>
                <w:rFonts w:eastAsia="Times New Roman"/>
                <w:color w:val="000000"/>
                <w:sz w:val="20"/>
                <w:szCs w:val="20"/>
                <w:lang w:val="en-US"/>
              </w:rPr>
              <w:t> </w:t>
            </w:r>
          </w:p>
        </w:tc>
        <w:tc>
          <w:tcPr>
            <w:tcW w:w="1006" w:type="dxa"/>
            <w:tcBorders>
              <w:top w:val="single" w:sz="4" w:space="0" w:color="auto"/>
              <w:left w:val="nil"/>
              <w:bottom w:val="single" w:sz="4" w:space="0" w:color="auto"/>
              <w:right w:val="nil"/>
            </w:tcBorders>
            <w:shd w:val="clear" w:color="auto" w:fill="auto"/>
            <w:noWrap/>
            <w:vAlign w:val="bottom"/>
            <w:hideMark/>
          </w:tcPr>
          <w:p w14:paraId="2D9BA39E" w14:textId="77777777" w:rsidR="00F03181" w:rsidRPr="00000A57" w:rsidRDefault="00F03181" w:rsidP="00F03181">
            <w:pPr>
              <w:spacing w:line="240" w:lineRule="auto"/>
              <w:rPr>
                <w:rFonts w:eastAsia="Times New Roman"/>
                <w:color w:val="000000"/>
                <w:sz w:val="20"/>
                <w:szCs w:val="20"/>
                <w:lang w:val="en-US"/>
              </w:rPr>
            </w:pPr>
            <w:r w:rsidRPr="00000A57">
              <w:rPr>
                <w:rFonts w:eastAsia="Times New Roman"/>
                <w:color w:val="000000"/>
                <w:sz w:val="20"/>
                <w:szCs w:val="20"/>
                <w:lang w:val="en-US"/>
              </w:rPr>
              <w:t> </w:t>
            </w:r>
          </w:p>
        </w:tc>
        <w:tc>
          <w:tcPr>
            <w:tcW w:w="1006" w:type="dxa"/>
            <w:tcBorders>
              <w:top w:val="single" w:sz="4" w:space="0" w:color="auto"/>
              <w:left w:val="nil"/>
              <w:bottom w:val="single" w:sz="4" w:space="0" w:color="auto"/>
              <w:right w:val="single" w:sz="4" w:space="0" w:color="auto"/>
            </w:tcBorders>
            <w:shd w:val="clear" w:color="auto" w:fill="auto"/>
            <w:noWrap/>
            <w:vAlign w:val="bottom"/>
            <w:hideMark/>
          </w:tcPr>
          <w:p w14:paraId="46E0B47F" w14:textId="77777777" w:rsidR="00F03181" w:rsidRPr="00000A57" w:rsidRDefault="00F03181" w:rsidP="00F03181">
            <w:pPr>
              <w:spacing w:line="240" w:lineRule="auto"/>
              <w:rPr>
                <w:rFonts w:eastAsia="Times New Roman"/>
                <w:color w:val="000000"/>
                <w:sz w:val="20"/>
                <w:szCs w:val="20"/>
                <w:lang w:val="en-US"/>
              </w:rPr>
            </w:pPr>
            <w:r w:rsidRPr="00000A57">
              <w:rPr>
                <w:rFonts w:eastAsia="Times New Roman"/>
                <w:color w:val="000000"/>
                <w:sz w:val="20"/>
                <w:szCs w:val="20"/>
                <w:lang w:val="en-US"/>
              </w:rPr>
              <w:t> </w:t>
            </w:r>
          </w:p>
        </w:tc>
      </w:tr>
      <w:tr w:rsidR="00F03181" w:rsidRPr="00000A57" w14:paraId="1EA6AE23" w14:textId="77777777" w:rsidTr="00F03181">
        <w:trPr>
          <w:trHeight w:val="315"/>
        </w:trPr>
        <w:tc>
          <w:tcPr>
            <w:tcW w:w="1995" w:type="dxa"/>
            <w:tcBorders>
              <w:top w:val="nil"/>
              <w:left w:val="single" w:sz="4" w:space="0" w:color="auto"/>
              <w:bottom w:val="nil"/>
              <w:right w:val="nil"/>
            </w:tcBorders>
            <w:shd w:val="clear" w:color="auto" w:fill="auto"/>
            <w:noWrap/>
            <w:vAlign w:val="bottom"/>
            <w:hideMark/>
          </w:tcPr>
          <w:p w14:paraId="0B376A19" w14:textId="77777777" w:rsidR="00F03181" w:rsidRPr="00000A57" w:rsidRDefault="00F03181" w:rsidP="00F03181">
            <w:pPr>
              <w:spacing w:line="240" w:lineRule="auto"/>
              <w:rPr>
                <w:rFonts w:eastAsia="Times New Roman"/>
                <w:sz w:val="20"/>
                <w:szCs w:val="20"/>
                <w:lang w:val="en-US"/>
              </w:rPr>
            </w:pPr>
            <w:r w:rsidRPr="00000A57">
              <w:rPr>
                <w:rFonts w:eastAsia="Times New Roman"/>
                <w:sz w:val="20"/>
                <w:szCs w:val="20"/>
                <w:lang w:val="en-US"/>
              </w:rPr>
              <w:t>d1</w:t>
            </w:r>
          </w:p>
        </w:tc>
        <w:tc>
          <w:tcPr>
            <w:tcW w:w="1006" w:type="dxa"/>
            <w:tcBorders>
              <w:top w:val="nil"/>
              <w:left w:val="single" w:sz="4" w:space="0" w:color="auto"/>
              <w:bottom w:val="nil"/>
              <w:right w:val="nil"/>
            </w:tcBorders>
            <w:shd w:val="clear" w:color="auto" w:fill="auto"/>
            <w:noWrap/>
            <w:vAlign w:val="bottom"/>
            <w:hideMark/>
          </w:tcPr>
          <w:p w14:paraId="67EDEEB6"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-0.1742</w:t>
            </w:r>
          </w:p>
        </w:tc>
        <w:tc>
          <w:tcPr>
            <w:tcW w:w="1006" w:type="dxa"/>
            <w:tcBorders>
              <w:top w:val="nil"/>
              <w:left w:val="nil"/>
              <w:bottom w:val="nil"/>
              <w:right w:val="nil"/>
            </w:tcBorders>
            <w:shd w:val="clear" w:color="auto" w:fill="auto"/>
            <w:noWrap/>
            <w:vAlign w:val="bottom"/>
            <w:hideMark/>
          </w:tcPr>
          <w:p w14:paraId="2DEBADB6"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-0.0488</w:t>
            </w:r>
          </w:p>
        </w:tc>
        <w:tc>
          <w:tcPr>
            <w:tcW w:w="1006" w:type="dxa"/>
            <w:tcBorders>
              <w:top w:val="nil"/>
              <w:left w:val="nil"/>
              <w:bottom w:val="nil"/>
              <w:right w:val="nil"/>
            </w:tcBorders>
            <w:shd w:val="clear" w:color="auto" w:fill="auto"/>
            <w:noWrap/>
            <w:vAlign w:val="bottom"/>
            <w:hideMark/>
          </w:tcPr>
          <w:p w14:paraId="4573E0AE"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0.0573</w:t>
            </w:r>
          </w:p>
        </w:tc>
        <w:tc>
          <w:tcPr>
            <w:tcW w:w="1006" w:type="dxa"/>
            <w:tcBorders>
              <w:top w:val="nil"/>
              <w:left w:val="nil"/>
              <w:bottom w:val="nil"/>
              <w:right w:val="nil"/>
            </w:tcBorders>
            <w:shd w:val="clear" w:color="auto" w:fill="auto"/>
            <w:noWrap/>
            <w:vAlign w:val="bottom"/>
            <w:hideMark/>
          </w:tcPr>
          <w:p w14:paraId="097F4A95"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0.1492</w:t>
            </w:r>
          </w:p>
        </w:tc>
        <w:tc>
          <w:tcPr>
            <w:tcW w:w="1006" w:type="dxa"/>
            <w:tcBorders>
              <w:top w:val="nil"/>
              <w:left w:val="nil"/>
              <w:bottom w:val="nil"/>
              <w:right w:val="nil"/>
            </w:tcBorders>
            <w:shd w:val="clear" w:color="auto" w:fill="auto"/>
            <w:noWrap/>
            <w:vAlign w:val="bottom"/>
            <w:hideMark/>
          </w:tcPr>
          <w:p w14:paraId="735CE1A9"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0.2302</w:t>
            </w:r>
          </w:p>
        </w:tc>
        <w:tc>
          <w:tcPr>
            <w:tcW w:w="1006" w:type="dxa"/>
            <w:tcBorders>
              <w:top w:val="nil"/>
              <w:left w:val="nil"/>
              <w:bottom w:val="nil"/>
              <w:right w:val="single" w:sz="4" w:space="0" w:color="auto"/>
            </w:tcBorders>
            <w:shd w:val="clear" w:color="auto" w:fill="auto"/>
            <w:noWrap/>
            <w:vAlign w:val="bottom"/>
            <w:hideMark/>
          </w:tcPr>
          <w:p w14:paraId="4D49FEB0"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0.3027</w:t>
            </w:r>
          </w:p>
        </w:tc>
        <w:tc>
          <w:tcPr>
            <w:tcW w:w="1006" w:type="dxa"/>
            <w:tcBorders>
              <w:top w:val="nil"/>
              <w:left w:val="nil"/>
              <w:bottom w:val="nil"/>
              <w:right w:val="single" w:sz="4" w:space="0" w:color="auto"/>
            </w:tcBorders>
            <w:shd w:val="clear" w:color="auto" w:fill="auto"/>
            <w:noWrap/>
            <w:vAlign w:val="bottom"/>
            <w:hideMark/>
          </w:tcPr>
          <w:p w14:paraId="2ABC8E2A"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0.5817</w:t>
            </w:r>
          </w:p>
        </w:tc>
      </w:tr>
      <w:tr w:rsidR="00F03181" w:rsidRPr="00000A57" w14:paraId="56E859A3" w14:textId="77777777" w:rsidTr="00F03181">
        <w:trPr>
          <w:trHeight w:val="315"/>
        </w:trPr>
        <w:tc>
          <w:tcPr>
            <w:tcW w:w="1995" w:type="dxa"/>
            <w:tcBorders>
              <w:top w:val="nil"/>
              <w:left w:val="single" w:sz="4" w:space="0" w:color="auto"/>
              <w:bottom w:val="nil"/>
              <w:right w:val="nil"/>
            </w:tcBorders>
            <w:shd w:val="clear" w:color="auto" w:fill="auto"/>
            <w:noWrap/>
            <w:vAlign w:val="bottom"/>
            <w:hideMark/>
          </w:tcPr>
          <w:p w14:paraId="7B733620" w14:textId="77777777" w:rsidR="00F03181" w:rsidRPr="00000A57" w:rsidRDefault="00F03181" w:rsidP="00F03181">
            <w:pPr>
              <w:spacing w:line="240" w:lineRule="auto"/>
              <w:rPr>
                <w:rFonts w:eastAsia="Times New Roman"/>
                <w:sz w:val="20"/>
                <w:szCs w:val="20"/>
                <w:lang w:val="en-US"/>
              </w:rPr>
            </w:pPr>
            <w:r w:rsidRPr="00000A57">
              <w:rPr>
                <w:rFonts w:eastAsia="Times New Roman"/>
                <w:sz w:val="20"/>
                <w:szCs w:val="20"/>
                <w:lang w:val="en-US"/>
              </w:rPr>
              <w:t>d2</w:t>
            </w:r>
          </w:p>
        </w:tc>
        <w:tc>
          <w:tcPr>
            <w:tcW w:w="1006" w:type="dxa"/>
            <w:tcBorders>
              <w:top w:val="nil"/>
              <w:left w:val="single" w:sz="4" w:space="0" w:color="auto"/>
              <w:bottom w:val="nil"/>
              <w:right w:val="nil"/>
            </w:tcBorders>
            <w:shd w:val="clear" w:color="auto" w:fill="auto"/>
            <w:noWrap/>
            <w:vAlign w:val="bottom"/>
            <w:hideMark/>
          </w:tcPr>
          <w:p w14:paraId="0DF0596C"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-1.6276</w:t>
            </w:r>
          </w:p>
        </w:tc>
        <w:tc>
          <w:tcPr>
            <w:tcW w:w="1006" w:type="dxa"/>
            <w:tcBorders>
              <w:top w:val="nil"/>
              <w:left w:val="nil"/>
              <w:bottom w:val="nil"/>
              <w:right w:val="nil"/>
            </w:tcBorders>
            <w:shd w:val="clear" w:color="auto" w:fill="auto"/>
            <w:noWrap/>
            <w:vAlign w:val="bottom"/>
            <w:hideMark/>
          </w:tcPr>
          <w:p w14:paraId="58A33802"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-1.5022</w:t>
            </w:r>
          </w:p>
        </w:tc>
        <w:tc>
          <w:tcPr>
            <w:tcW w:w="1006" w:type="dxa"/>
            <w:tcBorders>
              <w:top w:val="nil"/>
              <w:left w:val="nil"/>
              <w:bottom w:val="nil"/>
              <w:right w:val="nil"/>
            </w:tcBorders>
            <w:shd w:val="clear" w:color="auto" w:fill="auto"/>
            <w:noWrap/>
            <w:vAlign w:val="bottom"/>
            <w:hideMark/>
          </w:tcPr>
          <w:p w14:paraId="08A89247"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-1.3961</w:t>
            </w:r>
          </w:p>
        </w:tc>
        <w:tc>
          <w:tcPr>
            <w:tcW w:w="1006" w:type="dxa"/>
            <w:tcBorders>
              <w:top w:val="nil"/>
              <w:left w:val="nil"/>
              <w:bottom w:val="nil"/>
              <w:right w:val="nil"/>
            </w:tcBorders>
            <w:shd w:val="clear" w:color="auto" w:fill="auto"/>
            <w:noWrap/>
            <w:vAlign w:val="bottom"/>
            <w:hideMark/>
          </w:tcPr>
          <w:p w14:paraId="46005056"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-1.3043</w:t>
            </w:r>
          </w:p>
        </w:tc>
        <w:tc>
          <w:tcPr>
            <w:tcW w:w="1006" w:type="dxa"/>
            <w:tcBorders>
              <w:top w:val="nil"/>
              <w:left w:val="nil"/>
              <w:bottom w:val="nil"/>
              <w:right w:val="nil"/>
            </w:tcBorders>
            <w:shd w:val="clear" w:color="auto" w:fill="auto"/>
            <w:noWrap/>
            <w:vAlign w:val="bottom"/>
            <w:hideMark/>
          </w:tcPr>
          <w:p w14:paraId="1516C2F8"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-1.2232</w:t>
            </w:r>
          </w:p>
        </w:tc>
        <w:tc>
          <w:tcPr>
            <w:tcW w:w="1006" w:type="dxa"/>
            <w:tcBorders>
              <w:top w:val="nil"/>
              <w:left w:val="nil"/>
              <w:bottom w:val="nil"/>
              <w:right w:val="nil"/>
            </w:tcBorders>
            <w:shd w:val="clear" w:color="auto" w:fill="auto"/>
            <w:noWrap/>
            <w:vAlign w:val="bottom"/>
            <w:hideMark/>
          </w:tcPr>
          <w:p w14:paraId="254261C3"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-1.1507</w:t>
            </w:r>
          </w:p>
        </w:tc>
        <w:tc>
          <w:tcPr>
            <w:tcW w:w="1006" w:type="dxa"/>
            <w:tcBorders>
              <w:top w:val="nil"/>
              <w:left w:val="nil"/>
              <w:bottom w:val="nil"/>
              <w:right w:val="single" w:sz="4" w:space="0" w:color="auto"/>
            </w:tcBorders>
            <w:shd w:val="clear" w:color="auto" w:fill="auto"/>
            <w:noWrap/>
            <w:vAlign w:val="bottom"/>
            <w:hideMark/>
          </w:tcPr>
          <w:p w14:paraId="7EAD3C1E"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-0.8718</w:t>
            </w:r>
          </w:p>
        </w:tc>
      </w:tr>
      <w:tr w:rsidR="00F03181" w:rsidRPr="00000A57" w14:paraId="1841047F" w14:textId="77777777" w:rsidTr="00F03181">
        <w:trPr>
          <w:trHeight w:val="315"/>
        </w:trPr>
        <w:tc>
          <w:tcPr>
            <w:tcW w:w="1995" w:type="dxa"/>
            <w:tcBorders>
              <w:top w:val="nil"/>
              <w:left w:val="single" w:sz="4" w:space="0" w:color="auto"/>
              <w:bottom w:val="nil"/>
              <w:right w:val="nil"/>
            </w:tcBorders>
            <w:shd w:val="clear" w:color="auto" w:fill="auto"/>
            <w:noWrap/>
            <w:vAlign w:val="bottom"/>
            <w:hideMark/>
          </w:tcPr>
          <w:p w14:paraId="2AC39D1B" w14:textId="77777777" w:rsidR="00F03181" w:rsidRPr="00000A57" w:rsidRDefault="00F03181" w:rsidP="00F03181">
            <w:pPr>
              <w:spacing w:line="240" w:lineRule="auto"/>
              <w:rPr>
                <w:rFonts w:eastAsia="Times New Roman"/>
                <w:sz w:val="20"/>
                <w:szCs w:val="20"/>
                <w:lang w:val="en-US"/>
              </w:rPr>
            </w:pPr>
            <w:r w:rsidRPr="00000A57">
              <w:rPr>
                <w:rFonts w:eastAsia="Times New Roman"/>
                <w:sz w:val="20"/>
                <w:szCs w:val="20"/>
                <w:lang w:val="en-US"/>
              </w:rPr>
              <w:t>N(d1)</w:t>
            </w:r>
          </w:p>
        </w:tc>
        <w:tc>
          <w:tcPr>
            <w:tcW w:w="1006" w:type="dxa"/>
            <w:tcBorders>
              <w:top w:val="nil"/>
              <w:left w:val="single" w:sz="4" w:space="0" w:color="auto"/>
              <w:bottom w:val="nil"/>
              <w:right w:val="nil"/>
            </w:tcBorders>
            <w:shd w:val="clear" w:color="auto" w:fill="auto"/>
            <w:noWrap/>
            <w:vAlign w:val="bottom"/>
            <w:hideMark/>
          </w:tcPr>
          <w:p w14:paraId="2D6ED4F3"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0.4309</w:t>
            </w:r>
          </w:p>
        </w:tc>
        <w:tc>
          <w:tcPr>
            <w:tcW w:w="1006" w:type="dxa"/>
            <w:tcBorders>
              <w:top w:val="nil"/>
              <w:left w:val="nil"/>
              <w:bottom w:val="nil"/>
              <w:right w:val="nil"/>
            </w:tcBorders>
            <w:shd w:val="clear" w:color="auto" w:fill="auto"/>
            <w:noWrap/>
            <w:vAlign w:val="bottom"/>
            <w:hideMark/>
          </w:tcPr>
          <w:p w14:paraId="0FEC3457"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0.4806</w:t>
            </w:r>
          </w:p>
        </w:tc>
        <w:tc>
          <w:tcPr>
            <w:tcW w:w="1006" w:type="dxa"/>
            <w:tcBorders>
              <w:top w:val="nil"/>
              <w:left w:val="nil"/>
              <w:bottom w:val="nil"/>
              <w:right w:val="nil"/>
            </w:tcBorders>
            <w:shd w:val="clear" w:color="auto" w:fill="auto"/>
            <w:noWrap/>
            <w:vAlign w:val="bottom"/>
            <w:hideMark/>
          </w:tcPr>
          <w:p w14:paraId="73A09AB6"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0.5228</w:t>
            </w:r>
          </w:p>
        </w:tc>
        <w:tc>
          <w:tcPr>
            <w:tcW w:w="1006" w:type="dxa"/>
            <w:tcBorders>
              <w:top w:val="nil"/>
              <w:left w:val="nil"/>
              <w:bottom w:val="nil"/>
              <w:right w:val="nil"/>
            </w:tcBorders>
            <w:shd w:val="clear" w:color="auto" w:fill="auto"/>
            <w:noWrap/>
            <w:vAlign w:val="bottom"/>
            <w:hideMark/>
          </w:tcPr>
          <w:p w14:paraId="735C1F4A"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0.5593</w:t>
            </w:r>
          </w:p>
        </w:tc>
        <w:tc>
          <w:tcPr>
            <w:tcW w:w="1006" w:type="dxa"/>
            <w:tcBorders>
              <w:top w:val="nil"/>
              <w:left w:val="nil"/>
              <w:bottom w:val="nil"/>
              <w:right w:val="nil"/>
            </w:tcBorders>
            <w:shd w:val="clear" w:color="auto" w:fill="auto"/>
            <w:noWrap/>
            <w:vAlign w:val="bottom"/>
            <w:hideMark/>
          </w:tcPr>
          <w:p w14:paraId="30295EBB"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0.5910</w:t>
            </w:r>
          </w:p>
        </w:tc>
        <w:tc>
          <w:tcPr>
            <w:tcW w:w="1006" w:type="dxa"/>
            <w:tcBorders>
              <w:top w:val="nil"/>
              <w:left w:val="nil"/>
              <w:bottom w:val="nil"/>
              <w:right w:val="nil"/>
            </w:tcBorders>
            <w:shd w:val="clear" w:color="auto" w:fill="auto"/>
            <w:noWrap/>
            <w:vAlign w:val="bottom"/>
            <w:hideMark/>
          </w:tcPr>
          <w:p w14:paraId="3E2407B9"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0.6189</w:t>
            </w:r>
          </w:p>
        </w:tc>
        <w:tc>
          <w:tcPr>
            <w:tcW w:w="1006" w:type="dxa"/>
            <w:tcBorders>
              <w:top w:val="nil"/>
              <w:left w:val="nil"/>
              <w:bottom w:val="nil"/>
              <w:right w:val="single" w:sz="4" w:space="0" w:color="auto"/>
            </w:tcBorders>
            <w:shd w:val="clear" w:color="auto" w:fill="auto"/>
            <w:noWrap/>
            <w:vAlign w:val="bottom"/>
            <w:hideMark/>
          </w:tcPr>
          <w:p w14:paraId="07490B3E"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0.7196</w:t>
            </w:r>
          </w:p>
        </w:tc>
      </w:tr>
      <w:tr w:rsidR="00F03181" w:rsidRPr="00000A57" w14:paraId="3CEDBD38" w14:textId="77777777" w:rsidTr="00F03181">
        <w:trPr>
          <w:trHeight w:val="315"/>
        </w:trPr>
        <w:tc>
          <w:tcPr>
            <w:tcW w:w="1995" w:type="dxa"/>
            <w:tcBorders>
              <w:top w:val="nil"/>
              <w:left w:val="single" w:sz="4" w:space="0" w:color="auto"/>
              <w:bottom w:val="nil"/>
              <w:right w:val="nil"/>
            </w:tcBorders>
            <w:shd w:val="clear" w:color="auto" w:fill="auto"/>
            <w:noWrap/>
            <w:vAlign w:val="bottom"/>
            <w:hideMark/>
          </w:tcPr>
          <w:p w14:paraId="11562DBE" w14:textId="77777777" w:rsidR="00F03181" w:rsidRPr="00000A57" w:rsidRDefault="00F03181" w:rsidP="00F03181">
            <w:pPr>
              <w:spacing w:line="240" w:lineRule="auto"/>
              <w:rPr>
                <w:rFonts w:eastAsia="Times New Roman"/>
                <w:sz w:val="20"/>
                <w:szCs w:val="20"/>
                <w:lang w:val="en-US"/>
              </w:rPr>
            </w:pPr>
            <w:r w:rsidRPr="00000A57">
              <w:rPr>
                <w:rFonts w:eastAsia="Times New Roman"/>
                <w:sz w:val="20"/>
                <w:szCs w:val="20"/>
                <w:lang w:val="en-US"/>
              </w:rPr>
              <w:t>N(d2)</w:t>
            </w:r>
          </w:p>
        </w:tc>
        <w:tc>
          <w:tcPr>
            <w:tcW w:w="1006" w:type="dxa"/>
            <w:tcBorders>
              <w:top w:val="nil"/>
              <w:left w:val="single" w:sz="4" w:space="0" w:color="auto"/>
              <w:bottom w:val="nil"/>
              <w:right w:val="nil"/>
            </w:tcBorders>
            <w:shd w:val="clear" w:color="auto" w:fill="auto"/>
            <w:noWrap/>
            <w:vAlign w:val="bottom"/>
            <w:hideMark/>
          </w:tcPr>
          <w:p w14:paraId="32258EF1"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0.0518</w:t>
            </w:r>
          </w:p>
        </w:tc>
        <w:tc>
          <w:tcPr>
            <w:tcW w:w="1006" w:type="dxa"/>
            <w:tcBorders>
              <w:top w:val="nil"/>
              <w:left w:val="nil"/>
              <w:bottom w:val="nil"/>
              <w:right w:val="nil"/>
            </w:tcBorders>
            <w:shd w:val="clear" w:color="auto" w:fill="auto"/>
            <w:noWrap/>
            <w:vAlign w:val="bottom"/>
            <w:hideMark/>
          </w:tcPr>
          <w:p w14:paraId="65E980E0"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0.0665</w:t>
            </w:r>
          </w:p>
        </w:tc>
        <w:tc>
          <w:tcPr>
            <w:tcW w:w="1006" w:type="dxa"/>
            <w:tcBorders>
              <w:top w:val="nil"/>
              <w:left w:val="nil"/>
              <w:bottom w:val="nil"/>
              <w:right w:val="nil"/>
            </w:tcBorders>
            <w:shd w:val="clear" w:color="auto" w:fill="auto"/>
            <w:noWrap/>
            <w:vAlign w:val="bottom"/>
            <w:hideMark/>
          </w:tcPr>
          <w:p w14:paraId="4A01FC99"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0.0813</w:t>
            </w:r>
          </w:p>
        </w:tc>
        <w:tc>
          <w:tcPr>
            <w:tcW w:w="1006" w:type="dxa"/>
            <w:tcBorders>
              <w:top w:val="nil"/>
              <w:left w:val="nil"/>
              <w:bottom w:val="nil"/>
              <w:right w:val="nil"/>
            </w:tcBorders>
            <w:shd w:val="clear" w:color="auto" w:fill="auto"/>
            <w:noWrap/>
            <w:vAlign w:val="bottom"/>
            <w:hideMark/>
          </w:tcPr>
          <w:p w14:paraId="494450A6"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0.0961</w:t>
            </w:r>
          </w:p>
        </w:tc>
        <w:tc>
          <w:tcPr>
            <w:tcW w:w="1006" w:type="dxa"/>
            <w:tcBorders>
              <w:top w:val="nil"/>
              <w:left w:val="nil"/>
              <w:bottom w:val="nil"/>
              <w:right w:val="nil"/>
            </w:tcBorders>
            <w:shd w:val="clear" w:color="auto" w:fill="auto"/>
            <w:noWrap/>
            <w:vAlign w:val="bottom"/>
            <w:hideMark/>
          </w:tcPr>
          <w:p w14:paraId="5CD6CCB1"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0.1106</w:t>
            </w:r>
          </w:p>
        </w:tc>
        <w:tc>
          <w:tcPr>
            <w:tcW w:w="1006" w:type="dxa"/>
            <w:tcBorders>
              <w:top w:val="nil"/>
              <w:left w:val="nil"/>
              <w:bottom w:val="nil"/>
              <w:right w:val="nil"/>
            </w:tcBorders>
            <w:shd w:val="clear" w:color="auto" w:fill="auto"/>
            <w:noWrap/>
            <w:vAlign w:val="bottom"/>
            <w:hideMark/>
          </w:tcPr>
          <w:p w14:paraId="37777AB8"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0.1249</w:t>
            </w:r>
          </w:p>
        </w:tc>
        <w:tc>
          <w:tcPr>
            <w:tcW w:w="1006" w:type="dxa"/>
            <w:tcBorders>
              <w:top w:val="nil"/>
              <w:left w:val="nil"/>
              <w:bottom w:val="single" w:sz="4" w:space="0" w:color="auto"/>
              <w:right w:val="single" w:sz="4" w:space="0" w:color="auto"/>
            </w:tcBorders>
            <w:shd w:val="clear" w:color="auto" w:fill="auto"/>
            <w:noWrap/>
            <w:vAlign w:val="bottom"/>
            <w:hideMark/>
          </w:tcPr>
          <w:p w14:paraId="7DABA534" w14:textId="77777777" w:rsidR="00F03181" w:rsidRPr="00000A57" w:rsidRDefault="00F03181" w:rsidP="00F03181">
            <w:pPr>
              <w:spacing w:line="240" w:lineRule="auto"/>
              <w:jc w:val="right"/>
              <w:rPr>
                <w:rFonts w:eastAsia="Times New Roman"/>
                <w:sz w:val="20"/>
                <w:szCs w:val="20"/>
                <w:lang w:val="en-US"/>
              </w:rPr>
            </w:pPr>
            <w:r w:rsidRPr="00000A57">
              <w:rPr>
                <w:rFonts w:eastAsia="Times New Roman"/>
                <w:sz w:val="20"/>
                <w:szCs w:val="20"/>
                <w:lang w:val="en-US"/>
              </w:rPr>
              <w:t>0.1917</w:t>
            </w:r>
          </w:p>
        </w:tc>
      </w:tr>
      <w:tr w:rsidR="00F03181" w:rsidRPr="00000A57" w14:paraId="2E8B4D66" w14:textId="77777777" w:rsidTr="00F03181">
        <w:trPr>
          <w:trHeight w:val="315"/>
        </w:trPr>
        <w:tc>
          <w:tcPr>
            <w:tcW w:w="1995" w:type="dxa"/>
            <w:tcBorders>
              <w:top w:val="single" w:sz="4" w:space="0" w:color="000000"/>
              <w:left w:val="single" w:sz="4" w:space="0" w:color="auto"/>
              <w:bottom w:val="single" w:sz="4" w:space="0" w:color="auto"/>
              <w:right w:val="nil"/>
            </w:tcBorders>
            <w:shd w:val="clear" w:color="auto" w:fill="auto"/>
            <w:noWrap/>
            <w:vAlign w:val="bottom"/>
            <w:hideMark/>
          </w:tcPr>
          <w:p w14:paraId="0780D49B" w14:textId="468676C7" w:rsidR="00F03181" w:rsidRPr="00000A57" w:rsidRDefault="00F03181" w:rsidP="00F03181">
            <w:pPr>
              <w:spacing w:line="240" w:lineRule="auto"/>
              <w:rPr>
                <w:rFonts w:eastAsia="Times New Roman"/>
                <w:b/>
                <w:bCs/>
                <w:sz w:val="20"/>
                <w:szCs w:val="20"/>
                <w:lang w:val="en-US"/>
              </w:rPr>
            </w:pPr>
            <w:r w:rsidRPr="00000A57">
              <w:rPr>
                <w:rFonts w:eastAsia="Times New Roman"/>
                <w:b/>
                <w:bCs/>
                <w:sz w:val="20"/>
                <w:szCs w:val="20"/>
                <w:lang w:val="en-US"/>
              </w:rPr>
              <w:t>Call Price</w:t>
            </w:r>
            <w:r>
              <w:rPr>
                <w:rFonts w:eastAsia="Times New Roman"/>
                <w:b/>
                <w:bCs/>
                <w:sz w:val="20"/>
                <w:szCs w:val="20"/>
                <w:lang w:val="en-US"/>
              </w:rPr>
              <w:t xml:space="preserve"> (NPV)</w:t>
            </w:r>
          </w:p>
        </w:tc>
        <w:tc>
          <w:tcPr>
            <w:tcW w:w="1006" w:type="dxa"/>
            <w:tcBorders>
              <w:top w:val="single" w:sz="4" w:space="0" w:color="auto"/>
              <w:left w:val="single" w:sz="4" w:space="0" w:color="auto"/>
              <w:bottom w:val="single" w:sz="4" w:space="0" w:color="auto"/>
              <w:right w:val="nil"/>
            </w:tcBorders>
            <w:shd w:val="clear" w:color="auto" w:fill="auto"/>
            <w:noWrap/>
            <w:vAlign w:val="bottom"/>
            <w:hideMark/>
          </w:tcPr>
          <w:p w14:paraId="7468E7D1" w14:textId="77777777" w:rsidR="00F03181" w:rsidRPr="00000A57" w:rsidRDefault="00F03181" w:rsidP="00F03181">
            <w:pPr>
              <w:spacing w:line="240" w:lineRule="auto"/>
              <w:jc w:val="right"/>
              <w:rPr>
                <w:rFonts w:eastAsia="Times New Roman"/>
                <w:b/>
                <w:bCs/>
                <w:sz w:val="20"/>
                <w:szCs w:val="20"/>
                <w:lang w:val="en-US"/>
              </w:rPr>
            </w:pPr>
            <w:r w:rsidRPr="00000A57">
              <w:rPr>
                <w:rFonts w:eastAsia="Times New Roman"/>
                <w:b/>
                <w:bCs/>
                <w:sz w:val="20"/>
                <w:szCs w:val="20"/>
                <w:lang w:val="en-US"/>
              </w:rPr>
              <w:t>23.90</w:t>
            </w:r>
          </w:p>
        </w:tc>
        <w:tc>
          <w:tcPr>
            <w:tcW w:w="1006" w:type="dxa"/>
            <w:tcBorders>
              <w:top w:val="single" w:sz="4" w:space="0" w:color="auto"/>
              <w:left w:val="nil"/>
              <w:bottom w:val="single" w:sz="4" w:space="0" w:color="auto"/>
              <w:right w:val="nil"/>
            </w:tcBorders>
            <w:shd w:val="clear" w:color="auto" w:fill="auto"/>
            <w:noWrap/>
            <w:vAlign w:val="bottom"/>
            <w:hideMark/>
          </w:tcPr>
          <w:p w14:paraId="77922EE3" w14:textId="77777777" w:rsidR="00F03181" w:rsidRPr="00000A57" w:rsidRDefault="00F03181" w:rsidP="00F03181">
            <w:pPr>
              <w:spacing w:line="240" w:lineRule="auto"/>
              <w:jc w:val="right"/>
              <w:rPr>
                <w:rFonts w:eastAsia="Times New Roman"/>
                <w:b/>
                <w:bCs/>
                <w:sz w:val="20"/>
                <w:szCs w:val="20"/>
                <w:lang w:val="en-US"/>
              </w:rPr>
            </w:pPr>
            <w:r w:rsidRPr="00000A57">
              <w:rPr>
                <w:rFonts w:eastAsia="Times New Roman"/>
                <w:b/>
                <w:bCs/>
                <w:sz w:val="20"/>
                <w:szCs w:val="20"/>
                <w:lang w:val="en-US"/>
              </w:rPr>
              <w:t>33.03</w:t>
            </w:r>
          </w:p>
        </w:tc>
        <w:tc>
          <w:tcPr>
            <w:tcW w:w="1006" w:type="dxa"/>
            <w:tcBorders>
              <w:top w:val="single" w:sz="4" w:space="0" w:color="auto"/>
              <w:left w:val="nil"/>
              <w:bottom w:val="single" w:sz="4" w:space="0" w:color="auto"/>
              <w:right w:val="nil"/>
            </w:tcBorders>
            <w:shd w:val="clear" w:color="auto" w:fill="auto"/>
            <w:noWrap/>
            <w:vAlign w:val="bottom"/>
            <w:hideMark/>
          </w:tcPr>
          <w:p w14:paraId="3E1DC54F" w14:textId="77777777" w:rsidR="00F03181" w:rsidRPr="00000A57" w:rsidRDefault="00F03181" w:rsidP="00F03181">
            <w:pPr>
              <w:spacing w:line="240" w:lineRule="auto"/>
              <w:jc w:val="right"/>
              <w:rPr>
                <w:rFonts w:eastAsia="Times New Roman"/>
                <w:b/>
                <w:bCs/>
                <w:sz w:val="20"/>
                <w:szCs w:val="20"/>
                <w:lang w:val="en-US"/>
              </w:rPr>
            </w:pPr>
            <w:r w:rsidRPr="00000A57">
              <w:rPr>
                <w:rFonts w:eastAsia="Times New Roman"/>
                <w:b/>
                <w:bCs/>
                <w:sz w:val="20"/>
                <w:szCs w:val="20"/>
                <w:lang w:val="en-US"/>
              </w:rPr>
              <w:t>43.07</w:t>
            </w:r>
          </w:p>
        </w:tc>
        <w:tc>
          <w:tcPr>
            <w:tcW w:w="1006" w:type="dxa"/>
            <w:tcBorders>
              <w:top w:val="single" w:sz="4" w:space="0" w:color="auto"/>
              <w:left w:val="nil"/>
              <w:bottom w:val="single" w:sz="4" w:space="0" w:color="auto"/>
              <w:right w:val="nil"/>
            </w:tcBorders>
            <w:shd w:val="clear" w:color="auto" w:fill="auto"/>
            <w:noWrap/>
            <w:vAlign w:val="bottom"/>
            <w:hideMark/>
          </w:tcPr>
          <w:p w14:paraId="17273182" w14:textId="77777777" w:rsidR="00F03181" w:rsidRPr="00000A57" w:rsidRDefault="00F03181" w:rsidP="00F03181">
            <w:pPr>
              <w:spacing w:line="240" w:lineRule="auto"/>
              <w:jc w:val="right"/>
              <w:rPr>
                <w:rFonts w:eastAsia="Times New Roman"/>
                <w:b/>
                <w:bCs/>
                <w:sz w:val="20"/>
                <w:szCs w:val="20"/>
                <w:lang w:val="en-US"/>
              </w:rPr>
            </w:pPr>
            <w:r w:rsidRPr="00000A57">
              <w:rPr>
                <w:rFonts w:eastAsia="Times New Roman"/>
                <w:b/>
                <w:bCs/>
                <w:sz w:val="20"/>
                <w:szCs w:val="20"/>
                <w:lang w:val="en-US"/>
              </w:rPr>
              <w:t>53.90</w:t>
            </w:r>
          </w:p>
        </w:tc>
        <w:tc>
          <w:tcPr>
            <w:tcW w:w="1006" w:type="dxa"/>
            <w:tcBorders>
              <w:top w:val="single" w:sz="4" w:space="0" w:color="auto"/>
              <w:left w:val="nil"/>
              <w:bottom w:val="single" w:sz="4" w:space="0" w:color="auto"/>
              <w:right w:val="nil"/>
            </w:tcBorders>
            <w:shd w:val="clear" w:color="auto" w:fill="auto"/>
            <w:noWrap/>
            <w:vAlign w:val="bottom"/>
            <w:hideMark/>
          </w:tcPr>
          <w:p w14:paraId="55A2F87B" w14:textId="77777777" w:rsidR="00F03181" w:rsidRPr="00000A57" w:rsidRDefault="00F03181" w:rsidP="00F03181">
            <w:pPr>
              <w:spacing w:line="240" w:lineRule="auto"/>
              <w:jc w:val="right"/>
              <w:rPr>
                <w:rFonts w:eastAsia="Times New Roman"/>
                <w:b/>
                <w:bCs/>
                <w:sz w:val="20"/>
                <w:szCs w:val="20"/>
                <w:lang w:val="en-US"/>
              </w:rPr>
            </w:pPr>
            <w:r w:rsidRPr="00000A57">
              <w:rPr>
                <w:rFonts w:eastAsia="Times New Roman"/>
                <w:b/>
                <w:bCs/>
                <w:sz w:val="20"/>
                <w:szCs w:val="20"/>
                <w:lang w:val="en-US"/>
              </w:rPr>
              <w:t>65.41</w:t>
            </w:r>
          </w:p>
        </w:tc>
        <w:tc>
          <w:tcPr>
            <w:tcW w:w="1006" w:type="dxa"/>
            <w:tcBorders>
              <w:top w:val="single" w:sz="4" w:space="0" w:color="auto"/>
              <w:left w:val="nil"/>
              <w:bottom w:val="single" w:sz="4" w:space="0" w:color="auto"/>
              <w:right w:val="single" w:sz="4" w:space="0" w:color="auto"/>
            </w:tcBorders>
            <w:shd w:val="clear" w:color="auto" w:fill="auto"/>
            <w:noWrap/>
            <w:vAlign w:val="bottom"/>
            <w:hideMark/>
          </w:tcPr>
          <w:p w14:paraId="68235F9F" w14:textId="77777777" w:rsidR="00F03181" w:rsidRPr="00000A57" w:rsidRDefault="00F03181" w:rsidP="00F03181">
            <w:pPr>
              <w:spacing w:line="240" w:lineRule="auto"/>
              <w:jc w:val="right"/>
              <w:rPr>
                <w:rFonts w:eastAsia="Times New Roman"/>
                <w:b/>
                <w:bCs/>
                <w:sz w:val="20"/>
                <w:szCs w:val="20"/>
                <w:lang w:val="en-US"/>
              </w:rPr>
            </w:pPr>
            <w:r w:rsidRPr="00000A57">
              <w:rPr>
                <w:rFonts w:eastAsia="Times New Roman"/>
                <w:b/>
                <w:bCs/>
                <w:sz w:val="20"/>
                <w:szCs w:val="20"/>
                <w:lang w:val="en-US"/>
              </w:rPr>
              <w:t>77.52</w:t>
            </w:r>
          </w:p>
        </w:tc>
        <w:tc>
          <w:tcPr>
            <w:tcW w:w="1006" w:type="dxa"/>
            <w:tcBorders>
              <w:top w:val="nil"/>
              <w:left w:val="nil"/>
              <w:bottom w:val="single" w:sz="4" w:space="0" w:color="auto"/>
              <w:right w:val="single" w:sz="4" w:space="0" w:color="auto"/>
            </w:tcBorders>
            <w:shd w:val="clear" w:color="auto" w:fill="auto"/>
            <w:noWrap/>
            <w:vAlign w:val="bottom"/>
            <w:hideMark/>
          </w:tcPr>
          <w:p w14:paraId="301847E8" w14:textId="77777777" w:rsidR="00F03181" w:rsidRPr="00000A57" w:rsidRDefault="00F03181" w:rsidP="00F03181">
            <w:pPr>
              <w:spacing w:line="240" w:lineRule="auto"/>
              <w:jc w:val="right"/>
              <w:rPr>
                <w:rFonts w:eastAsia="Times New Roman"/>
                <w:b/>
                <w:bCs/>
                <w:sz w:val="20"/>
                <w:szCs w:val="20"/>
                <w:lang w:val="en-US"/>
              </w:rPr>
            </w:pPr>
            <w:r w:rsidRPr="00000A57">
              <w:rPr>
                <w:rFonts w:eastAsia="Times New Roman"/>
                <w:b/>
                <w:bCs/>
                <w:sz w:val="20"/>
                <w:szCs w:val="20"/>
                <w:lang w:val="en-US"/>
              </w:rPr>
              <w:t>144.89</w:t>
            </w:r>
          </w:p>
        </w:tc>
      </w:tr>
    </w:tbl>
    <w:p w14:paraId="436CA100" w14:textId="5762C410" w:rsidR="0091046D" w:rsidRDefault="0091046D">
      <w:pPr>
        <w:ind w:firstLine="720"/>
        <w:rPr>
          <w:sz w:val="24"/>
          <w:szCs w:val="24"/>
        </w:rPr>
      </w:pPr>
    </w:p>
    <w:p w14:paraId="03087FA5" w14:textId="78158AA5" w:rsidR="001677CC" w:rsidRPr="001677CC" w:rsidRDefault="001677CC" w:rsidP="001677CC">
      <w:pPr>
        <w:rPr>
          <w:sz w:val="24"/>
          <w:szCs w:val="24"/>
        </w:rPr>
      </w:pPr>
    </w:p>
    <w:p w14:paraId="6D74D480" w14:textId="36092D4F" w:rsidR="001677CC" w:rsidRPr="001677CC" w:rsidRDefault="001677CC" w:rsidP="001677CC">
      <w:pPr>
        <w:rPr>
          <w:sz w:val="24"/>
          <w:szCs w:val="24"/>
        </w:rPr>
      </w:pPr>
    </w:p>
    <w:p w14:paraId="191BFE74" w14:textId="70F18430" w:rsidR="001677CC" w:rsidRPr="001677CC" w:rsidRDefault="00FD688C" w:rsidP="001677CC">
      <w:pPr>
        <w:rPr>
          <w:sz w:val="24"/>
          <w:szCs w:val="24"/>
        </w:rPr>
      </w:pPr>
      <w:r>
        <w:rPr>
          <w:sz w:val="24"/>
          <w:szCs w:val="24"/>
        </w:rPr>
        <w:t>Grade 40/40</w:t>
      </w:r>
      <w:bookmarkStart w:id="0" w:name="_GoBack"/>
      <w:bookmarkEnd w:id="0"/>
    </w:p>
    <w:p w14:paraId="4F23B468" w14:textId="27CCDD4A" w:rsidR="001677CC" w:rsidRPr="001677CC" w:rsidRDefault="001677CC" w:rsidP="001677CC">
      <w:pPr>
        <w:rPr>
          <w:sz w:val="24"/>
          <w:szCs w:val="24"/>
        </w:rPr>
      </w:pPr>
    </w:p>
    <w:p w14:paraId="79521BBF" w14:textId="5DFF739C" w:rsidR="001677CC" w:rsidRPr="001677CC" w:rsidRDefault="001677CC" w:rsidP="001677CC">
      <w:pPr>
        <w:rPr>
          <w:sz w:val="24"/>
          <w:szCs w:val="24"/>
        </w:rPr>
      </w:pPr>
    </w:p>
    <w:p w14:paraId="2C030004" w14:textId="0A2452DA" w:rsidR="001677CC" w:rsidRPr="001677CC" w:rsidRDefault="001677CC" w:rsidP="001677CC">
      <w:pPr>
        <w:rPr>
          <w:sz w:val="24"/>
          <w:szCs w:val="24"/>
        </w:rPr>
      </w:pPr>
    </w:p>
    <w:p w14:paraId="2E8B2DEB" w14:textId="2C6D571B" w:rsidR="001677CC" w:rsidRPr="001677CC" w:rsidRDefault="001677CC" w:rsidP="001677CC">
      <w:pPr>
        <w:rPr>
          <w:sz w:val="24"/>
          <w:szCs w:val="24"/>
        </w:rPr>
      </w:pPr>
    </w:p>
    <w:p w14:paraId="79B36C44" w14:textId="734D5526" w:rsidR="001677CC" w:rsidRPr="001677CC" w:rsidRDefault="001677CC" w:rsidP="001677CC">
      <w:pPr>
        <w:rPr>
          <w:sz w:val="24"/>
          <w:szCs w:val="24"/>
        </w:rPr>
      </w:pPr>
    </w:p>
    <w:p w14:paraId="78C89B19" w14:textId="42F2F782" w:rsidR="001677CC" w:rsidRPr="001677CC" w:rsidRDefault="001677CC" w:rsidP="001677CC">
      <w:pPr>
        <w:rPr>
          <w:sz w:val="24"/>
          <w:szCs w:val="24"/>
        </w:rPr>
      </w:pPr>
    </w:p>
    <w:p w14:paraId="7E0DFF94" w14:textId="7A12CA4C" w:rsidR="001677CC" w:rsidRPr="001677CC" w:rsidRDefault="001677CC" w:rsidP="001677CC">
      <w:pPr>
        <w:rPr>
          <w:sz w:val="24"/>
          <w:szCs w:val="24"/>
        </w:rPr>
      </w:pPr>
    </w:p>
    <w:p w14:paraId="3DE7B76D" w14:textId="7D74A723" w:rsidR="001677CC" w:rsidRPr="001677CC" w:rsidRDefault="001677CC" w:rsidP="001677CC">
      <w:pPr>
        <w:rPr>
          <w:sz w:val="24"/>
          <w:szCs w:val="24"/>
        </w:rPr>
      </w:pPr>
    </w:p>
    <w:p w14:paraId="7F3CE20C" w14:textId="5DB8DBC5" w:rsidR="001677CC" w:rsidRPr="001677CC" w:rsidRDefault="001677CC" w:rsidP="001677CC">
      <w:pPr>
        <w:rPr>
          <w:sz w:val="24"/>
          <w:szCs w:val="24"/>
        </w:rPr>
      </w:pPr>
    </w:p>
    <w:p w14:paraId="17D406AF" w14:textId="3C11338D" w:rsidR="001677CC" w:rsidRDefault="001677CC" w:rsidP="001677CC">
      <w:pPr>
        <w:rPr>
          <w:sz w:val="24"/>
          <w:szCs w:val="24"/>
        </w:rPr>
      </w:pPr>
    </w:p>
    <w:p w14:paraId="7AF3891A" w14:textId="6BDFA553" w:rsidR="001677CC" w:rsidRDefault="001677CC" w:rsidP="001677CC">
      <w:pPr>
        <w:rPr>
          <w:sz w:val="24"/>
          <w:szCs w:val="24"/>
        </w:rPr>
      </w:pPr>
    </w:p>
    <w:p w14:paraId="7DD65D28" w14:textId="23C0B90D" w:rsidR="001677CC" w:rsidRDefault="001677CC" w:rsidP="001677CC">
      <w:pPr>
        <w:jc w:val="center"/>
        <w:rPr>
          <w:sz w:val="24"/>
          <w:szCs w:val="24"/>
        </w:rPr>
      </w:pPr>
    </w:p>
    <w:p w14:paraId="3387E265" w14:textId="7F04F8C8" w:rsidR="001677CC" w:rsidRDefault="001677CC" w:rsidP="001677CC">
      <w:pPr>
        <w:jc w:val="center"/>
        <w:rPr>
          <w:sz w:val="24"/>
          <w:szCs w:val="24"/>
        </w:rPr>
      </w:pPr>
    </w:p>
    <w:p w14:paraId="7CC9046B" w14:textId="46BB6F23" w:rsidR="001677CC" w:rsidRDefault="001677CC" w:rsidP="001677CC">
      <w:pPr>
        <w:jc w:val="center"/>
        <w:rPr>
          <w:sz w:val="24"/>
          <w:szCs w:val="24"/>
        </w:rPr>
      </w:pPr>
    </w:p>
    <w:p w14:paraId="1FA36BB5" w14:textId="5B67B7FF" w:rsidR="001677CC" w:rsidRDefault="001677CC" w:rsidP="001677CC">
      <w:pPr>
        <w:jc w:val="center"/>
        <w:rPr>
          <w:sz w:val="24"/>
          <w:szCs w:val="24"/>
        </w:rPr>
      </w:pPr>
    </w:p>
    <w:p w14:paraId="350AA926" w14:textId="7507E5C7" w:rsidR="001677CC" w:rsidRDefault="001677CC" w:rsidP="001677CC">
      <w:pPr>
        <w:jc w:val="center"/>
        <w:rPr>
          <w:sz w:val="24"/>
          <w:szCs w:val="24"/>
        </w:rPr>
      </w:pPr>
    </w:p>
    <w:p w14:paraId="4B06EE5D" w14:textId="63F3555A" w:rsidR="001677CC" w:rsidRDefault="001677CC" w:rsidP="001677CC">
      <w:pPr>
        <w:jc w:val="center"/>
        <w:rPr>
          <w:sz w:val="24"/>
          <w:szCs w:val="24"/>
        </w:rPr>
      </w:pPr>
    </w:p>
    <w:p w14:paraId="091E494C" w14:textId="69EE95CA" w:rsidR="001677CC" w:rsidRDefault="001677CC" w:rsidP="001677CC">
      <w:pPr>
        <w:jc w:val="center"/>
        <w:rPr>
          <w:sz w:val="24"/>
          <w:szCs w:val="24"/>
        </w:rPr>
      </w:pPr>
    </w:p>
    <w:p w14:paraId="00F55488" w14:textId="5EB89954" w:rsidR="001677CC" w:rsidRDefault="001677CC" w:rsidP="001677CC">
      <w:pPr>
        <w:jc w:val="center"/>
        <w:rPr>
          <w:sz w:val="24"/>
          <w:szCs w:val="24"/>
        </w:rPr>
      </w:pPr>
    </w:p>
    <w:p w14:paraId="6ADF26FF" w14:textId="0DE7F721" w:rsidR="001677CC" w:rsidRDefault="001677CC" w:rsidP="001677CC">
      <w:pPr>
        <w:jc w:val="center"/>
        <w:rPr>
          <w:sz w:val="24"/>
          <w:szCs w:val="24"/>
        </w:rPr>
      </w:pPr>
    </w:p>
    <w:p w14:paraId="479EABA9" w14:textId="64307EF7" w:rsidR="001677CC" w:rsidRPr="001677CC" w:rsidRDefault="001677CC" w:rsidP="00A07A44">
      <w:pPr>
        <w:rPr>
          <w:sz w:val="24"/>
          <w:szCs w:val="24"/>
        </w:rPr>
      </w:pPr>
    </w:p>
    <w:sectPr w:rsidR="001677CC" w:rsidRPr="001677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ytDQ0sTQzNrQ0MLBU0lEKTi0uzszPAykwrAUAmZJ3iywAAAA="/>
  </w:docVars>
  <w:rsids>
    <w:rsidRoot w:val="0091046D"/>
    <w:rsid w:val="00000A57"/>
    <w:rsid w:val="000C0B51"/>
    <w:rsid w:val="000E3988"/>
    <w:rsid w:val="000E7E73"/>
    <w:rsid w:val="001008E9"/>
    <w:rsid w:val="001677CC"/>
    <w:rsid w:val="00576813"/>
    <w:rsid w:val="005E1D63"/>
    <w:rsid w:val="006C7636"/>
    <w:rsid w:val="00792495"/>
    <w:rsid w:val="007D414C"/>
    <w:rsid w:val="0091046D"/>
    <w:rsid w:val="009632D9"/>
    <w:rsid w:val="009D1798"/>
    <w:rsid w:val="00A07A44"/>
    <w:rsid w:val="00A3478D"/>
    <w:rsid w:val="00B02F77"/>
    <w:rsid w:val="00BA5CB3"/>
    <w:rsid w:val="00DA6B5F"/>
    <w:rsid w:val="00DE7D90"/>
    <w:rsid w:val="00E525BE"/>
    <w:rsid w:val="00F03181"/>
    <w:rsid w:val="00FC5BC4"/>
    <w:rsid w:val="00FD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30D0"/>
  <w15:docId w15:val="{E8E82137-C354-4A40-923F-FA1D8656C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729046">
      <w:bodyDiv w:val="1"/>
      <w:marLeft w:val="0"/>
      <w:marRight w:val="0"/>
      <w:marTop w:val="0"/>
      <w:marBottom w:val="0"/>
      <w:divBdr>
        <w:top w:val="none" w:sz="0" w:space="0" w:color="auto"/>
        <w:left w:val="none" w:sz="0" w:space="0" w:color="auto"/>
        <w:bottom w:val="none" w:sz="0" w:space="0" w:color="auto"/>
        <w:right w:val="none" w:sz="0" w:space="0" w:color="auto"/>
      </w:divBdr>
    </w:div>
    <w:div w:id="2049407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Reid Zuerlein</dc:creator>
  <cp:lastModifiedBy>Lucas Lantis</cp:lastModifiedBy>
  <cp:revision>4</cp:revision>
  <dcterms:created xsi:type="dcterms:W3CDTF">2019-03-04T06:42:00Z</dcterms:created>
  <dcterms:modified xsi:type="dcterms:W3CDTF">2019-11-03T23:59:00Z</dcterms:modified>
</cp:coreProperties>
</file>