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hAnsi="Arial" w:cs="Arial"/>
          <w:b/>
          <w:color w:val="1F3864"/>
          <w:sz w:val="28"/>
          <w:szCs w:val="28"/>
        </w:rPr>
        <w:t>Study Cohort Flow Diagram</w:t>
      </w:r>
    </w:p>
    <w:p>
      <w:pPr>
        <w:spacing w:after="200"/>
        <w:jc w:val="center"/>
      </w:pPr>
      <w:r>
        <w:rPr>
          <w:rFonts w:ascii="Arial" w:hAnsi="Arial" w:cs="Arial"/>
          <w:i/>
          <w:color w:val="555555"/>
          <w:sz w:val="20"/>
          <w:szCs w:val="20"/>
        </w:rPr>
        <w:t>Current run — fully reproducible from committed code (keep autocar)</w:t>
      </w: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1F3864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MIMIC-IV (Development)</w:t>
            </w:r>
          </w:p>
        </w:tc>
        <w:tc>
          <w:tcPr>
            <w:tcW w:w="4680" w:type="dxa"/>
            <w:shd w:val="clear" w:fill="2E5F8A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MIMIC-III (External Validation)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2"/>
                <w:szCs w:val="22"/>
              </w:rPr>
              <w:t>All adult admissions (≥18 y)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1F3864"/>
                <w:sz w:val="26"/>
                <w:szCs w:val="26"/>
              </w:rPr>
              <w:t>n = 546,028</w:t>
            </w:r>
          </w:p>
        </w:tc>
        <w:tc>
          <w:tcPr>
            <w:tcW w:w="4680" w:type="dxa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2"/>
                <w:szCs w:val="22"/>
              </w:rPr>
              <w:t>All adult admissions (≥18 y)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2E5F8A"/>
                <w:sz w:val="26"/>
                <w:szCs w:val="26"/>
              </w:rPr>
              <w:t>n = 50,766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89,148 admissions | 31,418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Age &lt;18 years: 0 adm | 0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Primary AKI: 6,888 adm | 5,627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Prior CKD: 82,860 adm | 29,257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ESRD/dialysis: 17,911 adm | 4,750 patients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Kidney transplant: 5,225 adm | 1,365 patients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15,749 admissions | 13,304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Age &lt;18 years: 8,180 adm | 7,942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Primary AKI: 645 adm | 622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Prior CKD: 6,918 adm | 4,897 patients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ESRD/dialysis: 1,986 adm | 1,126 patients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Kidney transplant: 337 adm | 243 patients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Eligible admissions (target_admissions.parquet)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1F3864"/>
                <w:sz w:val="24"/>
                <w:szCs w:val="24"/>
              </w:rPr>
              <w:t>538,609 admissions</w:t>
            </w:r>
          </w:p>
        </w:tc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Eligible admissions (target_admissions.parquet)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2E5F8A"/>
                <w:sz w:val="24"/>
                <w:szCs w:val="24"/>
              </w:rPr>
              <w:t>50,076 admissions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Not incident AKI eligible (label NA): 92,280 adm | 27,573 patients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CKD-only admissions (no AKI): 51,606 adm | 20,830 patients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Repeat AKI (prior AKI history): 58,278 adm | 15,188 patients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Prior renal impairment, no current AKI: 65,599 adm | 15,602 patients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Not incident AKI eligible (label NA): 5,700 adm | 3,669 patients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CKD-only admissions (no AKI): 3,715 adm | 2,687 patients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Repeat AKI (prior AKI history): 2,693 adm | 1,499 patients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Prior renal impairment, no current AKI: 2,277 adm | 1,175 patients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Labeled admissions (incident_aki_target.parquet)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AKI (label = 1): </w:t>
            </w:r>
            <w:r>
              <w:rPr>
                <w:rFonts w:ascii="Arial" w:hAnsi="Arial" w:cs="Arial"/>
                <w:b/>
                <w:sz w:val="19"/>
                <w:szCs w:val="19"/>
              </w:rPr>
              <w:t>40,392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No AKI (label = 0): </w:t>
            </w:r>
            <w:r>
              <w:rPr>
                <w:rFonts w:ascii="Arial" w:hAnsi="Arial" w:cs="Arial"/>
                <w:b/>
                <w:sz w:val="19"/>
                <w:szCs w:val="19"/>
              </w:rPr>
              <w:t>405,937</w:t>
            </w:r>
          </w:p>
        </w:tc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Labeled admissions (incident_aki_target.parquet)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AKI (label = 1): </w:t>
            </w:r>
            <w:r>
              <w:rPr>
                <w:rFonts w:ascii="Arial" w:hAnsi="Arial" w:cs="Arial"/>
                <w:b/>
                <w:sz w:val="19"/>
                <w:szCs w:val="19"/>
              </w:rPr>
              <w:t>9,109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No AKI (label = 0): </w:t>
            </w:r>
            <w:r>
              <w:rPr>
                <w:rFonts w:ascii="Arial" w:hAnsi="Arial" w:cs="Arial"/>
                <w:b/>
                <w:sz w:val="19"/>
                <w:szCs w:val="19"/>
              </w:rPr>
              <w:t>35,267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Dedup to patient-level: 232,299 dropped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Keep first AKI+ admission per patient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Keep last AKI− admission per patient; drop rest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Dedup to patient-level: 7,914 dropped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Keep first AKI+ admission per patient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Keep last AKI− admission per patient; drop rest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fill="C6282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Incident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40,392</w:t>
            </w:r>
          </w:p>
          <w:p>
            <w:pPr>
              <w:jc w:val="center"/>
              <w:spacing w:before="60" w:after="0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(ICD n=40,392; AutoCar n=16,969; KDIGO n=851)</w:t>
            </w:r>
          </w:p>
        </w:tc>
        <w:tc>
          <w:tcPr>
            <w:tcW w:w="2340" w:type="dxa"/>
            <w:shd w:val="clear" w:fill="2E7D3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No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173,638</w:t>
            </w:r>
          </w:p>
        </w:tc>
        <w:tc>
          <w:tcPr>
            <w:tcW w:w="2340" w:type="dxa"/>
            <w:shd w:val="clear" w:fill="C6282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Incident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9,109</w:t>
            </w:r>
          </w:p>
          <w:p>
            <w:pPr>
              <w:jc w:val="center"/>
              <w:spacing w:before="60" w:after="0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(ICD n=9,109; AutoCar n=5,230; KDIGO n=412)</w:t>
            </w:r>
          </w:p>
        </w:tc>
        <w:tc>
          <w:tcPr>
            <w:tcW w:w="2340" w:type="dxa"/>
            <w:shd w:val="clear" w:fill="2E7D3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No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27,353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color w:val="C62828"/>
                <w:sz w:val="28"/>
                <w:szCs w:val="28"/>
              </w:rPr>
              <w:t>↓</w:t>
            </w:r>
          </w:p>
        </w:tc>
        <w:tc>
          <w:tcPr>
            <w:tcW w:w="2340" w:type="dxa"/>
          </w:tcPr>
          <w:p>
            <w:pPr>
              <w:spacing w:before="40" w:after="0"/>
            </w:pPr>
            <w:r>
              <w:t xml:space="preserve"> </w:t>
            </w:r>
          </w:p>
        </w:tc>
        <w:tc>
          <w:tcPr>
            <w:tcW w:w="2340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color w:val="C62828"/>
                <w:sz w:val="28"/>
                <w:szCs w:val="28"/>
              </w:rPr>
              <w:t>↓</w:t>
            </w:r>
          </w:p>
        </w:tc>
        <w:tc>
          <w:tcPr>
            <w:tcW w:w="2340" w:type="dxa"/>
          </w:tcPr>
          <w:p>
            <w:pPr>
              <w:spacing w:before="40" w:after="0"/>
            </w:pPr>
            <w:r>
              <w:t xml:space="preserve"> 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3,889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CKD &lt;90 days: n = 3,523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PostCKD/ESRD &lt;90 days: n = 351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No follow-up data: n = 15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99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CKD &lt;90 days: n = 75</w:t>
            </w:r>
          </w:p>
          <w:p>
            <w:pPr>
              <w:spacing w:after="14"/>
            </w:pPr>
            <w:r>
              <w:rPr>
                <w:rFonts w:ascii="Arial" w:hAnsi="Arial" w:cs="Arial"/>
                <w:sz w:val="17"/>
                <w:szCs w:val="17"/>
              </w:rPr>
              <w:t>• PostCKD/ESRD &lt;90 days: n = 12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No follow-up data: n = 12</w:t>
            </w:r>
          </w:p>
        </w:tc>
      </w:tr>
      <w:tr>
        <w:tc>
          <w:tcPr>
            <w:tcW w:w="4680" w:type="dxa"/>
            <w:gridSpan w:val="2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6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Post-AKI survival cohort (N = 40,392)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CKD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9,477</w:t>
            </w:r>
            <w:r>
              <w:rPr>
                <w:rFonts w:ascii="Arial" w:hAnsi="Arial" w:cs="Arial"/>
                <w:sz w:val="17"/>
                <w:szCs w:val="17"/>
              </w:rPr>
              <w:t xml:space="preserve"> (lab-based n=4,870)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PostCKD/ESRD (≥90d): </w:t>
            </w:r>
            <w:r>
              <w:rPr>
                <w:rFonts w:ascii="Arial" w:hAnsi="Arial" w:cs="Arial"/>
                <w:b/>
                <w:sz w:val="19"/>
                <w:szCs w:val="19"/>
              </w:rPr>
              <w:t>926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Death: </w:t>
            </w:r>
            <w:r>
              <w:rPr>
                <w:rFonts w:ascii="Arial" w:hAnsi="Arial" w:cs="Arial"/>
                <w:b/>
                <w:sz w:val="19"/>
                <w:szCs w:val="19"/>
              </w:rPr>
              <w:t>5,552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Censored: </w:t>
            </w:r>
            <w:r>
              <w:rPr>
                <w:rFonts w:ascii="Arial" w:hAnsi="Arial" w:cs="Arial"/>
                <w:b/>
                <w:sz w:val="19"/>
                <w:szCs w:val="19"/>
              </w:rPr>
              <w:t>24,437</w:t>
            </w:r>
          </w:p>
        </w:tc>
        <w:tc>
          <w:tcPr>
            <w:tcW w:w="4680" w:type="dxa"/>
            <w:gridSpan w:val="2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6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Post-AKI survival cohort (N = 9,109)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CKD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274</w:t>
            </w:r>
            <w:r>
              <w:rPr>
                <w:rFonts w:ascii="Arial" w:hAnsi="Arial" w:cs="Arial"/>
                <w:sz w:val="17"/>
                <w:szCs w:val="17"/>
              </w:rPr>
              <w:t xml:space="preserve"> (lab-based n=871)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PostCKD/ESRD (≥90d): </w:t>
            </w:r>
            <w:r>
              <w:rPr>
                <w:rFonts w:ascii="Arial" w:hAnsi="Arial" w:cs="Arial"/>
                <w:b/>
                <w:sz w:val="19"/>
                <w:szCs w:val="19"/>
              </w:rPr>
              <w:t>60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Death: </w:t>
            </w:r>
            <w:r>
              <w:rPr>
                <w:rFonts w:ascii="Arial" w:hAnsi="Arial" w:cs="Arial"/>
                <w:b/>
                <w:sz w:val="19"/>
                <w:szCs w:val="19"/>
              </w:rPr>
              <w:t>5,410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Censored: </w:t>
            </w:r>
            <w:r>
              <w:rPr>
                <w:rFonts w:ascii="Arial" w:hAnsi="Arial" w:cs="Arial"/>
                <w:b/>
                <w:sz w:val="19"/>
                <w:szCs w:val="19"/>
              </w:rPr>
              <w:t>3,365</w:t>
            </w:r>
          </w:p>
        </w:tc>
      </w:tr>
    </w:tbl>
    <w:p>
      <w:pPr>
        <w:spacing w:before="300" w:after="100"/>
      </w:pPr>
      <w:r>
        <w:rPr>
          <w:rFonts w:ascii="Arial" w:hAnsi="Arial" w:cs="Arial"/>
          <w:b/>
          <w:color w:val="1F3864"/>
          <w:sz w:val="22"/>
          <w:szCs w:val="22"/>
        </w:rPr>
        <w:t>Reference Table — All Pipeline Steps with Verified Counts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360"/>
        <w:gridCol w:w="2000"/>
        <w:gridCol w:w="2000"/>
      </w:tblGrid>
      <w:tr>
        <w:trPr>
          <w:tblHeader/>
        </w:trPr>
        <w:tc>
          <w:tcPr>
            <w:tcW w:w="5360" w:type="dxa"/>
            <w:shd w:val="clear" w:fill="1F3864"/>
          </w:tcPr>
          <w:p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2000" w:type="dxa"/>
            <w:shd w:val="clear" w:fill="1F3864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MIMIC-IV</w:t>
            </w:r>
          </w:p>
        </w:tc>
        <w:tc>
          <w:tcPr>
            <w:tcW w:w="2000" w:type="dxa"/>
            <w:shd w:val="clear" w:fill="2E5F8A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MIMIC-III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1. All adult admissions (≥18 y)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546,028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50,766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Excluded (admissions | patients, overlapping)</w:t>
            </w:r>
          </w:p>
          <w:p>
            <w:pPr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Age &lt;18 y</w:t>
            </w:r>
          </w:p>
          <w:p>
            <w:pPr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Primary AKI (seq_num=1)</w:t>
            </w:r>
          </w:p>
          <w:p>
            <w:pPr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Prior CKD</w:t>
            </w:r>
          </w:p>
          <w:p>
            <w:pPr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ESRD/dialysis</w:t>
            </w:r>
          </w:p>
          <w:p>
            <w:pPr>
              <w:spacing w:after="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Kidney transplant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89,148 | 31,418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0 | 0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6,888 | 5,627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82,860 | 29,257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17,911 | 4,750</w:t>
            </w:r>
          </w:p>
          <w:p>
            <w:pPr>
              <w:jc w:val="center"/>
              <w:spacing w:after="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5,225 | 1,365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15,749 | 13,304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8,180 | 7,942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645 | 622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6,918 | 4,897</w:t>
            </w:r>
          </w:p>
          <w:p>
            <w:pPr>
              <w:jc w:val="center"/>
              <w:spacing w:after="1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1,986 | 1,126</w:t>
            </w:r>
          </w:p>
          <w:p>
            <w:pPr>
              <w:jc w:val="center"/>
              <w:spacing w:after="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337 | 243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2. Eligible admissions (target_admissions.parquet)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538,609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50,076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Not incident AKI eligible — label NA (overlapping reasons)</w:t>
            </w:r>
          </w:p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CKD-only admissions (no AKI)</w:t>
            </w:r>
          </w:p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Repeat AKI (prior AKI history)</w:t>
            </w:r>
          </w:p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 xml:space="preserve">  Prior renal impairment, no current AKI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−92,280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51,606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58,278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65,599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−5,700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3,715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2,693</w:t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2,277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3. Labeled admissions (incident_aki_target.parquet)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AKI (label = 1)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40,392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9,109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No AKI (label = 0)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405,937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35,267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Dedup: keep first AKI+ or last AKI− per patient; drop rest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−232,299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−7,914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4. Patient-level cohort (target.parquet)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AKI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40,392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9,109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No AKI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173,638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27,353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sz w:val="18"/>
                <w:szCs w:val="18"/>
              </w:rPr>
              <w:t xml:space="preserve">   CKD survival exclusions (CKD/ESRD &lt;90d, no follow-up)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−3,889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−99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5. Post-AKI survival cohort (incident_ckd_survival.csv)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</w:rPr>
              <w:t>N = 36,503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</w:rPr>
              <w:t>N = 9,010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CKD (≥90d post-discharge)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9,477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274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Progression to ESRD / dialysis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926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60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All-cause death (≥90d post-discharge)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5,552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5,410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Censored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24,437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3,365</w:t>
            </w:r>
          </w:p>
        </w:tc>
      </w:tr>
    </w:tbl>
    <w:p>
      <w:pPr>
        <w:spacing w:before="200" w:after="80"/>
      </w:pPr>
      <w:r>
        <w:rPr>
          <w:rFonts w:ascii="Arial" w:hAnsi="Arial" w:cs="Arial"/>
          <w:b/>
          <w:sz w:val="18"/>
          <w:szCs w:val="18"/>
        </w:rPr>
        <w:t>Data sources:</w:t>
      </w:r>
    </w:p>
    <w:p>
      <w:pPr>
        <w:spacing w:after="60"/>
        <w:ind w:left="240"/>
      </w:pPr>
      <w:r>
        <w:rPr>
          <w:rFonts w:ascii="Arial" w:hAnsi="Arial" w:cs="Arial"/>
          <w:sz w:val="17"/>
          <w:szCs w:val="17"/>
        </w:rPr>
        <w:t>All counts verified from: target_admissions.parquet, incident_aki_target.parquet, target.parquet, incident_ckd_survival.csv.</w:t>
      </w:r>
    </w:p>
    <w:p>
      <w:pPr>
        <w:spacing w:after="60"/>
        <w:ind w:left="240"/>
      </w:pPr>
      <w:r>
        <w:rPr>
          <w:rFonts w:ascii="Arial" w:hAnsi="Arial" w:cs="Arial"/>
          <w:sz w:val="17"/>
          <w:szCs w:val="17"/>
        </w:rPr>
        <w:t>Incident CKD defined by ICD-9/10 codes ≥90 days post-discharge. Sensitivity analyses (lab-based eGFR, KDIGO timing) reported separately.</w:t>
      </w:r>
    </w:p>
    <w:sectPr>
      <w:pgSz w:w="12240" w:h="15840"/>
      <w:pgMar w:top="1080" w:right="1080" w:bottom="1080" w:left="1080" w:header="720" w:footer="720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2026-06-04T02:40:16.880Z</dcterms:created>
  <dcterms:modified xsi:type="dcterms:W3CDTF">2026-06-04T02:40:16.881Z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