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Sex × Age Interaction: Likelihood Ratio Test</w:t>
      </w:r>
    </w:p>
    <w:p>
      <w:pPr>
        <w:pStyle w:val="Heading2"/>
      </w:pPr>
      <w:r>
        <w:t xml:space="preserve">Methods</w:t>
      </w:r>
    </w:p>
    <w:p>
      <w:pPr>
        <w:spacing w:after="160"/>
      </w:pPr>
      <w:r>
        <w:t xml:space="preserve">To assess whether the sex×age interaction terms jointly contributed to model fit, we performed a likelihood ratio test (LRT) comparing two elastic net logistic regression models fitted on the MIMIC-IV training set (n = 140,184): a full model including age modelled as a restricted cubic spline (4 knots: ages 21, 45, 63, 86) with sex interaction terms (dem_sex_M × age_rcs1, dem_sex_M × age_rcs2), and a reduced model identical in all other respects but excluding the two interaction terms. Both models used identical hyperparameters (penalty = elastic net, l1_ratio = 0.5, C = 1.0).</w:t>
      </w:r>
    </w:p>
    <w:p>
      <w:pPr>
        <w:spacing w:after="160"/>
      </w:pPr>
      <w:r>
        <w:t xml:space="preserve">The likelihood ratio statistic LR = 2 × (LL_full − LL_reduced) asymptotically follows a chi-squared distribution with degrees of freedom equal to the number of constrained parameters (df = 2), by Wilks’ theorem. This approximation is reliable at our sample size.</w:t>
      </w:r>
    </w:p>
    <w:p>
      <w:pPr>
        <w:pStyle w:val="Heading2"/>
      </w:pPr>
      <w:r>
        <w:t xml:space="preserve">Results</w:t>
      </w:r>
    </w:p>
    <w:p>
      <w:pPr>
        <w:spacing w:after="160"/>
      </w:pPr>
      <w:r>
        <w:t xml:space="preserve">The full model achieved a training log-likelihood of −38,077.01 versus −38,096.28 for the reduced model. The likelihood ratio statistic was 38.54 (df = 2, p = 4.3 × 10⁻⁹), indicating that the sex×age interaction terms jointly and significantly improved model fit beyond the main effects of age and sex alone.</w:t>
      </w:r>
    </w:p>
    <w:p>
      <w:pPr>
        <w:spacing w:after="160"/>
      </w:pPr>
      <w:r>
        <w:t xml:space="preserve">Note that bootstrap confidence intervals for the individual interaction coefficients (dem_sex_M × age_rcs1: −0.031; dem_sex_M × age_rcs2: −0.040) crossed zero under 30% subsampling, reflecting instability of individual coefficient estimates under regularisation and reduced sample size. The LRT, which uses the full training set and tests the joint contribution of both terms, is the appropriate test for whether the interaction is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2026-06-21T01:24:04.170Z</dcterms:created>
  <dcterms:modified xsi:type="dcterms:W3CDTF">2026-06-21T01:24:04.171Z</dcterms:modified>
</cp:coreProperties>
</file>

<file path=docProps/custom.xml><?xml version="1.0" encoding="utf-8"?>
<Properties xmlns="http://schemas.openxmlformats.org/officeDocument/2006/custom-properties" xmlns:vt="http://schemas.openxmlformats.org/officeDocument/2006/docPropsVTypes"/>
</file>