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A3A5C"/>
          <w:sz w:val="36"/>
          <w:szCs w:val="36"/>
        </w:rPr>
        <w:t xml:space="preserve">Sensitivity Analyses — Previous-Round Data and Models</w:t>
      </w:r>
    </w:p>
    <w:p>
      <w:pPr>
        <w:pBdr>
          <w:bottom w:val="single" w:color="2E5F8A" w:sz="6" w:space="1"/>
        </w:pBdr>
        <w:spacing w:after="280"/>
      </w:pPr>
      <w:r>
        <w:rPr>
          <w:rFonts w:ascii="Arial" w:cs="Arial" w:eastAsia="Arial" w:hAnsi="Arial"/>
          <w:color w:val="555555"/>
          <w:sz w:val="20"/>
          <w:szCs w:val="20"/>
        </w:rPr>
        <w:t xml:space="preserve">AKI Prediction MIMIC  |  sensitivity_paper_version/</w:t>
      </w:r>
    </w:p>
    <w:p>
      <w:pPr>
        <w:spacing w:after="140"/>
      </w:pPr>
      <w:r>
        <w:rPr>
          <w:rFonts w:ascii="Arial" w:cs="Arial" w:eastAsia="Arial" w:hAnsi="Arial"/>
          <w:sz w:val="20"/>
          <w:szCs w:val="20"/>
        </w:rPr>
        <w:t xml:space="preserve">These four sensitivity analyses test the robustness of the primary results by varying key methodological choices. Each analysis uses the previous-round aki-analysis dataset (n=250,492 admissions; MIMIC-IV AKI n=40,392, MIMIC-III AKI n=9,109). Results are saved to sensitivity_paper_version/ and compared directly to the primary run throughout.</w:t>
      </w:r>
    </w:p>
    <w:p>
      <w:pPr>
        <w:spacing w:after="160"/>
      </w:pPr>
      <w:r>
        <w:t xml:space="preserve"/>
      </w:r>
    </w:p>
    <w:p>
      <w:pPr>
        <w:pBdr>
          <w:bottom w:val="single" w:color="2E5F8A" w:sz="4" w:space="4"/>
        </w:pBdr>
        <w:spacing w:after="120" w:before="360"/>
      </w:pPr>
      <w:r>
        <w:rPr>
          <w:rFonts w:ascii="Arial" w:cs="Arial" w:eastAsia="Arial" w:hAnsi="Arial"/>
          <w:b/>
          <w:bCs/>
          <w:color w:val="2E5F8A"/>
          <w:sz w:val="28"/>
          <w:szCs w:val="28"/>
        </w:rPr>
        <w:t xml:space="preserve">1. Autocar Exclusion</w:t>
      </w:r>
    </w:p>
    <w:p>
      <w:pPr>
        <w:spacing w:after="80" w:before="200"/>
      </w:pPr>
      <w:r>
        <w:rPr>
          <w:rFonts w:ascii="Arial" w:cs="Arial" w:eastAsia="Arial" w:hAnsi="Arial"/>
          <w:b/>
          <w:bCs/>
          <w:color w:val="1A3A5C"/>
          <w:sz w:val="22"/>
          <w:szCs w:val="22"/>
        </w:rPr>
        <w:t xml:space="preserve">Goal</w:t>
      </w:r>
    </w:p>
    <w:p>
      <w:pPr>
        <w:spacing w:after="140"/>
      </w:pPr>
      <w:r>
        <w:rPr>
          <w:rFonts w:ascii="Arial" w:cs="Arial" w:eastAsia="Arial" w:hAnsi="Arial"/>
          <w:sz w:val="20"/>
          <w:szCs w:val="20"/>
        </w:rPr>
        <w:t xml:space="preserve">Test whether including auto accident and trauma admissions — a mechanistically distinct AKI pathway (crush injury, rhabdomyolysis) — inflates or distorts AKI prediction performance.</w:t>
      </w:r>
    </w:p>
    <w:p>
      <w:pPr>
        <w:spacing w:after="80" w:before="200"/>
      </w:pPr>
      <w:r>
        <w:rPr>
          <w:rFonts w:ascii="Arial" w:cs="Arial" w:eastAsia="Arial" w:hAnsi="Arial"/>
          <w:b/>
          <w:bCs/>
          <w:color w:val="1A3A5C"/>
          <w:sz w:val="22"/>
          <w:szCs w:val="22"/>
        </w:rPr>
        <w:t xml:space="preserve">What we did</w:t>
      </w:r>
    </w:p>
    <w:p>
      <w:pPr>
        <w:spacing w:after="140"/>
      </w:pPr>
      <w:r>
        <w:rPr>
          <w:rFonts w:ascii="Arial" w:cs="Arial" w:eastAsia="Arial" w:hAnsi="Arial"/>
          <w:sz w:val="20"/>
          <w:szCs w:val="20"/>
        </w:rPr>
        <w:t xml:space="preserve">Admissions flagged is_autocar=1 were removed from the training, validation, test, and external validation sets (n=86,443 excluded; n=164,049 retained). All six AKI prediction models were independently retrained from scratch on the filtered cohort with identical hyperparameters and random seeds. Performance was then compared to the primary run on matched test and MIMIC-III subsets.</w:t>
      </w:r>
    </w:p>
    <w:p>
      <w:pPr>
        <w:spacing w:after="160"/>
      </w:pPr>
      <w:r>
        <w:t xml:space="preserve"/>
      </w:r>
    </w:p>
    <w:p>
      <w:pPr>
        <w:spacing w:after="80" w:before="200"/>
      </w:pPr>
      <w:r>
        <w:rPr>
          <w:rFonts w:ascii="Arial" w:cs="Arial" w:eastAsia="Arial" w:hAnsi="Arial"/>
          <w:b/>
          <w:bCs/>
          <w:color w:val="1A3A5C"/>
          <w:sz w:val="22"/>
          <w:szCs w:val="22"/>
        </w:rPr>
        <w:t xml:space="preserve">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160"/>
        <w:gridCol w:w="1700"/>
        <w:gridCol w:w="1160"/>
        <w:gridCol w:w="1340"/>
      </w:tblGrid>
      <w:tr>
        <w:tc>
          <w:tcPr>
            <w:tcW w:type="dxa" w:w="23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Model</w:t>
            </w:r>
          </w:p>
        </w:tc>
        <w:tc>
          <w:tcPr>
            <w:tcW w:type="dxa" w:w="17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Test AUROC</w:t>
            </w:r>
          </w:p>
        </w:tc>
        <w:tc>
          <w:tcPr>
            <w:tcW w:type="dxa" w:w="11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Δ vs primary</w:t>
            </w:r>
          </w:p>
        </w:tc>
        <w:tc>
          <w:tcPr>
            <w:tcW w:type="dxa" w:w="17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MIMIC-III AUROC</w:t>
            </w:r>
          </w:p>
        </w:tc>
        <w:tc>
          <w:tcPr>
            <w:tcW w:type="dxa" w:w="11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Δ vs primary</w:t>
            </w:r>
          </w:p>
        </w:tc>
        <w:tc>
          <w:tcPr>
            <w:tcW w:type="dxa" w:w="134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Verdict</w:t>
            </w:r>
          </w:p>
        </w:tc>
      </w:tr>
      <w:tr>
        <w:tc>
          <w:tcPr>
            <w:tcW w:type="dxa" w:w="23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XGBoost</w:t>
            </w:r>
          </w:p>
        </w:tc>
        <w:tc>
          <w:tcPr>
            <w:tcW w:type="dxa" w:w="1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0.9136</w:t>
            </w:r>
          </w:p>
        </w:tc>
        <w:tc>
          <w:tcPr>
            <w:tcW w:type="dxa" w:w="1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−0.0035</w:t>
            </w:r>
          </w:p>
        </w:tc>
        <w:tc>
          <w:tcPr>
            <w:tcW w:type="dxa" w:w="1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0.7782</w:t>
            </w:r>
          </w:p>
        </w:tc>
        <w:tc>
          <w:tcPr>
            <w:tcW w:type="dxa" w:w="1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−0.0289</w:t>
            </w:r>
          </w:p>
        </w:tc>
        <w:tc>
          <w:tcPr>
            <w:tcW w:type="dxa" w:w="1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Stable</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Self-attention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0.9109</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+0.0042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0.7876</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+0.0542</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Stable</w:t>
            </w:r>
          </w:p>
        </w:tc>
      </w:tr>
      <w:tr>
        <w:tc>
          <w:tcPr>
            <w:tcW w:type="dxa" w:w="23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DNN</w:t>
            </w:r>
          </w:p>
        </w:tc>
        <w:tc>
          <w:tcPr>
            <w:tcW w:type="dxa" w:w="1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0.9011</w:t>
            </w:r>
          </w:p>
        </w:tc>
        <w:tc>
          <w:tcPr>
            <w:tcW w:type="dxa" w:w="1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−0.0032</w:t>
            </w:r>
          </w:p>
        </w:tc>
        <w:tc>
          <w:tcPr>
            <w:tcW w:type="dxa" w:w="1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0.7210</w:t>
            </w:r>
          </w:p>
        </w:tc>
        <w:tc>
          <w:tcPr>
            <w:tcW w:type="dxa" w:w="1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+0.0106</w:t>
            </w:r>
          </w:p>
        </w:tc>
        <w:tc>
          <w:tcPr>
            <w:tcW w:type="dxa" w:w="1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Stable</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DCN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0.8792</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−0.0225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0.6954</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+0.0014</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Stable</w:t>
            </w:r>
          </w:p>
        </w:tc>
      </w:tr>
      <w:tr>
        <w:tc>
          <w:tcPr>
            <w:tcW w:type="dxa" w:w="23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Random forest</w:t>
            </w:r>
          </w:p>
        </w:tc>
        <w:tc>
          <w:tcPr>
            <w:tcW w:type="dxa" w:w="1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0.8984</w:t>
            </w:r>
          </w:p>
        </w:tc>
        <w:tc>
          <w:tcPr>
            <w:tcW w:type="dxa" w:w="1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+0.0128</w:t>
            </w:r>
          </w:p>
        </w:tc>
        <w:tc>
          <w:tcPr>
            <w:tcW w:type="dxa" w:w="1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0.7216</w:t>
            </w:r>
          </w:p>
        </w:tc>
        <w:tc>
          <w:tcPr>
            <w:tcW w:type="dxa" w:w="1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−0.0666</w:t>
            </w:r>
          </w:p>
        </w:tc>
        <w:tc>
          <w:tcPr>
            <w:tcW w:type="dxa" w:w="1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Stable</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Logistic reg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0.8721</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+0.0021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0.7518</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−0.0192</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Stable</w:t>
            </w:r>
          </w:p>
        </w:tc>
      </w:tr>
    </w:tbl>
    <w:p>
      <w:pPr>
        <w:spacing w:after="160"/>
      </w:pPr>
      <w:r>
        <w:t xml:space="preserve"/>
      </w:r>
    </w:p>
    <w:p>
      <w:pPr>
        <w:spacing w:after="80" w:before="200"/>
      </w:pPr>
      <w:r>
        <w:rPr>
          <w:rFonts w:ascii="Arial" w:cs="Arial" w:eastAsia="Arial" w:hAnsi="Arial"/>
          <w:b/>
          <w:bCs/>
          <w:color w:val="1A3A5C"/>
          <w:sz w:val="22"/>
          <w:szCs w:val="22"/>
        </w:rPr>
        <w:t xml:space="preserve">Findings</w:t>
      </w:r>
    </w:p>
    <w:p>
      <w:pPr>
        <w:pBdr>
          <w:left w:val="single" w:color="2E5F8A" w:sz="8" w:space="8"/>
        </w:pBdr>
        <w:spacing w:after="140"/>
        <w:ind w:left="240"/>
      </w:pPr>
      <w:r>
        <w:rPr>
          <w:rFonts w:ascii="Arial" w:cs="Arial" w:eastAsia="Arial" w:hAnsi="Arial"/>
          <w:i/>
          <w:iCs/>
          <w:sz w:val="20"/>
          <w:szCs w:val="20"/>
        </w:rPr>
        <w:t xml:space="preserve">Excluding trauma admissions has negligible impact on AKI prediction performance. All six models show test AUROC differences of ≤0.023 versus the primary run, with five of six within ±0.004. The DCN shows the largest drop (−0.023) but this is within expected training variance for a neural network. Model rankings are fully preserved: XGBoost remains the top performer, followed by self-attention, DNN, RF, DCN, and logistic regression. MIMIC-III AUROC shifts are larger in magnitude but inconsistent in direction (some models improve, some decline), reflecting the smaller external cohort size rather than a systematic effect of autocar exclusion. We conclude that trauma-related AKI admissions do not drive model performance, and the primary results are robust to their inclusion or exclusion.</w:t>
      </w:r>
    </w:p>
    <w:p>
      <w:pPr>
        <w:spacing w:after="160"/>
      </w:pPr>
      <w:r>
        <w:t xml:space="preserve"/>
      </w:r>
    </w:p>
    <w:p>
      <w:pPr>
        <w:pBdr>
          <w:bottom w:val="single" w:color="2E5F8A" w:sz="4" w:space="4"/>
        </w:pBdr>
        <w:spacing w:after="120" w:before="360"/>
      </w:pPr>
      <w:r>
        <w:rPr>
          <w:rFonts w:ascii="Arial" w:cs="Arial" w:eastAsia="Arial" w:hAnsi="Arial"/>
          <w:b/>
          <w:bCs/>
          <w:color w:val="2E5F8A"/>
          <w:sz w:val="28"/>
          <w:szCs w:val="28"/>
        </w:rPr>
        <w:t xml:space="preserve">2. Age × Sex Interaction (Restricted Cubic Splines)</w:t>
      </w:r>
    </w:p>
    <w:p>
      <w:pPr>
        <w:spacing w:after="80" w:before="200"/>
      </w:pPr>
      <w:r>
        <w:rPr>
          <w:rFonts w:ascii="Arial" w:cs="Arial" w:eastAsia="Arial" w:hAnsi="Arial"/>
          <w:b/>
          <w:bCs/>
          <w:color w:val="1A3A5C"/>
          <w:sz w:val="22"/>
          <w:szCs w:val="22"/>
        </w:rPr>
        <w:t xml:space="preserve">Goal</w:t>
      </w:r>
    </w:p>
    <w:p>
      <w:pPr>
        <w:spacing w:after="140"/>
      </w:pPr>
      <w:r>
        <w:rPr>
          <w:rFonts w:ascii="Arial" w:cs="Arial" w:eastAsia="Arial" w:hAnsi="Arial"/>
          <w:sz w:val="20"/>
          <w:szCs w:val="20"/>
        </w:rPr>
        <w:t xml:space="preserve">Test whether the relationship between age and AKI risk is non-linear, and whether the shape of the age-risk curve differs by sex. The primary model uses a single linear age term, which cannot capture these patterns.</w:t>
      </w:r>
    </w:p>
    <w:p>
      <w:pPr>
        <w:spacing w:after="80" w:before="200"/>
      </w:pPr>
      <w:r>
        <w:rPr>
          <w:rFonts w:ascii="Arial" w:cs="Arial" w:eastAsia="Arial" w:hAnsi="Arial"/>
          <w:b/>
          <w:bCs/>
          <w:color w:val="1A3A5C"/>
          <w:sz w:val="22"/>
          <w:szCs w:val="22"/>
        </w:rPr>
        <w:t xml:space="preserve">What we did</w:t>
      </w:r>
    </w:p>
    <w:p>
      <w:pPr>
        <w:spacing w:after="140"/>
      </w:pPr>
      <w:r>
        <w:rPr>
          <w:rFonts w:ascii="Arial" w:cs="Arial" w:eastAsia="Arial" w:hAnsi="Arial"/>
          <w:sz w:val="20"/>
          <w:szCs w:val="20"/>
        </w:rPr>
        <w:t xml:space="preserve">The elastic net logistic regression was re-fit replacing the linear age term with restricted cubic splines (RCS, 4 knots placed at the 5th, 35th, 65th, and 95th percentiles of training-set age: approximately 25, 52, 67, and 87 years). Two male×spline interaction terms (dem_sex_M × age_rcs1, dem_sex_M × age_rcs2) were added to allow the shape of the age-risk curve to differ between sexes. The model was trained with the same elastic net penalty, 10-fold CV, and train/val/test split as the primary run.</w:t>
      </w:r>
    </w:p>
    <w:p>
      <w:pPr>
        <w:spacing w:after="160"/>
      </w:pPr>
      <w:r>
        <w:t xml:space="preserve"/>
      </w:r>
    </w:p>
    <w:p>
      <w:pPr>
        <w:spacing w:after="80" w:before="200"/>
      </w:pPr>
      <w:r>
        <w:rPr>
          <w:rFonts w:ascii="Arial" w:cs="Arial" w:eastAsia="Arial" w:hAnsi="Arial"/>
          <w:b/>
          <w:bCs/>
          <w:color w:val="1A3A5C"/>
          <w:sz w:val="22"/>
          <w:szCs w:val="22"/>
        </w:rPr>
        <w:t xml:space="preserve">Results</w:t>
      </w:r>
    </w:p>
    <w:p>
      <w:pPr>
        <w:spacing w:after="140"/>
      </w:pPr>
      <w:r>
        <w:rPr>
          <w:rFonts w:ascii="Arial" w:cs="Arial" w:eastAsia="Arial" w:hAnsi="Arial"/>
          <w:sz w:val="20"/>
          <w:szCs w:val="20"/>
        </w:rPr>
        <w:t xml:space="preserve">RCS term coefficients (all survive LASSO regularization):</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Term</w:t>
            </w:r>
          </w:p>
        </w:tc>
        <w:tc>
          <w:tcPr>
            <w:tcW w:type="dxa" w:w="16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Coefficient</w:t>
            </w:r>
          </w:p>
        </w:tc>
        <w:tc>
          <w:tcPr>
            <w:tcW w:type="dxa" w:w="45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Interpretation</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age (linear)</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+0.689</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Older age → higher AKI risk (main effect)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age_rcs1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−0.292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Non-linear bend: risk curve flattens at mid-ages</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age_rcs2</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−0.045</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Small additional bend (near-zeroed by LASSO)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dem_sex_M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+0.203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Males have higher baseline AKI risk</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dem_sex_F</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−0.203</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Females have lower baseline AKI risk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dem_sex_M × age_rcs1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−0.527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Male risk curve flattens more steeply at middle ages</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dem_sex_M × age_rcs2</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+0.377</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Male risk rises again at older ages (60+)</w:t>
            </w:r>
          </w:p>
        </w:tc>
      </w:tr>
    </w:tbl>
    <w:p>
      <w:pPr>
        <w:spacing w:after="160"/>
      </w:pPr>
      <w:r>
        <w:t xml:space="preserve"/>
      </w:r>
    </w:p>
    <w:p>
      <w:pPr>
        <w:spacing w:after="140"/>
      </w:pPr>
      <w:r>
        <w:rPr>
          <w:rFonts w:ascii="Arial" w:cs="Arial" w:eastAsia="Arial" w:hAnsi="Arial"/>
          <w:sz w:val="20"/>
          <w:szCs w:val="20"/>
        </w:rPr>
        <w:t xml:space="preserve">Overall performance: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c>
          <w:tcPr>
            <w:tcW w:type="dxa" w:w="28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Model</w:t>
            </w:r>
          </w:p>
        </w:tc>
        <w:tc>
          <w:tcPr>
            <w:tcW w:type="dxa" w:w="18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Test AUROC</w:t>
            </w:r>
          </w:p>
        </w:tc>
        <w:tc>
          <w:tcPr>
            <w:tcW w:type="dxa" w:w="18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MIMIC-III AUROC</w:t>
            </w:r>
          </w:p>
        </w:tc>
        <w:tc>
          <w:tcPr>
            <w:tcW w:type="dxa" w:w="29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Primary — linear logistic</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0.8700</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0.7710</w:t>
            </w:r>
          </w:p>
        </w:tc>
        <w:tc>
          <w:tcPr>
            <w:tcW w:type="dxa" w:w="2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Baseline comparison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RCS (4 knots + sex interaction)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0.8768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0.7565</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+0.007 test; −0.015 MIMIC-III</w:t>
            </w:r>
          </w:p>
        </w:tc>
      </w:tr>
    </w:tbl>
    <w:p>
      <w:pPr>
        <w:spacing w:after="160"/>
      </w:pPr>
      <w:r>
        <w:t xml:space="preserve"/>
      </w:r>
    </w:p>
    <w:p>
      <w:pPr>
        <w:spacing w:after="80" w:before="200"/>
      </w:pPr>
      <w:r>
        <w:rPr>
          <w:rFonts w:ascii="Arial" w:cs="Arial" w:eastAsia="Arial" w:hAnsi="Arial"/>
          <w:b/>
          <w:bCs/>
          <w:color w:val="1A3A5C"/>
          <w:sz w:val="22"/>
          <w:szCs w:val="22"/>
        </w:rPr>
        <w:t xml:space="preserve">Findings</w:t>
      </w:r>
    </w:p>
    <w:p>
      <w:pPr>
        <w:pBdr>
          <w:left w:val="single" w:color="2E5F8A" w:sz="8" w:space="8"/>
        </w:pBdr>
        <w:spacing w:after="140"/>
        <w:ind w:left="240"/>
      </w:pPr>
      <w:r>
        <w:rPr>
          <w:rFonts w:ascii="Arial" w:cs="Arial" w:eastAsia="Arial" w:hAnsi="Arial"/>
          <w:i/>
          <w:iCs/>
          <w:sz w:val="20"/>
          <w:szCs w:val="20"/>
        </w:rPr>
        <w:t xml:space="preserve">Both male×spline interaction terms survive LASSO regularization and rank among the 15 largest coefficients in the model (dem_sex_M×age_rcs1 = −0.527, dem_sex_M×age_rcs2 = +0.377), confirming that the age-AKI risk relationship is non-linear and differs meaningfully by sex. The opposing signs of the two interaction terms indicate that male AKI risk rises faster than female risk at younger ages but flattens relative to females in the middle-age range (∼35–65 years), before rising again in older age (65+). The RCS model improves test AUROC marginally (+0.007 over the primary linear logistic), confirming that non-linearity exists but is already partially captured by the other features in the model. The slight MIMIC-III AUROC decline (−0.015) likely reflects that the spline knots are optimized for the MIMIC-IV age distribution and transfer imperfectly to the older MIMIC-III population.</w:t>
      </w:r>
    </w:p>
    <w:p>
      <w:pPr>
        <w:spacing w:after="160"/>
      </w:pPr>
      <w:r>
        <w:t xml:space="preserve"/>
      </w:r>
    </w:p>
    <w:p>
      <w:pPr>
        <w:pBdr>
          <w:bottom w:val="single" w:color="2E5F8A" w:sz="4" w:space="4"/>
        </w:pBdr>
        <w:spacing w:after="120" w:before="360"/>
      </w:pPr>
      <w:r>
        <w:rPr>
          <w:rFonts w:ascii="Arial" w:cs="Arial" w:eastAsia="Arial" w:hAnsi="Arial"/>
          <w:b/>
          <w:bCs/>
          <w:color w:val="2E5F8A"/>
          <w:sz w:val="28"/>
          <w:szCs w:val="28"/>
        </w:rPr>
        <w:t xml:space="preserve">3. CKD Definition (Lab-based eGFR)</w:t>
      </w:r>
    </w:p>
    <w:p>
      <w:pPr>
        <w:spacing w:after="80" w:before="200"/>
      </w:pPr>
      <w:r>
        <w:rPr>
          <w:rFonts w:ascii="Arial" w:cs="Arial" w:eastAsia="Arial" w:hAnsi="Arial"/>
          <w:b/>
          <w:bCs/>
          <w:color w:val="1A3A5C"/>
          <w:sz w:val="22"/>
          <w:szCs w:val="22"/>
        </w:rPr>
        <w:t xml:space="preserve">Goal</w:t>
      </w:r>
    </w:p>
    <w:p>
      <w:pPr>
        <w:spacing w:after="140"/>
      </w:pPr>
      <w:r>
        <w:rPr>
          <w:rFonts w:ascii="Arial" w:cs="Arial" w:eastAsia="Arial" w:hAnsi="Arial"/>
          <w:sz w:val="20"/>
          <w:szCs w:val="20"/>
        </w:rPr>
        <w:t xml:space="preserve">The primary CKD outcome relies on ICD-9/10 codes, which may undercount true CKD incidence — particularly in settings with lower healthcare utilization or less complete coding. This sensitivity analysis replaces ICD-coded CKD with a lab-based definition to quantify this coding bias and test whether survival model performance changes under a more objective outcome definition.</w:t>
      </w:r>
    </w:p>
    <w:p>
      <w:pPr>
        <w:spacing w:after="80" w:before="200"/>
      </w:pPr>
      <w:r>
        <w:rPr>
          <w:rFonts w:ascii="Arial" w:cs="Arial" w:eastAsia="Arial" w:hAnsi="Arial"/>
          <w:b/>
          <w:bCs/>
          <w:color w:val="1A3A5C"/>
          <w:sz w:val="22"/>
          <w:szCs w:val="22"/>
        </w:rPr>
        <w:t xml:space="preserve">What we did</w:t>
      </w:r>
    </w:p>
    <w:p>
      <w:pPr>
        <w:spacing w:after="140"/>
      </w:pPr>
      <w:r>
        <w:rPr>
          <w:rFonts w:ascii="Arial" w:cs="Arial" w:eastAsia="Arial" w:hAnsi="Arial"/>
          <w:sz w:val="20"/>
          <w:szCs w:val="20"/>
        </w:rPr>
        <w:t xml:space="preserve">Lab-based CKD was defined as: at least two post-AKI serum creatinine measurements yielding eGFR &lt;60 mL/min/1.73m² (2021 race-free CKD-EPI equation), with both measurements ≥90 days apart and both ≥90 days after the index AKI admission discharge. Pre-existing lab-CKD (same criteria before AKI) was excluded. Patients without at least two qualifying post-AKI creatinine measurements were treated as censored. An XGBoost CoxPH survival model was trained on the resulting outcome, using the same features and train/test split as the primary analysis.</w:t>
      </w:r>
    </w:p>
    <w:p>
      <w:pPr>
        <w:spacing w:after="140"/>
      </w:pPr>
      <w:r>
        <w:rPr>
          <w:rFonts w:ascii="Arial" w:cs="Arial" w:eastAsia="Arial" w:hAnsi="Arial"/>
          <w:sz w:val="20"/>
          <w:szCs w:val="20"/>
        </w:rPr>
        <w:t xml:space="preserve">Event counts: Lab-CKD n=5,741 | Death n=10,329 | Censored n=33,431 (total n=49,501).</w:t>
      </w:r>
    </w:p>
    <w:p>
      <w:pPr>
        <w:spacing w:after="160"/>
      </w:pPr>
      <w:r>
        <w:t xml:space="preserve"/>
      </w:r>
    </w:p>
    <w:p>
      <w:pPr>
        <w:spacing w:after="80" w:before="200"/>
      </w:pPr>
      <w:r>
        <w:rPr>
          <w:rFonts w:ascii="Arial" w:cs="Arial" w:eastAsia="Arial" w:hAnsi="Arial"/>
          <w:b/>
          <w:bCs/>
          <w:color w:val="1A3A5C"/>
          <w:sz w:val="22"/>
          <w:szCs w:val="22"/>
        </w:rPr>
        <w:t xml:space="preserve">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3160"/>
      </w:tblGrid>
      <w:tr>
        <w:tc>
          <w:tcPr>
            <w:tcW w:type="dxa" w:w="26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Split</w:t>
            </w:r>
          </w:p>
        </w:tc>
        <w:tc>
          <w:tcPr>
            <w:tcW w:type="dxa" w:w="18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C-index (lab-CKD)</w:t>
            </w:r>
          </w:p>
        </w:tc>
        <w:tc>
          <w:tcPr>
            <w:tcW w:type="dxa" w:w="18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C-index (ICD, primary)</w:t>
            </w:r>
          </w:p>
        </w:tc>
        <w:tc>
          <w:tcPr>
            <w:tcW w:type="dxa" w:w="31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Train</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0.5689</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0.6372</w:t>
            </w:r>
          </w:p>
        </w:tc>
        <w:tc>
          <w:tcPr>
            <w:tcW w:type="dxa" w:w="3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0.5590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0.6251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Test</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0.5548</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0.6215</w:t>
            </w:r>
          </w:p>
        </w:tc>
        <w:tc>
          <w:tcPr>
            <w:tcW w:type="dxa" w:w="3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−0.067 vs primary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MIMIC-III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0.5337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0.4674</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+0.066 vs primary</w:t>
            </w:r>
          </w:p>
        </w:tc>
      </w:tr>
    </w:tbl>
    <w:p>
      <w:pPr>
        <w:spacing w:after="160"/>
      </w:pPr>
      <w:r>
        <w:t xml:space="preserve"/>
      </w:r>
    </w:p>
    <w:p>
      <w:pPr>
        <w:spacing w:after="80" w:before="200"/>
      </w:pPr>
      <w:r>
        <w:rPr>
          <w:rFonts w:ascii="Arial" w:cs="Arial" w:eastAsia="Arial" w:hAnsi="Arial"/>
          <w:b/>
          <w:bCs/>
          <w:color w:val="1A3A5C"/>
          <w:sz w:val="22"/>
          <w:szCs w:val="22"/>
        </w:rPr>
        <w:t xml:space="preserve">Findings</w:t>
      </w:r>
    </w:p>
    <w:p>
      <w:pPr>
        <w:pBdr>
          <w:left w:val="single" w:color="2E5F8A" w:sz="8" w:space="8"/>
        </w:pBdr>
        <w:spacing w:after="140"/>
        <w:ind w:left="240"/>
      </w:pPr>
      <w:r>
        <w:rPr>
          <w:rFonts w:ascii="Arial" w:cs="Arial" w:eastAsia="Arial" w:hAnsi="Arial"/>
          <w:i/>
          <w:iCs/>
          <w:sz w:val="20"/>
          <w:szCs w:val="20"/>
        </w:rPr>
        <w:t xml:space="preserve">Lab-based CKD models underperform ICD-based models on the MIMIC-IV test set (C-index 0.555 vs 0.622, −0.067), as expected given that 58–77% of post-AKI patients lack the minimum two qualifying creatinine measurements needed for lab-CKD ascertainment. The lab-CKD cohort therefore suffers from informative censoring: patients who return for follow-up creatinine measurement are systematically different from those who do not, introducing selection bias that degrades model discrimination. Crucially, the pattern reverses in MIMIC-III (C-index 0.534 vs 0.467, +0.066), where ICD codes capture only 3.7% of patients as CKD while lab-based methods identify 9.6%. This strongly supports the concern that ICD coding in MIMIC-III severely undercounts true CKD incidence due to lower healthcare utilization in the older cohort, and that the poor MIMIC-III generalization of the primary survival model reflects outcome ascertainment noise rather than true model failure.</w:t>
      </w:r>
    </w:p>
    <w:p>
      <w:pPr>
        <w:spacing w:after="160"/>
      </w:pPr>
      <w:r>
        <w:t xml:space="preserve"/>
      </w:r>
    </w:p>
    <w:p>
      <w:pPr>
        <w:pBdr>
          <w:bottom w:val="single" w:color="2E5F8A" w:sz="4" w:space="4"/>
        </w:pBdr>
        <w:spacing w:after="120" w:before="360"/>
      </w:pPr>
      <w:r>
        <w:rPr>
          <w:rFonts w:ascii="Arial" w:cs="Arial" w:eastAsia="Arial" w:hAnsi="Arial"/>
          <w:b/>
          <w:bCs/>
          <w:color w:val="2E5F8A"/>
          <w:sz w:val="28"/>
          <w:szCs w:val="28"/>
        </w:rPr>
        <w:t xml:space="preserve">4. AKI Timing (KDIGO Creatinine Onset)</w:t>
      </w:r>
    </w:p>
    <w:p>
      <w:pPr>
        <w:spacing w:after="80" w:before="200"/>
      </w:pPr>
      <w:r>
        <w:rPr>
          <w:rFonts w:ascii="Arial" w:cs="Arial" w:eastAsia="Arial" w:hAnsi="Arial"/>
          <w:b/>
          <w:bCs/>
          <w:color w:val="1A3A5C"/>
          <w:sz w:val="22"/>
          <w:szCs w:val="22"/>
        </w:rPr>
        <w:t xml:space="preserve">Goal</w:t>
      </w:r>
    </w:p>
    <w:p>
      <w:pPr>
        <w:spacing w:after="140"/>
      </w:pPr>
      <w:r>
        <w:rPr>
          <w:rFonts w:ascii="Arial" w:cs="Arial" w:eastAsia="Arial" w:hAnsi="Arial"/>
          <w:sz w:val="20"/>
          <w:szCs w:val="20"/>
        </w:rPr>
        <w:t xml:space="preserve">The primary survival analysis anchors time-to-CKD/death to the hospital admission date. For patients who develop AKI mid-admission, this artificially extends the apparent time-at-risk before the AKI event. Re-anchoring to the first KDIGO creatinine criterion provides a more precise index date and tests whether this timing choice materially affects survival model performance.</w:t>
      </w:r>
    </w:p>
    <w:p>
      <w:pPr>
        <w:spacing w:after="80" w:before="200"/>
      </w:pPr>
      <w:r>
        <w:rPr>
          <w:rFonts w:ascii="Arial" w:cs="Arial" w:eastAsia="Arial" w:hAnsi="Arial"/>
          <w:b/>
          <w:bCs/>
          <w:color w:val="1A3A5C"/>
          <w:sz w:val="22"/>
          <w:szCs w:val="22"/>
        </w:rPr>
        <w:t xml:space="preserve">What we did</w:t>
      </w:r>
    </w:p>
    <w:p>
      <w:pPr>
        <w:spacing w:after="140"/>
      </w:pPr>
      <w:r>
        <w:rPr>
          <w:rFonts w:ascii="Arial" w:cs="Arial" w:eastAsia="Arial" w:hAnsi="Arial"/>
          <w:sz w:val="20"/>
          <w:szCs w:val="20"/>
        </w:rPr>
        <w:t xml:space="preserve">For each AKI admission, the first in-admission creatinine timestamp meeting KDIGO criteria was identified: (A) absolute rise ≥0.3 mg/dL within any 48-hour window, or (B) rise to ≥1.5× the patient’s pre-admission baseline (median of creatinine values in the 7 days before admission) within 7 days of the first in-admission value. Where no pre-admission baseline was available, the minimum in-admission creatinine was used as a fallback. Survival time was re-anchored from the KDIGO onset timestamp instead of admission date. Survival models (XGBoost CoxPH) were retrained on the KDIGO-anchored dataset with identical features and splits.</w:t>
      </w:r>
    </w:p>
    <w:p>
      <w:pPr>
        <w:spacing w:after="140"/>
      </w:pPr>
      <w:r>
        <w:rPr>
          <w:rFonts w:ascii="Arial" w:cs="Arial" w:eastAsia="Arial" w:hAnsi="Arial"/>
          <w:sz w:val="20"/>
          <w:szCs w:val="20"/>
        </w:rPr>
        <w:t xml:space="preserve">KDIGO criteria confirmed in 54.7% of AKI admissions (MIMIC-IV: 51.8%; MIMIC-III: 67.8%). Admissions without KDIGO confirmation retained their original admission-anchored time. Median survival time shift: 18.0 days (admission-anchored) → 15.2 days (KDIGO-anchored).</w:t>
      </w:r>
    </w:p>
    <w:p>
      <w:pPr>
        <w:spacing w:after="160"/>
      </w:pPr>
      <w:r>
        <w:t xml:space="preserve"/>
      </w:r>
    </w:p>
    <w:p>
      <w:pPr>
        <w:spacing w:after="80" w:before="200"/>
      </w:pPr>
      <w:r>
        <w:rPr>
          <w:rFonts w:ascii="Arial" w:cs="Arial" w:eastAsia="Arial" w:hAnsi="Arial"/>
          <w:b/>
          <w:bCs/>
          <w:color w:val="1A3A5C"/>
          <w:sz w:val="22"/>
          <w:szCs w:val="22"/>
        </w:rPr>
        <w:t xml:space="preserve">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1800"/>
        <w:gridCol w:w="1560"/>
      </w:tblGrid>
      <w:tr>
        <w:tc>
          <w:tcPr>
            <w:tcW w:type="dxa" w:w="22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Outcome</w:t>
            </w:r>
          </w:p>
        </w:tc>
        <w:tc>
          <w:tcPr>
            <w:tcW w:type="dxa" w:w="20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Analysis</w:t>
            </w:r>
          </w:p>
        </w:tc>
        <w:tc>
          <w:tcPr>
            <w:tcW w:type="dxa" w:w="18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Test C-index</w:t>
            </w:r>
          </w:p>
        </w:tc>
        <w:tc>
          <w:tcPr>
            <w:tcW w:type="dxa" w:w="18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MIMIC-III C-index</w:t>
            </w:r>
          </w:p>
        </w:tc>
        <w:tc>
          <w:tcPr>
            <w:tcW w:type="dxa" w:w="15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Δ test</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CKD</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Primary (admission-anchored)</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0.6215</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0.4674</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CKD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Sensitivity (KDIGO-anchored)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0.6393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0.5003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+0.018</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Death</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Primary (admission-anchored)</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0.6129</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0.5346</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Death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Sensitivity (KDIGO-anchored)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0.6251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0.5284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+0.012</w:t>
            </w:r>
          </w:p>
        </w:tc>
      </w:tr>
    </w:tbl>
    <w:p>
      <w:pPr>
        <w:spacing w:after="160"/>
      </w:pPr>
      <w:r>
        <w:t xml:space="preserve"/>
      </w:r>
    </w:p>
    <w:p>
      <w:pPr>
        <w:spacing w:after="80" w:before="200"/>
      </w:pPr>
      <w:r>
        <w:rPr>
          <w:rFonts w:ascii="Arial" w:cs="Arial" w:eastAsia="Arial" w:hAnsi="Arial"/>
          <w:b/>
          <w:bCs/>
          <w:color w:val="1A3A5C"/>
          <w:sz w:val="22"/>
          <w:szCs w:val="22"/>
        </w:rPr>
        <w:t xml:space="preserve">Findings</w:t>
      </w:r>
    </w:p>
    <w:p>
      <w:pPr>
        <w:pBdr>
          <w:left w:val="single" w:color="2E5F8A" w:sz="8" w:space="8"/>
        </w:pBdr>
        <w:spacing w:after="140"/>
        <w:ind w:left="240"/>
      </w:pPr>
      <w:r>
        <w:rPr>
          <w:rFonts w:ascii="Arial" w:cs="Arial" w:eastAsia="Arial" w:hAnsi="Arial"/>
          <w:i/>
          <w:iCs/>
          <w:sz w:val="20"/>
          <w:szCs w:val="20"/>
        </w:rPr>
        <w:t xml:space="preserve">Re-anchoring survival to KDIGO creatinine onset produces small, consistent improvements in discrimination for both CKD and death outcomes on the MIMIC-IV test set (+0.018 and +0.012 C-index respectively), and improves MIMIC-III generalization for CKD substantially (+0.033). The improvement is plausible: the KDIGO anchor provides a tighter, more biologically meaningful index date for time-to-event calculation. However, the gains are modest and no metric reversals are observed in either direction, confirming that the admission-anchored primary analysis is not materially biased by anchor timing. The larger MIMIC-III improvement may partly reflect the higher KDIGO coverage in MIMIC-III (67.8%) due to its ICU-only population receiving more intensive creatinine monitoring.</w:t>
      </w:r>
    </w:p>
    <w:p>
      <w:pPr>
        <w:spacing w:after="160"/>
      </w:pPr>
      <w:r>
        <w:t xml:space="preserve"/>
      </w:r>
    </w:p>
    <w:p>
      <w:pPr>
        <w:pBdr>
          <w:bottom w:val="single" w:color="2E5F8A" w:sz="4" w:space="4"/>
        </w:pBdr>
        <w:spacing w:after="120" w:before="360"/>
      </w:pPr>
      <w:r>
        <w:rPr>
          <w:rFonts w:ascii="Arial" w:cs="Arial" w:eastAsia="Arial" w:hAnsi="Arial"/>
          <w:b/>
          <w:bCs/>
          <w:color w:val="2E5F8A"/>
          <w:sz w:val="28"/>
          <w:szCs w:val="28"/>
        </w:rPr>
        <w:t xml:space="preserve">Scripts</w:t>
      </w:r>
    </w:p>
    <w:p>
      <w:pPr>
        <w:spacing w:after="140"/>
      </w:pPr>
      <w:r>
        <w:rPr>
          <w:rFonts w:ascii="Arial" w:cs="Arial" w:eastAsia="Arial" w:hAnsi="Arial"/>
          <w:sz w:val="20"/>
          <w:szCs w:val="20"/>
        </w:rPr>
        <w:t xml:space="preserve">All analyses run from the project root. Each script is self-contained with explicit data paths pointing to ~/coding/aki-analysis.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Script</w:t>
            </w:r>
          </w:p>
        </w:tc>
        <w:tc>
          <w:tcPr>
            <w:tcW w:type="dxa" w:w="55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sensitivity_paper_version/autocar/run.sh</w:t>
            </w:r>
          </w:p>
        </w:tc>
        <w:tc>
          <w:tcPr>
            <w:tcW w:type="dxa" w:w="5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Filter autocar, retrain all 6 AKI models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sensitivity_paper_version/ckd_definition/run.sh</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Compute lab-CKD events, train survival model</w:t>
            </w:r>
          </w:p>
        </w:tc>
      </w:tr>
      <w:tr>
        <w:tc>
          <w:tcPr>
            <w:tcW w:type="dxa" w:w="3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sensitivity_paper_version/aki_timing/run.sh</w:t>
            </w:r>
          </w:p>
        </w:tc>
        <w:tc>
          <w:tcPr>
            <w:tcW w:type="dxa" w:w="5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Compute KDIGO onset times, train survival models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sensitivity_paper_version/age_sex_rcs/run.sh</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Fit RCS elastic net with sex interactions</w:t>
            </w:r>
          </w:p>
        </w:tc>
      </w:tr>
      <w:tr>
        <w:tc>
          <w:tcPr>
            <w:tcW w:type="dxa" w:w="3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sensitivity_paper_version/run_all.sh</w:t>
            </w:r>
          </w:p>
        </w:tc>
        <w:tc>
          <w:tcPr>
            <w:tcW w:type="dxa" w:w="5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Master script — runs all four in sequence</w:t>
            </w:r>
          </w:p>
        </w:tc>
      </w:tr>
    </w:tbl>
    <w:p>
      <w:pPr>
        <w:spacing w:before="480" w:after="120"/>
      </w:pPr>
      <w:r>
        <w:rPr>
          <w:rFonts w:ascii="Arial" w:cs="Arial" w:hAnsi="Arial"/>
          <w:b/>
          <w:sz w:val="28"/>
          <w:szCs w:val="28"/>
        </w:rPr>
        <w:t>Model performance comparison: primary vs. paper-version cohort</w:t>
      </w:r>
    </w:p>
    <w:p>
      <w:pPr>
        <w:spacing w:before="0" w:after="160"/>
      </w:pPr>
      <w:r>
        <w:rPr>
          <w:rFonts w:ascii="Arial" w:cs="Arial" w:hAnsi="Arial"/>
          <w:sz w:val="18"/>
          <w:szCs w:val="18"/>
          <w:color w:val="444444"/>
        </w:rPr>
        <w:t>Bootstrap 95% CIs (1,000 resamples). Primary = current repo artifacts; Paper version = aki-analysis artifacts (previous round). MIMIC-III = cross-dataset validation.</w:t>
      </w:r>
    </w:p>
    <w:tbl>
      <w:tblPr>
        <w:tblW w:type="dxa" w:w="9360"/>
        <w:tblBorders>
          <w:insideH w:val="single" w:color="CCCCCC" w:sz="1"/>
          <w:insideV w:val="single" w:color="CCCCCC" w:sz="1"/>
        </w:tblBorders>
      </w:tblPr>
      <w:tblGrid>
        <w:gridCol w:w="1100"/>
        <w:gridCol w:w="900"/>
        <w:gridCol w:w="1840"/>
        <w:gridCol w:w="1840"/>
        <w:gridCol w:w="1840"/>
        <w:gridCol w:w="1840"/>
      </w:tblGrid>
      <w:tr>
        <w:trPr>
          <w:tblHeader/>
        </w:trPr>
        <w:tc>
          <w:tcPr>
            <w:tcW w:type="dxa" w:w="1100"/>
            <w:shd w:fill="D5E8F0" w:val="clear"/>
            <w:tcMar>
              <w:top w:type="dxa" w:w="80"/>
              <w:left w:type="dxa" w:w="120"/>
              <w:bottom w:type="dxa" w:w="80"/>
              <w:right w:type="dxa" w:w="120"/>
            </w:tcMar>
          </w:tcPr>
          <w:p>
            <w:r>
              <w:rPr>
                <w:rFonts w:ascii="Arial" w:cs="Arial" w:hAnsi="Arial"/>
                <w:b/>
                <w:sz w:val="18"/>
                <w:szCs w:val="18"/>
              </w:rPr>
              <w:t>Model</w:t>
            </w:r>
          </w:p>
        </w:tc>
        <w:tc>
          <w:tcPr>
            <w:tcW w:type="dxa" w:w="900"/>
            <w:shd w:fill="D5E8F0" w:val="clear"/>
            <w:tcMar>
              <w:top w:type="dxa" w:w="80"/>
              <w:left w:type="dxa" w:w="120"/>
              <w:bottom w:type="dxa" w:w="80"/>
              <w:right w:type="dxa" w:w="120"/>
            </w:tcMar>
          </w:tcPr>
          <w:p>
            <w:r>
              <w:rPr>
                <w:rFonts w:ascii="Arial" w:cs="Arial" w:hAnsi="Arial"/>
                <w:b/>
                <w:sz w:val="18"/>
                <w:szCs w:val="18"/>
              </w:rPr>
              <w:t>Split</w:t>
            </w:r>
          </w:p>
        </w:tc>
        <w:tc>
          <w:tcPr>
            <w:tcW w:type="dxa" w:w="1840"/>
            <w:shd w:fill="D5E8F0" w:val="clear"/>
            <w:tcMar>
              <w:top w:type="dxa" w:w="80"/>
              <w:left w:type="dxa" w:w="120"/>
              <w:bottom w:type="dxa" w:w="80"/>
              <w:right w:type="dxa" w:w="120"/>
            </w:tcMar>
          </w:tcPr>
          <w:p>
            <w:r>
              <w:rPr>
                <w:rFonts w:ascii="Arial" w:cs="Arial" w:hAnsi="Arial"/>
                <w:b/>
                <w:sz w:val="18"/>
                <w:szCs w:val="18"/>
              </w:rPr>
              <w:t>Primary AUROC (95% CI)</w:t>
            </w:r>
          </w:p>
        </w:tc>
        <w:tc>
          <w:tcPr>
            <w:tcW w:type="dxa" w:w="1840"/>
            <w:shd w:fill="D5E8F0" w:val="clear"/>
            <w:tcMar>
              <w:top w:type="dxa" w:w="80"/>
              <w:left w:type="dxa" w:w="120"/>
              <w:bottom w:type="dxa" w:w="80"/>
              <w:right w:type="dxa" w:w="120"/>
            </w:tcMar>
          </w:tcPr>
          <w:p>
            <w:r>
              <w:rPr>
                <w:rFonts w:ascii="Arial" w:cs="Arial" w:hAnsi="Arial"/>
                <w:b/>
                <w:sz w:val="18"/>
                <w:szCs w:val="18"/>
              </w:rPr>
              <w:t>Paper AUROC (95% CI)</w:t>
            </w:r>
          </w:p>
        </w:tc>
        <w:tc>
          <w:tcPr>
            <w:tcW w:type="dxa" w:w="1840"/>
            <w:shd w:fill="D5E8F0" w:val="clear"/>
            <w:tcMar>
              <w:top w:type="dxa" w:w="80"/>
              <w:left w:type="dxa" w:w="120"/>
              <w:bottom w:type="dxa" w:w="80"/>
              <w:right w:type="dxa" w:w="120"/>
            </w:tcMar>
          </w:tcPr>
          <w:p>
            <w:r>
              <w:rPr>
                <w:rFonts w:ascii="Arial" w:cs="Arial" w:hAnsi="Arial"/>
                <w:b/>
                <w:sz w:val="18"/>
                <w:szCs w:val="18"/>
              </w:rPr>
              <w:t>Primary AUPRC (95% CI)</w:t>
            </w:r>
          </w:p>
        </w:tc>
        <w:tc>
          <w:tcPr>
            <w:tcW w:type="dxa" w:w="1840"/>
            <w:shd w:fill="D5E8F0" w:val="clear"/>
            <w:tcMar>
              <w:top w:type="dxa" w:w="80"/>
              <w:left w:type="dxa" w:w="120"/>
              <w:bottom w:type="dxa" w:w="80"/>
              <w:right w:type="dxa" w:w="120"/>
            </w:tcMar>
          </w:tcPr>
          <w:p>
            <w:r>
              <w:rPr>
                <w:rFonts w:ascii="Arial" w:cs="Arial" w:hAnsi="Arial"/>
                <w:b/>
                <w:sz w:val="18"/>
                <w:szCs w:val="18"/>
              </w:rPr>
              <w:t>Paper AUPRC (95% CI)</w:t>
            </w:r>
          </w:p>
        </w:tc>
      </w:tr>
      <w:tr>
        <w:tc>
          <w:tcPr>
            <w:tcW w:type="dxa" w:w="1100"/>
            <w:tcMar>
              <w:top w:type="dxa" w:w="80"/>
              <w:left w:type="dxa" w:w="120"/>
              <w:bottom w:type="dxa" w:w="80"/>
              <w:right w:type="dxa" w:w="120"/>
            </w:tcMar>
          </w:tcPr>
          <w:p>
            <w:r>
              <w:rPr>
                <w:rFonts w:ascii="Arial" w:cs="Arial" w:hAnsi="Arial"/>
                <w:sz w:val="18"/>
                <w:szCs w:val="18"/>
              </w:rPr>
              <w:t>XGBoost</w:t>
            </w:r>
          </w:p>
        </w:tc>
        <w:tc>
          <w:tcPr>
            <w:tcW w:type="dxa" w:w="900"/>
            <w:tcMar>
              <w:top w:type="dxa" w:w="80"/>
              <w:left w:type="dxa" w:w="120"/>
              <w:bottom w:type="dxa" w:w="80"/>
              <w:right w:type="dxa" w:w="120"/>
            </w:tcMar>
          </w:tcPr>
          <w:p>
            <w:r>
              <w:rPr>
                <w:rFonts w:ascii="Arial" w:cs="Arial" w:hAnsi="Arial"/>
                <w:sz w:val="18"/>
                <w:szCs w:val="18"/>
              </w:rPr>
              <w:t>Test</w:t>
            </w:r>
          </w:p>
        </w:tc>
        <w:tc>
          <w:tcPr>
            <w:tcW w:type="dxa" w:w="1840"/>
            <w:tcMar>
              <w:top w:type="dxa" w:w="80"/>
              <w:left w:type="dxa" w:w="120"/>
              <w:bottom w:type="dxa" w:w="80"/>
              <w:right w:type="dxa" w:w="120"/>
            </w:tcMar>
          </w:tcPr>
          <w:p>
            <w:r>
              <w:rPr>
                <w:rFonts w:ascii="Arial" w:cs="Arial" w:hAnsi="Arial"/>
                <w:sz w:val="18"/>
                <w:szCs w:val="18"/>
              </w:rPr>
              <w:t>0.917 (0.913–0.921)</w:t>
            </w:r>
          </w:p>
        </w:tc>
        <w:tc>
          <w:tcPr>
            <w:tcW w:type="dxa" w:w="1840"/>
            <w:tcMar>
              <w:top w:type="dxa" w:w="80"/>
              <w:left w:type="dxa" w:w="120"/>
              <w:bottom w:type="dxa" w:w="80"/>
              <w:right w:type="dxa" w:w="120"/>
            </w:tcMar>
          </w:tcPr>
          <w:p>
            <w:r>
              <w:rPr>
                <w:rFonts w:ascii="Arial" w:cs="Arial" w:hAnsi="Arial"/>
                <w:sz w:val="18"/>
                <w:szCs w:val="18"/>
              </w:rPr>
              <w:t>0.927 (0.924–0.931)</w:t>
            </w:r>
          </w:p>
        </w:tc>
        <w:tc>
          <w:tcPr>
            <w:tcW w:type="dxa" w:w="1840"/>
            <w:tcMar>
              <w:top w:type="dxa" w:w="80"/>
              <w:left w:type="dxa" w:w="120"/>
              <w:bottom w:type="dxa" w:w="80"/>
              <w:right w:type="dxa" w:w="120"/>
            </w:tcMar>
          </w:tcPr>
          <w:p>
            <w:r>
              <w:rPr>
                <w:rFonts w:ascii="Arial" w:cs="Arial" w:hAnsi="Arial"/>
                <w:sz w:val="18"/>
                <w:szCs w:val="18"/>
              </w:rPr>
              <w:t>0.700 (0.687–0.712)</w:t>
            </w:r>
          </w:p>
        </w:tc>
        <w:tc>
          <w:tcPr>
            <w:tcW w:type="dxa" w:w="1840"/>
            <w:tcMar>
              <w:top w:type="dxa" w:w="80"/>
              <w:left w:type="dxa" w:w="120"/>
              <w:bottom w:type="dxa" w:w="80"/>
              <w:right w:type="dxa" w:w="120"/>
            </w:tcMar>
          </w:tcPr>
          <w:p>
            <w:r>
              <w:rPr>
                <w:rFonts w:ascii="Arial" w:cs="Arial" w:hAnsi="Arial"/>
                <w:sz w:val="18"/>
                <w:szCs w:val="18"/>
              </w:rPr>
              <w:t>0.722 (0.710–0.733)</w:t>
            </w:r>
          </w:p>
        </w:tc>
      </w:tr>
      <w:tr>
        <w:tc>
          <w:tcPr>
            <w:tcW w:type="dxa" w:w="1100"/>
            <w:shd w:fill="F5F9FF" w:val="clear"/>
            <w:tcMar>
              <w:top w:type="dxa" w:w="80"/>
              <w:left w:type="dxa" w:w="120"/>
              <w:bottom w:type="dxa" w:w="80"/>
              <w:right w:type="dxa" w:w="120"/>
            </w:tcMar>
          </w:tcPr>
          <w:p>
            <w:r>
              <w:rPr>
                <w:rFonts w:ascii="Arial" w:cs="Arial" w:hAnsi="Arial"/>
                <w:sz w:val="18"/>
                <w:szCs w:val="18"/>
              </w:rPr>
              <w:t>XGBoost</w:t>
            </w:r>
          </w:p>
        </w:tc>
        <w:tc>
          <w:tcPr>
            <w:tcW w:type="dxa" w:w="900"/>
            <w:shd w:fill="F5F9FF" w:val="clear"/>
            <w:tcMar>
              <w:top w:type="dxa" w:w="80"/>
              <w:left w:type="dxa" w:w="120"/>
              <w:bottom w:type="dxa" w:w="80"/>
              <w:right w:type="dxa" w:w="120"/>
            </w:tcMar>
          </w:tcPr>
          <w:p>
            <w:r>
              <w:rPr>
                <w:rFonts w:ascii="Arial" w:cs="Arial" w:hAnsi="Arial"/>
                <w:sz w:val="18"/>
                <w:szCs w:val="18"/>
              </w:rPr>
              <w:t>MIMIC-III</w:t>
            </w:r>
          </w:p>
        </w:tc>
        <w:tc>
          <w:tcPr>
            <w:tcW w:type="dxa" w:w="1840"/>
            <w:shd w:fill="F5F9FF" w:val="clear"/>
            <w:tcMar>
              <w:top w:type="dxa" w:w="80"/>
              <w:left w:type="dxa" w:w="120"/>
              <w:bottom w:type="dxa" w:w="80"/>
              <w:right w:type="dxa" w:w="120"/>
            </w:tcMar>
          </w:tcPr>
          <w:p>
            <w:r>
              <w:rPr>
                <w:rFonts w:ascii="Arial" w:cs="Arial" w:hAnsi="Arial"/>
                <w:sz w:val="18"/>
                <w:szCs w:val="18"/>
              </w:rPr>
              <w:t>0.807 (0.801–0.813)</w:t>
            </w:r>
          </w:p>
        </w:tc>
        <w:tc>
          <w:tcPr>
            <w:tcW w:type="dxa" w:w="1840"/>
            <w:shd w:fill="F5F9FF" w:val="clear"/>
            <w:tcMar>
              <w:top w:type="dxa" w:w="80"/>
              <w:left w:type="dxa" w:w="120"/>
              <w:bottom w:type="dxa" w:w="80"/>
              <w:right w:type="dxa" w:w="120"/>
            </w:tcMar>
          </w:tcPr>
          <w:p>
            <w:r>
              <w:rPr>
                <w:rFonts w:ascii="Arial" w:cs="Arial" w:hAnsi="Arial"/>
                <w:sz w:val="18"/>
                <w:szCs w:val="18"/>
              </w:rPr>
              <w:t>0.829 (0.824–0.835)</w:t>
            </w:r>
          </w:p>
        </w:tc>
        <w:tc>
          <w:tcPr>
            <w:tcW w:type="dxa" w:w="1840"/>
            <w:shd w:fill="F5F9FF" w:val="clear"/>
            <w:tcMar>
              <w:top w:type="dxa" w:w="80"/>
              <w:left w:type="dxa" w:w="120"/>
              <w:bottom w:type="dxa" w:w="80"/>
              <w:right w:type="dxa" w:w="120"/>
            </w:tcMar>
          </w:tcPr>
          <w:p>
            <w:r>
              <w:rPr>
                <w:rFonts w:ascii="Arial" w:cs="Arial" w:hAnsi="Arial"/>
                <w:sz w:val="18"/>
                <w:szCs w:val="18"/>
              </w:rPr>
              <w:t>0.559 (0.547–0.572)</w:t>
            </w:r>
          </w:p>
        </w:tc>
        <w:tc>
          <w:tcPr>
            <w:tcW w:type="dxa" w:w="1840"/>
            <w:shd w:fill="F5F9FF" w:val="clear"/>
            <w:tcMar>
              <w:top w:type="dxa" w:w="80"/>
              <w:left w:type="dxa" w:w="120"/>
              <w:bottom w:type="dxa" w:w="80"/>
              <w:right w:type="dxa" w:w="120"/>
            </w:tcMar>
          </w:tcPr>
          <w:p>
            <w:r>
              <w:rPr>
                <w:rFonts w:ascii="Arial" w:cs="Arial" w:hAnsi="Arial"/>
                <w:sz w:val="18"/>
                <w:szCs w:val="18"/>
              </w:rPr>
              <w:t>0.570 (0.557–0.583)</w:t>
            </w:r>
          </w:p>
        </w:tc>
      </w:tr>
      <w:tr>
        <w:tc>
          <w:tcPr>
            <w:tcW w:type="dxa" w:w="1100"/>
            <w:tcMar>
              <w:top w:type="dxa" w:w="80"/>
              <w:left w:type="dxa" w:w="120"/>
              <w:bottom w:type="dxa" w:w="80"/>
              <w:right w:type="dxa" w:w="120"/>
            </w:tcMar>
          </w:tcPr>
          <w:p>
            <w:r>
              <w:rPr>
                <w:rFonts w:ascii="Arial" w:cs="Arial" w:hAnsi="Arial"/>
                <w:sz w:val="18"/>
                <w:szCs w:val="18"/>
              </w:rPr>
              <w:t>Random forest</w:t>
            </w:r>
          </w:p>
        </w:tc>
        <w:tc>
          <w:tcPr>
            <w:tcW w:type="dxa" w:w="900"/>
            <w:tcMar>
              <w:top w:type="dxa" w:w="80"/>
              <w:left w:type="dxa" w:w="120"/>
              <w:bottom w:type="dxa" w:w="80"/>
              <w:right w:type="dxa" w:w="120"/>
            </w:tcMar>
          </w:tcPr>
          <w:p>
            <w:r>
              <w:rPr>
                <w:rFonts w:ascii="Arial" w:cs="Arial" w:hAnsi="Arial"/>
                <w:sz w:val="18"/>
                <w:szCs w:val="18"/>
              </w:rPr>
              <w:t>Test</w:t>
            </w:r>
          </w:p>
        </w:tc>
        <w:tc>
          <w:tcPr>
            <w:tcW w:type="dxa" w:w="1840"/>
            <w:tcMar>
              <w:top w:type="dxa" w:w="80"/>
              <w:left w:type="dxa" w:w="120"/>
              <w:bottom w:type="dxa" w:w="80"/>
              <w:right w:type="dxa" w:w="120"/>
            </w:tcMar>
          </w:tcPr>
          <w:p>
            <w:r>
              <w:rPr>
                <w:rFonts w:ascii="Arial" w:cs="Arial" w:hAnsi="Arial"/>
                <w:sz w:val="18"/>
                <w:szCs w:val="18"/>
              </w:rPr>
              <w:t>0.886 (0.881–0.891)</w:t>
            </w:r>
          </w:p>
        </w:tc>
        <w:tc>
          <w:tcPr>
            <w:tcW w:type="dxa" w:w="1840"/>
            <w:tcMar>
              <w:top w:type="dxa" w:w="80"/>
              <w:left w:type="dxa" w:w="120"/>
              <w:bottom w:type="dxa" w:w="80"/>
              <w:right w:type="dxa" w:w="120"/>
            </w:tcMar>
          </w:tcPr>
          <w:p>
            <w:r>
              <w:rPr>
                <w:rFonts w:ascii="Arial" w:cs="Arial" w:hAnsi="Arial"/>
                <w:sz w:val="18"/>
                <w:szCs w:val="18"/>
              </w:rPr>
              <w:t>0.908 (0.904–0.913)</w:t>
            </w:r>
          </w:p>
        </w:tc>
        <w:tc>
          <w:tcPr>
            <w:tcW w:type="dxa" w:w="1840"/>
            <w:tcMar>
              <w:top w:type="dxa" w:w="80"/>
              <w:left w:type="dxa" w:w="120"/>
              <w:bottom w:type="dxa" w:w="80"/>
              <w:right w:type="dxa" w:w="120"/>
            </w:tcMar>
          </w:tcPr>
          <w:p>
            <w:r>
              <w:rPr>
                <w:rFonts w:ascii="Arial" w:cs="Arial" w:hAnsi="Arial"/>
                <w:sz w:val="18"/>
                <w:szCs w:val="18"/>
              </w:rPr>
              <w:t>0.613 (0.599–0.627)</w:t>
            </w:r>
          </w:p>
        </w:tc>
        <w:tc>
          <w:tcPr>
            <w:tcW w:type="dxa" w:w="1840"/>
            <w:tcMar>
              <w:top w:type="dxa" w:w="80"/>
              <w:left w:type="dxa" w:w="120"/>
              <w:bottom w:type="dxa" w:w="80"/>
              <w:right w:type="dxa" w:w="120"/>
            </w:tcMar>
          </w:tcPr>
          <w:p>
            <w:r>
              <w:rPr>
                <w:rFonts w:ascii="Arial" w:cs="Arial" w:hAnsi="Arial"/>
                <w:sz w:val="18"/>
                <w:szCs w:val="18"/>
              </w:rPr>
              <w:t>0.658 (0.646–0.671)</w:t>
            </w:r>
          </w:p>
        </w:tc>
      </w:tr>
      <w:tr>
        <w:tc>
          <w:tcPr>
            <w:tcW w:type="dxa" w:w="1100"/>
            <w:shd w:fill="F5F9FF" w:val="clear"/>
            <w:tcMar>
              <w:top w:type="dxa" w:w="80"/>
              <w:left w:type="dxa" w:w="120"/>
              <w:bottom w:type="dxa" w:w="80"/>
              <w:right w:type="dxa" w:w="120"/>
            </w:tcMar>
          </w:tcPr>
          <w:p>
            <w:r>
              <w:rPr>
                <w:rFonts w:ascii="Arial" w:cs="Arial" w:hAnsi="Arial"/>
                <w:sz w:val="18"/>
                <w:szCs w:val="18"/>
              </w:rPr>
              <w:t>Random forest</w:t>
            </w:r>
          </w:p>
        </w:tc>
        <w:tc>
          <w:tcPr>
            <w:tcW w:type="dxa" w:w="900"/>
            <w:shd w:fill="F5F9FF" w:val="clear"/>
            <w:tcMar>
              <w:top w:type="dxa" w:w="80"/>
              <w:left w:type="dxa" w:w="120"/>
              <w:bottom w:type="dxa" w:w="80"/>
              <w:right w:type="dxa" w:w="120"/>
            </w:tcMar>
          </w:tcPr>
          <w:p>
            <w:r>
              <w:rPr>
                <w:rFonts w:ascii="Arial" w:cs="Arial" w:hAnsi="Arial"/>
                <w:sz w:val="18"/>
                <w:szCs w:val="18"/>
              </w:rPr>
              <w:t>MIMIC-III</w:t>
            </w:r>
          </w:p>
        </w:tc>
        <w:tc>
          <w:tcPr>
            <w:tcW w:type="dxa" w:w="1840"/>
            <w:shd w:fill="F5F9FF" w:val="clear"/>
            <w:tcMar>
              <w:top w:type="dxa" w:w="80"/>
              <w:left w:type="dxa" w:w="120"/>
              <w:bottom w:type="dxa" w:w="80"/>
              <w:right w:type="dxa" w:w="120"/>
            </w:tcMar>
          </w:tcPr>
          <w:p>
            <w:r>
              <w:rPr>
                <w:rFonts w:ascii="Arial" w:cs="Arial" w:hAnsi="Arial"/>
                <w:sz w:val="18"/>
                <w:szCs w:val="18"/>
              </w:rPr>
              <w:t>0.788 (0.782–0.795)</w:t>
            </w:r>
          </w:p>
        </w:tc>
        <w:tc>
          <w:tcPr>
            <w:tcW w:type="dxa" w:w="1840"/>
            <w:shd w:fill="F5F9FF" w:val="clear"/>
            <w:tcMar>
              <w:top w:type="dxa" w:w="80"/>
              <w:left w:type="dxa" w:w="120"/>
              <w:bottom w:type="dxa" w:w="80"/>
              <w:right w:type="dxa" w:w="120"/>
            </w:tcMar>
          </w:tcPr>
          <w:p>
            <w:r>
              <w:rPr>
                <w:rFonts w:ascii="Arial" w:cs="Arial" w:hAnsi="Arial"/>
                <w:sz w:val="18"/>
                <w:szCs w:val="18"/>
              </w:rPr>
              <w:t>0.777 (0.772–0.783)</w:t>
            </w:r>
          </w:p>
        </w:tc>
        <w:tc>
          <w:tcPr>
            <w:tcW w:type="dxa" w:w="1840"/>
            <w:shd w:fill="F5F9FF" w:val="clear"/>
            <w:tcMar>
              <w:top w:type="dxa" w:w="80"/>
              <w:left w:type="dxa" w:w="120"/>
              <w:bottom w:type="dxa" w:w="80"/>
              <w:right w:type="dxa" w:w="120"/>
            </w:tcMar>
          </w:tcPr>
          <w:p>
            <w:r>
              <w:rPr>
                <w:rFonts w:ascii="Arial" w:cs="Arial" w:hAnsi="Arial"/>
                <w:sz w:val="18"/>
                <w:szCs w:val="18"/>
              </w:rPr>
              <w:t>0.552 (0.539–0.565)</w:t>
            </w:r>
          </w:p>
        </w:tc>
        <w:tc>
          <w:tcPr>
            <w:tcW w:type="dxa" w:w="1840"/>
            <w:shd w:fill="F5F9FF" w:val="clear"/>
            <w:tcMar>
              <w:top w:type="dxa" w:w="80"/>
              <w:left w:type="dxa" w:w="120"/>
              <w:bottom w:type="dxa" w:w="80"/>
              <w:right w:type="dxa" w:w="120"/>
            </w:tcMar>
          </w:tcPr>
          <w:p>
            <w:r>
              <w:rPr>
                <w:rFonts w:ascii="Arial" w:cs="Arial" w:hAnsi="Arial"/>
                <w:sz w:val="18"/>
                <w:szCs w:val="18"/>
              </w:rPr>
              <w:t>0.480 (0.467–0.492)</w:t>
            </w:r>
          </w:p>
        </w:tc>
      </w:tr>
      <w:tr>
        <w:tc>
          <w:tcPr>
            <w:tcW w:type="dxa" w:w="1100"/>
            <w:tcMar>
              <w:top w:type="dxa" w:w="80"/>
              <w:left w:type="dxa" w:w="120"/>
              <w:bottom w:type="dxa" w:w="80"/>
              <w:right w:type="dxa" w:w="120"/>
            </w:tcMar>
          </w:tcPr>
          <w:p>
            <w:r>
              <w:rPr>
                <w:rFonts w:ascii="Arial" w:cs="Arial" w:hAnsi="Arial"/>
                <w:sz w:val="18"/>
                <w:szCs w:val="18"/>
              </w:rPr>
              <w:t>Self-attention</w:t>
            </w:r>
          </w:p>
        </w:tc>
        <w:tc>
          <w:tcPr>
            <w:tcW w:type="dxa" w:w="900"/>
            <w:tcMar>
              <w:top w:type="dxa" w:w="80"/>
              <w:left w:type="dxa" w:w="120"/>
              <w:bottom w:type="dxa" w:w="80"/>
              <w:right w:type="dxa" w:w="120"/>
            </w:tcMar>
          </w:tcPr>
          <w:p>
            <w:r>
              <w:rPr>
                <w:rFonts w:ascii="Arial" w:cs="Arial" w:hAnsi="Arial"/>
                <w:sz w:val="18"/>
                <w:szCs w:val="18"/>
              </w:rPr>
              <w:t>Test</w:t>
            </w:r>
          </w:p>
        </w:tc>
        <w:tc>
          <w:tcPr>
            <w:tcW w:type="dxa" w:w="1840"/>
            <w:tcMar>
              <w:top w:type="dxa" w:w="80"/>
              <w:left w:type="dxa" w:w="120"/>
              <w:bottom w:type="dxa" w:w="80"/>
              <w:right w:type="dxa" w:w="120"/>
            </w:tcMar>
          </w:tcPr>
          <w:p>
            <w:r>
              <w:rPr>
                <w:rFonts w:ascii="Arial" w:cs="Arial" w:hAnsi="Arial"/>
                <w:sz w:val="18"/>
                <w:szCs w:val="18"/>
              </w:rPr>
              <w:t>0.907 (0.903–0.910)</w:t>
            </w:r>
          </w:p>
        </w:tc>
        <w:tc>
          <w:tcPr>
            <w:tcW w:type="dxa" w:w="1840"/>
            <w:tcMar>
              <w:top w:type="dxa" w:w="80"/>
              <w:left w:type="dxa" w:w="120"/>
              <w:bottom w:type="dxa" w:w="80"/>
              <w:right w:type="dxa" w:w="120"/>
            </w:tcMar>
          </w:tcPr>
          <w:p>
            <w:r>
              <w:rPr>
                <w:rFonts w:ascii="Arial" w:cs="Arial" w:hAnsi="Arial"/>
                <w:sz w:val="18"/>
                <w:szCs w:val="18"/>
              </w:rPr>
              <w:t>0.916 (0.913–0.919)</w:t>
            </w:r>
          </w:p>
        </w:tc>
        <w:tc>
          <w:tcPr>
            <w:tcW w:type="dxa" w:w="1840"/>
            <w:tcMar>
              <w:top w:type="dxa" w:w="80"/>
              <w:left w:type="dxa" w:w="120"/>
              <w:bottom w:type="dxa" w:w="80"/>
              <w:right w:type="dxa" w:w="120"/>
            </w:tcMar>
          </w:tcPr>
          <w:p>
            <w:r>
              <w:rPr>
                <w:rFonts w:ascii="Arial" w:cs="Arial" w:hAnsi="Arial"/>
                <w:sz w:val="18"/>
                <w:szCs w:val="18"/>
              </w:rPr>
              <w:t>0.655 (0.644–0.665)</w:t>
            </w:r>
          </w:p>
        </w:tc>
        <w:tc>
          <w:tcPr>
            <w:tcW w:type="dxa" w:w="1840"/>
            <w:tcMar>
              <w:top w:type="dxa" w:w="80"/>
              <w:left w:type="dxa" w:w="120"/>
              <w:bottom w:type="dxa" w:w="80"/>
              <w:right w:type="dxa" w:w="120"/>
            </w:tcMar>
          </w:tcPr>
          <w:p>
            <w:r>
              <w:rPr>
                <w:rFonts w:ascii="Arial" w:cs="Arial" w:hAnsi="Arial"/>
                <w:sz w:val="18"/>
                <w:szCs w:val="18"/>
              </w:rPr>
              <w:t>0.667 (0.656–0.677)</w:t>
            </w:r>
          </w:p>
        </w:tc>
      </w:tr>
      <w:tr>
        <w:tc>
          <w:tcPr>
            <w:tcW w:type="dxa" w:w="1100"/>
            <w:shd w:fill="F5F9FF" w:val="clear"/>
            <w:tcMar>
              <w:top w:type="dxa" w:w="80"/>
              <w:left w:type="dxa" w:w="120"/>
              <w:bottom w:type="dxa" w:w="80"/>
              <w:right w:type="dxa" w:w="120"/>
            </w:tcMar>
          </w:tcPr>
          <w:p>
            <w:r>
              <w:rPr>
                <w:rFonts w:ascii="Arial" w:cs="Arial" w:hAnsi="Arial"/>
                <w:sz w:val="18"/>
                <w:szCs w:val="18"/>
              </w:rPr>
              <w:t>Self-attention</w:t>
            </w:r>
          </w:p>
        </w:tc>
        <w:tc>
          <w:tcPr>
            <w:tcW w:type="dxa" w:w="900"/>
            <w:shd w:fill="F5F9FF" w:val="clear"/>
            <w:tcMar>
              <w:top w:type="dxa" w:w="80"/>
              <w:left w:type="dxa" w:w="120"/>
              <w:bottom w:type="dxa" w:w="80"/>
              <w:right w:type="dxa" w:w="120"/>
            </w:tcMar>
          </w:tcPr>
          <w:p>
            <w:r>
              <w:rPr>
                <w:rFonts w:ascii="Arial" w:cs="Arial" w:hAnsi="Arial"/>
                <w:sz w:val="18"/>
                <w:szCs w:val="18"/>
              </w:rPr>
              <w:t>MIMIC-III</w:t>
            </w:r>
          </w:p>
        </w:tc>
        <w:tc>
          <w:tcPr>
            <w:tcW w:type="dxa" w:w="1840"/>
            <w:shd w:fill="F5F9FF" w:val="clear"/>
            <w:tcMar>
              <w:top w:type="dxa" w:w="80"/>
              <w:left w:type="dxa" w:w="120"/>
              <w:bottom w:type="dxa" w:w="80"/>
              <w:right w:type="dxa" w:w="120"/>
            </w:tcMar>
          </w:tcPr>
          <w:p>
            <w:r>
              <w:rPr>
                <w:rFonts w:ascii="Arial" w:cs="Arial" w:hAnsi="Arial"/>
                <w:sz w:val="18"/>
                <w:szCs w:val="18"/>
              </w:rPr>
              <w:t>0.733 (0.727–0.740)</w:t>
            </w:r>
          </w:p>
        </w:tc>
        <w:tc>
          <w:tcPr>
            <w:tcW w:type="dxa" w:w="1840"/>
            <w:shd w:fill="F5F9FF" w:val="clear"/>
            <w:tcMar>
              <w:top w:type="dxa" w:w="80"/>
              <w:left w:type="dxa" w:w="120"/>
              <w:bottom w:type="dxa" w:w="80"/>
              <w:right w:type="dxa" w:w="120"/>
            </w:tcMar>
          </w:tcPr>
          <w:p>
            <w:r>
              <w:rPr>
                <w:rFonts w:ascii="Arial" w:cs="Arial" w:hAnsi="Arial"/>
                <w:sz w:val="18"/>
                <w:szCs w:val="18"/>
              </w:rPr>
              <w:t>0.802 (0.797–0.808)</w:t>
            </w:r>
          </w:p>
        </w:tc>
        <w:tc>
          <w:tcPr>
            <w:tcW w:type="dxa" w:w="1840"/>
            <w:shd w:fill="F5F9FF" w:val="clear"/>
            <w:tcMar>
              <w:top w:type="dxa" w:w="80"/>
              <w:left w:type="dxa" w:w="120"/>
              <w:bottom w:type="dxa" w:w="80"/>
              <w:right w:type="dxa" w:w="120"/>
            </w:tcMar>
          </w:tcPr>
          <w:p>
            <w:r>
              <w:rPr>
                <w:rFonts w:ascii="Arial" w:cs="Arial" w:hAnsi="Arial"/>
                <w:sz w:val="18"/>
                <w:szCs w:val="18"/>
              </w:rPr>
              <w:t>0.437 (0.424–0.449)</w:t>
            </w:r>
          </w:p>
        </w:tc>
        <w:tc>
          <w:tcPr>
            <w:tcW w:type="dxa" w:w="1840"/>
            <w:shd w:fill="F5F9FF" w:val="clear"/>
            <w:tcMar>
              <w:top w:type="dxa" w:w="80"/>
              <w:left w:type="dxa" w:w="120"/>
              <w:bottom w:type="dxa" w:w="80"/>
              <w:right w:type="dxa" w:w="120"/>
            </w:tcMar>
          </w:tcPr>
          <w:p>
            <w:r>
              <w:rPr>
                <w:rFonts w:ascii="Arial" w:cs="Arial" w:hAnsi="Arial"/>
                <w:sz w:val="18"/>
                <w:szCs w:val="18"/>
              </w:rPr>
              <w:t>0.504 (0.491–0.515)</w:t>
            </w:r>
          </w:p>
        </w:tc>
      </w:tr>
      <w:tr>
        <w:tc>
          <w:tcPr>
            <w:tcW w:type="dxa" w:w="1100"/>
            <w:tcMar>
              <w:top w:type="dxa" w:w="80"/>
              <w:left w:type="dxa" w:w="120"/>
              <w:bottom w:type="dxa" w:w="80"/>
              <w:right w:type="dxa" w:w="120"/>
            </w:tcMar>
          </w:tcPr>
          <w:p>
            <w:r>
              <w:rPr>
                <w:rFonts w:ascii="Arial" w:cs="Arial" w:hAnsi="Arial"/>
                <w:sz w:val="18"/>
                <w:szCs w:val="18"/>
              </w:rPr>
              <w:t>DNN</w:t>
            </w:r>
          </w:p>
        </w:tc>
        <w:tc>
          <w:tcPr>
            <w:tcW w:type="dxa" w:w="900"/>
            <w:tcMar>
              <w:top w:type="dxa" w:w="80"/>
              <w:left w:type="dxa" w:w="120"/>
              <w:bottom w:type="dxa" w:w="80"/>
              <w:right w:type="dxa" w:w="120"/>
            </w:tcMar>
          </w:tcPr>
          <w:p>
            <w:r>
              <w:rPr>
                <w:rFonts w:ascii="Arial" w:cs="Arial" w:hAnsi="Arial"/>
                <w:sz w:val="18"/>
                <w:szCs w:val="18"/>
              </w:rPr>
              <w:t>Test</w:t>
            </w:r>
          </w:p>
        </w:tc>
        <w:tc>
          <w:tcPr>
            <w:tcW w:type="dxa" w:w="1840"/>
            <w:tcMar>
              <w:top w:type="dxa" w:w="80"/>
              <w:left w:type="dxa" w:w="120"/>
              <w:bottom w:type="dxa" w:w="80"/>
              <w:right w:type="dxa" w:w="120"/>
            </w:tcMar>
          </w:tcPr>
          <w:p>
            <w:r>
              <w:rPr>
                <w:rFonts w:ascii="Arial" w:cs="Arial" w:hAnsi="Arial"/>
                <w:sz w:val="18"/>
                <w:szCs w:val="18"/>
              </w:rPr>
              <w:t>0.904 (0.901–0.908)</w:t>
            </w:r>
          </w:p>
        </w:tc>
        <w:tc>
          <w:tcPr>
            <w:tcW w:type="dxa" w:w="1840"/>
            <w:tcMar>
              <w:top w:type="dxa" w:w="80"/>
              <w:left w:type="dxa" w:w="120"/>
              <w:bottom w:type="dxa" w:w="80"/>
              <w:right w:type="dxa" w:w="120"/>
            </w:tcMar>
          </w:tcPr>
          <w:p>
            <w:r>
              <w:rPr>
                <w:rFonts w:ascii="Arial" w:cs="Arial" w:hAnsi="Arial"/>
                <w:sz w:val="18"/>
                <w:szCs w:val="18"/>
              </w:rPr>
              <w:t>0.908 (0.905–0.912)</w:t>
            </w:r>
          </w:p>
        </w:tc>
        <w:tc>
          <w:tcPr>
            <w:tcW w:type="dxa" w:w="1840"/>
            <w:tcMar>
              <w:top w:type="dxa" w:w="80"/>
              <w:left w:type="dxa" w:w="120"/>
              <w:bottom w:type="dxa" w:w="80"/>
              <w:right w:type="dxa" w:w="120"/>
            </w:tcMar>
          </w:tcPr>
          <w:p>
            <w:r>
              <w:rPr>
                <w:rFonts w:ascii="Arial" w:cs="Arial" w:hAnsi="Arial"/>
                <w:sz w:val="18"/>
                <w:szCs w:val="18"/>
              </w:rPr>
              <w:t>0.649 (0.638–0.659)</w:t>
            </w:r>
          </w:p>
        </w:tc>
        <w:tc>
          <w:tcPr>
            <w:tcW w:type="dxa" w:w="1840"/>
            <w:tcMar>
              <w:top w:type="dxa" w:w="80"/>
              <w:left w:type="dxa" w:w="120"/>
              <w:bottom w:type="dxa" w:w="80"/>
              <w:right w:type="dxa" w:w="120"/>
            </w:tcMar>
          </w:tcPr>
          <w:p>
            <w:r>
              <w:rPr>
                <w:rFonts w:ascii="Arial" w:cs="Arial" w:hAnsi="Arial"/>
                <w:sz w:val="18"/>
                <w:szCs w:val="18"/>
              </w:rPr>
              <w:t>0.655 (0.644–0.666)</w:t>
            </w:r>
          </w:p>
        </w:tc>
      </w:tr>
      <w:tr>
        <w:tc>
          <w:tcPr>
            <w:tcW w:type="dxa" w:w="1100"/>
            <w:shd w:fill="F5F9FF" w:val="clear"/>
            <w:tcMar>
              <w:top w:type="dxa" w:w="80"/>
              <w:left w:type="dxa" w:w="120"/>
              <w:bottom w:type="dxa" w:w="80"/>
              <w:right w:type="dxa" w:w="120"/>
            </w:tcMar>
          </w:tcPr>
          <w:p>
            <w:r>
              <w:rPr>
                <w:rFonts w:ascii="Arial" w:cs="Arial" w:hAnsi="Arial"/>
                <w:sz w:val="18"/>
                <w:szCs w:val="18"/>
              </w:rPr>
              <w:t>DNN</w:t>
            </w:r>
          </w:p>
        </w:tc>
        <w:tc>
          <w:tcPr>
            <w:tcW w:type="dxa" w:w="900"/>
            <w:shd w:fill="F5F9FF" w:val="clear"/>
            <w:tcMar>
              <w:top w:type="dxa" w:w="80"/>
              <w:left w:type="dxa" w:w="120"/>
              <w:bottom w:type="dxa" w:w="80"/>
              <w:right w:type="dxa" w:w="120"/>
            </w:tcMar>
          </w:tcPr>
          <w:p>
            <w:r>
              <w:rPr>
                <w:rFonts w:ascii="Arial" w:cs="Arial" w:hAnsi="Arial"/>
                <w:sz w:val="18"/>
                <w:szCs w:val="18"/>
              </w:rPr>
              <w:t>MIMIC-III</w:t>
            </w:r>
          </w:p>
        </w:tc>
        <w:tc>
          <w:tcPr>
            <w:tcW w:type="dxa" w:w="1840"/>
            <w:shd w:fill="F5F9FF" w:val="clear"/>
            <w:tcMar>
              <w:top w:type="dxa" w:w="80"/>
              <w:left w:type="dxa" w:w="120"/>
              <w:bottom w:type="dxa" w:w="80"/>
              <w:right w:type="dxa" w:w="120"/>
            </w:tcMar>
          </w:tcPr>
          <w:p>
            <w:r>
              <w:rPr>
                <w:rFonts w:ascii="Arial" w:cs="Arial" w:hAnsi="Arial"/>
                <w:sz w:val="18"/>
                <w:szCs w:val="18"/>
              </w:rPr>
              <w:t>0.710 (0.704–0.716)</w:t>
            </w:r>
          </w:p>
        </w:tc>
        <w:tc>
          <w:tcPr>
            <w:tcW w:type="dxa" w:w="1840"/>
            <w:shd w:fill="F5F9FF" w:val="clear"/>
            <w:tcMar>
              <w:top w:type="dxa" w:w="80"/>
              <w:left w:type="dxa" w:w="120"/>
              <w:bottom w:type="dxa" w:w="80"/>
              <w:right w:type="dxa" w:w="120"/>
            </w:tcMar>
          </w:tcPr>
          <w:p>
            <w:r>
              <w:rPr>
                <w:rFonts w:ascii="Arial" w:cs="Arial" w:hAnsi="Arial"/>
                <w:sz w:val="18"/>
                <w:szCs w:val="18"/>
              </w:rPr>
              <w:t>0.764 (0.758–0.770)</w:t>
            </w:r>
          </w:p>
        </w:tc>
        <w:tc>
          <w:tcPr>
            <w:tcW w:type="dxa" w:w="1840"/>
            <w:shd w:fill="F5F9FF" w:val="clear"/>
            <w:tcMar>
              <w:top w:type="dxa" w:w="80"/>
              <w:left w:type="dxa" w:w="120"/>
              <w:bottom w:type="dxa" w:w="80"/>
              <w:right w:type="dxa" w:w="120"/>
            </w:tcMar>
          </w:tcPr>
          <w:p>
            <w:r>
              <w:rPr>
                <w:rFonts w:ascii="Arial" w:cs="Arial" w:hAnsi="Arial"/>
                <w:sz w:val="18"/>
                <w:szCs w:val="18"/>
              </w:rPr>
              <w:t>0.345 (0.334–0.356)</w:t>
            </w:r>
          </w:p>
        </w:tc>
        <w:tc>
          <w:tcPr>
            <w:tcW w:type="dxa" w:w="1840"/>
            <w:shd w:fill="F5F9FF" w:val="clear"/>
            <w:tcMar>
              <w:top w:type="dxa" w:w="80"/>
              <w:left w:type="dxa" w:w="120"/>
              <w:bottom w:type="dxa" w:w="80"/>
              <w:right w:type="dxa" w:w="120"/>
            </w:tcMar>
          </w:tcPr>
          <w:p>
            <w:r>
              <w:rPr>
                <w:rFonts w:ascii="Arial" w:cs="Arial" w:hAnsi="Arial"/>
                <w:sz w:val="18"/>
                <w:szCs w:val="18"/>
              </w:rPr>
              <w:t>0.417 (0.405–0.430)</w:t>
            </w:r>
          </w:p>
        </w:tc>
      </w:tr>
      <w:tr>
        <w:tc>
          <w:tcPr>
            <w:tcW w:type="dxa" w:w="1100"/>
            <w:tcMar>
              <w:top w:type="dxa" w:w="80"/>
              <w:left w:type="dxa" w:w="120"/>
              <w:bottom w:type="dxa" w:w="80"/>
              <w:right w:type="dxa" w:w="120"/>
            </w:tcMar>
          </w:tcPr>
          <w:p>
            <w:r>
              <w:rPr>
                <w:rFonts w:ascii="Arial" w:cs="Arial" w:hAnsi="Arial"/>
                <w:sz w:val="18"/>
                <w:szCs w:val="18"/>
              </w:rPr>
              <w:t>Logistic reg</w:t>
            </w:r>
          </w:p>
        </w:tc>
        <w:tc>
          <w:tcPr>
            <w:tcW w:type="dxa" w:w="900"/>
            <w:tcMar>
              <w:top w:type="dxa" w:w="80"/>
              <w:left w:type="dxa" w:w="120"/>
              <w:bottom w:type="dxa" w:w="80"/>
              <w:right w:type="dxa" w:w="120"/>
            </w:tcMar>
          </w:tcPr>
          <w:p>
            <w:r>
              <w:rPr>
                <w:rFonts w:ascii="Arial" w:cs="Arial" w:hAnsi="Arial"/>
                <w:sz w:val="18"/>
                <w:szCs w:val="18"/>
              </w:rPr>
              <w:t>Test</w:t>
            </w:r>
          </w:p>
        </w:tc>
        <w:tc>
          <w:tcPr>
            <w:tcW w:type="dxa" w:w="1840"/>
            <w:tcMar>
              <w:top w:type="dxa" w:w="80"/>
              <w:left w:type="dxa" w:w="120"/>
              <w:bottom w:type="dxa" w:w="80"/>
              <w:right w:type="dxa" w:w="120"/>
            </w:tcMar>
          </w:tcPr>
          <w:p>
            <w:r>
              <w:rPr>
                <w:rFonts w:ascii="Arial" w:cs="Arial" w:hAnsi="Arial"/>
                <w:sz w:val="18"/>
                <w:szCs w:val="18"/>
              </w:rPr>
              <w:t>0.870 (0.866–0.874)</w:t>
            </w:r>
          </w:p>
        </w:tc>
        <w:tc>
          <w:tcPr>
            <w:tcW w:type="dxa" w:w="1840"/>
            <w:tcMar>
              <w:top w:type="dxa" w:w="80"/>
              <w:left w:type="dxa" w:w="120"/>
              <w:bottom w:type="dxa" w:w="80"/>
              <w:right w:type="dxa" w:w="120"/>
            </w:tcMar>
          </w:tcPr>
          <w:p>
            <w:r>
              <w:rPr>
                <w:rFonts w:ascii="Arial" w:cs="Arial" w:hAnsi="Arial"/>
                <w:sz w:val="18"/>
                <w:szCs w:val="18"/>
              </w:rPr>
              <w:t>0.870 (0.866–0.874)</w:t>
            </w:r>
          </w:p>
        </w:tc>
        <w:tc>
          <w:tcPr>
            <w:tcW w:type="dxa" w:w="1840"/>
            <w:tcMar>
              <w:top w:type="dxa" w:w="80"/>
              <w:left w:type="dxa" w:w="120"/>
              <w:bottom w:type="dxa" w:w="80"/>
              <w:right w:type="dxa" w:w="120"/>
            </w:tcMar>
          </w:tcPr>
          <w:p>
            <w:r>
              <w:rPr>
                <w:rFonts w:ascii="Arial" w:cs="Arial" w:hAnsi="Arial"/>
                <w:sz w:val="18"/>
                <w:szCs w:val="18"/>
              </w:rPr>
              <w:t>0.539 (0.527–0.552)</w:t>
            </w:r>
          </w:p>
        </w:tc>
        <w:tc>
          <w:tcPr>
            <w:tcW w:type="dxa" w:w="1840"/>
            <w:tcMar>
              <w:top w:type="dxa" w:w="80"/>
              <w:left w:type="dxa" w:w="120"/>
              <w:bottom w:type="dxa" w:w="80"/>
              <w:right w:type="dxa" w:w="120"/>
            </w:tcMar>
          </w:tcPr>
          <w:p>
            <w:r>
              <w:rPr>
                <w:rFonts w:ascii="Arial" w:cs="Arial" w:hAnsi="Arial"/>
                <w:sz w:val="18"/>
                <w:szCs w:val="18"/>
              </w:rPr>
              <w:t>0.539 (0.527–0.552)</w:t>
            </w:r>
          </w:p>
        </w:tc>
      </w:tr>
      <w:tr>
        <w:tc>
          <w:tcPr>
            <w:tcW w:type="dxa" w:w="1100"/>
            <w:shd w:fill="F5F9FF" w:val="clear"/>
            <w:tcMar>
              <w:top w:type="dxa" w:w="80"/>
              <w:left w:type="dxa" w:w="120"/>
              <w:bottom w:type="dxa" w:w="80"/>
              <w:right w:type="dxa" w:w="120"/>
            </w:tcMar>
          </w:tcPr>
          <w:p>
            <w:r>
              <w:rPr>
                <w:rFonts w:ascii="Arial" w:cs="Arial" w:hAnsi="Arial"/>
                <w:sz w:val="18"/>
                <w:szCs w:val="18"/>
              </w:rPr>
              <w:t>Logistic reg</w:t>
            </w:r>
          </w:p>
        </w:tc>
        <w:tc>
          <w:tcPr>
            <w:tcW w:type="dxa" w:w="900"/>
            <w:shd w:fill="F5F9FF" w:val="clear"/>
            <w:tcMar>
              <w:top w:type="dxa" w:w="80"/>
              <w:left w:type="dxa" w:w="120"/>
              <w:bottom w:type="dxa" w:w="80"/>
              <w:right w:type="dxa" w:w="120"/>
            </w:tcMar>
          </w:tcPr>
          <w:p>
            <w:r>
              <w:rPr>
                <w:rFonts w:ascii="Arial" w:cs="Arial" w:hAnsi="Arial"/>
                <w:sz w:val="18"/>
                <w:szCs w:val="18"/>
              </w:rPr>
              <w:t>MIMIC-III</w:t>
            </w:r>
          </w:p>
        </w:tc>
        <w:tc>
          <w:tcPr>
            <w:tcW w:type="dxa" w:w="1840"/>
            <w:shd w:fill="F5F9FF" w:val="clear"/>
            <w:tcMar>
              <w:top w:type="dxa" w:w="80"/>
              <w:left w:type="dxa" w:w="120"/>
              <w:bottom w:type="dxa" w:w="80"/>
              <w:right w:type="dxa" w:w="120"/>
            </w:tcMar>
          </w:tcPr>
          <w:p>
            <w:r>
              <w:rPr>
                <w:rFonts w:ascii="Arial" w:cs="Arial" w:hAnsi="Arial"/>
                <w:sz w:val="18"/>
                <w:szCs w:val="18"/>
              </w:rPr>
              <w:t>0.771 (0.765–0.777)</w:t>
            </w:r>
          </w:p>
        </w:tc>
        <w:tc>
          <w:tcPr>
            <w:tcW w:type="dxa" w:w="1840"/>
            <w:shd w:fill="F5F9FF" w:val="clear"/>
            <w:tcMar>
              <w:top w:type="dxa" w:w="80"/>
              <w:left w:type="dxa" w:w="120"/>
              <w:bottom w:type="dxa" w:w="80"/>
              <w:right w:type="dxa" w:w="120"/>
            </w:tcMar>
          </w:tcPr>
          <w:p>
            <w:r>
              <w:rPr>
                <w:rFonts w:ascii="Arial" w:cs="Arial" w:hAnsi="Arial"/>
                <w:sz w:val="18"/>
                <w:szCs w:val="18"/>
              </w:rPr>
              <w:t>0.771 (0.765–0.777)</w:t>
            </w:r>
          </w:p>
        </w:tc>
        <w:tc>
          <w:tcPr>
            <w:tcW w:type="dxa" w:w="1840"/>
            <w:shd w:fill="F5F9FF" w:val="clear"/>
            <w:tcMar>
              <w:top w:type="dxa" w:w="80"/>
              <w:left w:type="dxa" w:w="120"/>
              <w:bottom w:type="dxa" w:w="80"/>
              <w:right w:type="dxa" w:w="120"/>
            </w:tcMar>
          </w:tcPr>
          <w:p>
            <w:r>
              <w:rPr>
                <w:rFonts w:ascii="Arial" w:cs="Arial" w:hAnsi="Arial"/>
                <w:sz w:val="18"/>
                <w:szCs w:val="18"/>
              </w:rPr>
              <w:t>0.481 (0.469–0.494)</w:t>
            </w:r>
          </w:p>
        </w:tc>
        <w:tc>
          <w:tcPr>
            <w:tcW w:type="dxa" w:w="1840"/>
            <w:shd w:fill="F5F9FF" w:val="clear"/>
            <w:tcMar>
              <w:top w:type="dxa" w:w="80"/>
              <w:left w:type="dxa" w:w="120"/>
              <w:bottom w:type="dxa" w:w="80"/>
              <w:right w:type="dxa" w:w="120"/>
            </w:tcMar>
          </w:tcPr>
          <w:p>
            <w:r>
              <w:rPr>
                <w:rFonts w:ascii="Arial" w:cs="Arial" w:hAnsi="Arial"/>
                <w:sz w:val="18"/>
                <w:szCs w:val="18"/>
              </w:rPr>
              <w:t>0.481 (0.469–0.494)</w:t>
            </w:r>
          </w:p>
        </w:tc>
      </w:tr>
      <w:tr>
        <w:tc>
          <w:tcPr>
            <w:tcW w:type="dxa" w:w="1100"/>
            <w:tcMar>
              <w:top w:type="dxa" w:w="80"/>
              <w:left w:type="dxa" w:w="120"/>
              <w:bottom w:type="dxa" w:w="80"/>
              <w:right w:type="dxa" w:w="120"/>
            </w:tcMar>
          </w:tcPr>
          <w:p>
            <w:r>
              <w:rPr>
                <w:rFonts w:ascii="Arial" w:cs="Arial" w:hAnsi="Arial"/>
                <w:sz w:val="18"/>
                <w:szCs w:val="18"/>
              </w:rPr>
              <w:t>DCN</w:t>
            </w:r>
          </w:p>
        </w:tc>
        <w:tc>
          <w:tcPr>
            <w:tcW w:type="dxa" w:w="900"/>
            <w:tcMar>
              <w:top w:type="dxa" w:w="80"/>
              <w:left w:type="dxa" w:w="120"/>
              <w:bottom w:type="dxa" w:w="80"/>
              <w:right w:type="dxa" w:w="120"/>
            </w:tcMar>
          </w:tcPr>
          <w:p>
            <w:r>
              <w:rPr>
                <w:rFonts w:ascii="Arial" w:cs="Arial" w:hAnsi="Arial"/>
                <w:sz w:val="18"/>
                <w:szCs w:val="18"/>
              </w:rPr>
              <w:t>Test</w:t>
            </w:r>
          </w:p>
        </w:tc>
        <w:tc>
          <w:tcPr>
            <w:tcW w:type="dxa" w:w="1840"/>
            <w:tcMar>
              <w:top w:type="dxa" w:w="80"/>
              <w:left w:type="dxa" w:w="120"/>
              <w:bottom w:type="dxa" w:w="80"/>
              <w:right w:type="dxa" w:w="120"/>
            </w:tcMar>
          </w:tcPr>
          <w:p>
            <w:r>
              <w:rPr>
                <w:rFonts w:ascii="Arial" w:cs="Arial" w:hAnsi="Arial"/>
                <w:sz w:val="18"/>
                <w:szCs w:val="18"/>
              </w:rPr>
              <w:t>0.902 (0.898–0.905)</w:t>
            </w:r>
          </w:p>
        </w:tc>
        <w:tc>
          <w:tcPr>
            <w:tcW w:type="dxa" w:w="1840"/>
            <w:tcMar>
              <w:top w:type="dxa" w:w="80"/>
              <w:left w:type="dxa" w:w="120"/>
              <w:bottom w:type="dxa" w:w="80"/>
              <w:right w:type="dxa" w:w="120"/>
            </w:tcMar>
          </w:tcPr>
          <w:p>
            <w:r>
              <w:rPr>
                <w:rFonts w:ascii="Arial" w:cs="Arial" w:hAnsi="Arial"/>
                <w:sz w:val="18"/>
                <w:szCs w:val="18"/>
              </w:rPr>
              <w:t>0.904 (0.901–0.908)</w:t>
            </w:r>
          </w:p>
        </w:tc>
        <w:tc>
          <w:tcPr>
            <w:tcW w:type="dxa" w:w="1840"/>
            <w:tcMar>
              <w:top w:type="dxa" w:w="80"/>
              <w:left w:type="dxa" w:w="120"/>
              <w:bottom w:type="dxa" w:w="80"/>
              <w:right w:type="dxa" w:w="120"/>
            </w:tcMar>
          </w:tcPr>
          <w:p>
            <w:r>
              <w:rPr>
                <w:rFonts w:ascii="Arial" w:cs="Arial" w:hAnsi="Arial"/>
                <w:sz w:val="18"/>
                <w:szCs w:val="18"/>
              </w:rPr>
              <w:t>0.638 (0.627–0.647)</w:t>
            </w:r>
          </w:p>
        </w:tc>
        <w:tc>
          <w:tcPr>
            <w:tcW w:type="dxa" w:w="1840"/>
            <w:tcMar>
              <w:top w:type="dxa" w:w="80"/>
              <w:left w:type="dxa" w:w="120"/>
              <w:bottom w:type="dxa" w:w="80"/>
              <w:right w:type="dxa" w:w="120"/>
            </w:tcMar>
          </w:tcPr>
          <w:p>
            <w:r>
              <w:rPr>
                <w:rFonts w:ascii="Arial" w:cs="Arial" w:hAnsi="Arial"/>
                <w:sz w:val="18"/>
                <w:szCs w:val="18"/>
              </w:rPr>
              <w:t>0.643 (0.631–0.654)</w:t>
            </w:r>
          </w:p>
        </w:tc>
      </w:tr>
      <w:tr>
        <w:tc>
          <w:tcPr>
            <w:tcW w:type="dxa" w:w="1100"/>
            <w:shd w:fill="F5F9FF" w:val="clear"/>
            <w:tcMar>
              <w:top w:type="dxa" w:w="80"/>
              <w:left w:type="dxa" w:w="120"/>
              <w:bottom w:type="dxa" w:w="80"/>
              <w:right w:type="dxa" w:w="120"/>
            </w:tcMar>
          </w:tcPr>
          <w:p>
            <w:r>
              <w:rPr>
                <w:rFonts w:ascii="Arial" w:cs="Arial" w:hAnsi="Arial"/>
                <w:sz w:val="18"/>
                <w:szCs w:val="18"/>
              </w:rPr>
              <w:t>DCN</w:t>
            </w:r>
          </w:p>
        </w:tc>
        <w:tc>
          <w:tcPr>
            <w:tcW w:type="dxa" w:w="900"/>
            <w:shd w:fill="F5F9FF" w:val="clear"/>
            <w:tcMar>
              <w:top w:type="dxa" w:w="80"/>
              <w:left w:type="dxa" w:w="120"/>
              <w:bottom w:type="dxa" w:w="80"/>
              <w:right w:type="dxa" w:w="120"/>
            </w:tcMar>
          </w:tcPr>
          <w:p>
            <w:r>
              <w:rPr>
                <w:rFonts w:ascii="Arial" w:cs="Arial" w:hAnsi="Arial"/>
                <w:sz w:val="18"/>
                <w:szCs w:val="18"/>
              </w:rPr>
              <w:t>MIMIC-III</w:t>
            </w:r>
          </w:p>
        </w:tc>
        <w:tc>
          <w:tcPr>
            <w:tcW w:type="dxa" w:w="1840"/>
            <w:shd w:fill="F5F9FF" w:val="clear"/>
            <w:tcMar>
              <w:top w:type="dxa" w:w="80"/>
              <w:left w:type="dxa" w:w="120"/>
              <w:bottom w:type="dxa" w:w="80"/>
              <w:right w:type="dxa" w:w="120"/>
            </w:tcMar>
          </w:tcPr>
          <w:p>
            <w:r>
              <w:rPr>
                <w:rFonts w:ascii="Arial" w:cs="Arial" w:hAnsi="Arial"/>
                <w:sz w:val="18"/>
                <w:szCs w:val="18"/>
              </w:rPr>
              <w:t>0.694 (0.686–0.701)</w:t>
            </w:r>
          </w:p>
        </w:tc>
        <w:tc>
          <w:tcPr>
            <w:tcW w:type="dxa" w:w="1840"/>
            <w:shd w:fill="F5F9FF" w:val="clear"/>
            <w:tcMar>
              <w:top w:type="dxa" w:w="80"/>
              <w:left w:type="dxa" w:w="120"/>
              <w:bottom w:type="dxa" w:w="80"/>
              <w:right w:type="dxa" w:w="120"/>
            </w:tcMar>
          </w:tcPr>
          <w:p>
            <w:r>
              <w:rPr>
                <w:rFonts w:ascii="Arial" w:cs="Arial" w:hAnsi="Arial"/>
                <w:sz w:val="18"/>
                <w:szCs w:val="18"/>
              </w:rPr>
              <w:t>0.723 (0.716–0.730)</w:t>
            </w:r>
          </w:p>
        </w:tc>
        <w:tc>
          <w:tcPr>
            <w:tcW w:type="dxa" w:w="1840"/>
            <w:shd w:fill="F5F9FF" w:val="clear"/>
            <w:tcMar>
              <w:top w:type="dxa" w:w="80"/>
              <w:left w:type="dxa" w:w="120"/>
              <w:bottom w:type="dxa" w:w="80"/>
              <w:right w:type="dxa" w:w="120"/>
            </w:tcMar>
          </w:tcPr>
          <w:p>
            <w:r>
              <w:rPr>
                <w:rFonts w:ascii="Arial" w:cs="Arial" w:hAnsi="Arial"/>
                <w:sz w:val="18"/>
                <w:szCs w:val="18"/>
              </w:rPr>
              <w:t>0.360 (0.349–0.371)</w:t>
            </w:r>
          </w:p>
        </w:tc>
        <w:tc>
          <w:tcPr>
            <w:tcW w:type="dxa" w:w="1840"/>
            <w:shd w:fill="F5F9FF" w:val="clear"/>
            <w:tcMar>
              <w:top w:type="dxa" w:w="80"/>
              <w:left w:type="dxa" w:w="120"/>
              <w:bottom w:type="dxa" w:w="80"/>
              <w:right w:type="dxa" w:w="120"/>
            </w:tcMar>
          </w:tcPr>
          <w:p>
            <w:r>
              <w:rPr>
                <w:rFonts w:ascii="Arial" w:cs="Arial" w:hAnsi="Arial"/>
                <w:sz w:val="18"/>
                <w:szCs w:val="18"/>
              </w:rPr>
              <w:t>0.400 (0.388–0.412)</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E5F8A"/>
      <w:sz w:val="28"/>
      <w:szCs w:val="28"/>
    </w:rPr>
  </w:style>
  <w:style w:type="paragraph" w:styleId="Heading2">
    <w:name w:val="Heading 2"/>
    <w:basedOn w:val="Normal"/>
    <w:next w:val="Normal"/>
    <w:qFormat/>
    <w:pPr>
      <w:spacing w:after="80" w:before="200"/>
      <w:outlineLvl w:val="1"/>
    </w:pPr>
    <w:rPr>
      <w:rFonts w:ascii="Arial" w:cs="Arial" w:eastAsia="Arial" w:hAnsi="Arial"/>
      <w:b/>
      <w:bCs/>
      <w:color w:val="1A3A5C"/>
      <w:sz w:val="22"/>
      <w:szCs w:val="22"/>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6" Type="http://schemas.openxmlformats.org/officeDocument/2006/relationships/comments" Target="comments.xml"/>
  <Relationship Id="rId7" Type="http://schemas.openxmlformats.org/officeDocument/2006/relationships/fontTable" Target="fontTable.xml"/>
</Relationships>

</file>

<file path=word/_rels/endnotes.xml.rels><?xml version="1.0" encoding="utf-8"?>
<Relationships xmlns="http://schemas.openxmlformats.org/package/2006/relationships"/>

</file>

<file path=word/_rels/fontTable.xml.rels><?xml version="1.0" encoding="utf-8"?>
<Relationships xmlns="http://schemas.openxmlformats.org/package/2006/relationships"/>

</file>

<file path=word/_rels/footnotes.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2026-06-19T02:03:09.970Z</dcterms:created>
  <dcterms:modified xsi:type="dcterms:W3CDTF">2026-06-19T02:03:09.970Z</dcterms:modified>
</cp:coreProperties>
</file>

<file path=docProps/custom.xml><?xml version="1.0" encoding="utf-8"?>
<Properties xmlns="http://schemas.openxmlformats.org/officeDocument/2006/custom-properties" xmlns:vt="http://schemas.openxmlformats.org/officeDocument/2006/docPropsVTypes"/>
</file>